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39"/>
        <w:spacing w:after="0"/>
        <w:rPr>
          <w:sz w:val="20"/>
          <w:szCs w:val="20"/>
          <w:color w:val="auto"/>
        </w:rPr>
      </w:pPr>
      <w:r>
        <w:rPr>
          <w:rFonts w:ascii="Arial" w:cs="Arial" w:eastAsia="Arial" w:hAnsi="Arial"/>
          <w:sz w:val="18"/>
          <w:szCs w:val="18"/>
          <w:b w:val="1"/>
          <w:bCs w:val="1"/>
          <w:color w:val="auto"/>
        </w:rPr>
        <w:t>UNITED STATES</w:t>
      </w:r>
    </w:p>
    <w:p>
      <w:pPr>
        <w:spacing w:after="0" w:line="13"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SECURITIES AND EXCHANGE COMMISSION</w:t>
      </w:r>
    </w:p>
    <w:p>
      <w:pPr>
        <w:jc w:val="center"/>
        <w:ind w:right="-439"/>
        <w:spacing w:after="0"/>
        <w:rPr>
          <w:sz w:val="20"/>
          <w:szCs w:val="20"/>
          <w:color w:val="auto"/>
        </w:rPr>
      </w:pPr>
      <w:r>
        <w:rPr>
          <w:rFonts w:ascii="Arial" w:cs="Arial" w:eastAsia="Arial" w:hAnsi="Arial"/>
          <w:sz w:val="18"/>
          <w:szCs w:val="18"/>
          <w:color w:val="auto"/>
        </w:rPr>
        <w:t>Washington, D.C. 20549</w:t>
      </w:r>
    </w:p>
    <w:p>
      <w:pPr>
        <w:spacing w:after="0" w:line="150" w:lineRule="exact"/>
        <w:rPr>
          <w:sz w:val="24"/>
          <w:szCs w:val="24"/>
          <w:color w:val="auto"/>
        </w:rPr>
      </w:pPr>
    </w:p>
    <w:p>
      <w:pPr>
        <w:jc w:val="center"/>
        <w:ind w:right="-439"/>
        <w:spacing w:after="0"/>
        <w:rPr>
          <w:sz w:val="20"/>
          <w:szCs w:val="20"/>
          <w:color w:val="auto"/>
        </w:rPr>
      </w:pPr>
      <w:r>
        <w:rPr>
          <w:rFonts w:ascii="Arial" w:cs="Arial" w:eastAsia="Arial" w:hAnsi="Arial"/>
          <w:sz w:val="27"/>
          <w:szCs w:val="27"/>
          <w:b w:val="1"/>
          <w:bCs w:val="1"/>
          <w:color w:val="auto"/>
        </w:rPr>
        <w:t>SCHEDULE 14A</w:t>
      </w:r>
    </w:p>
    <w:p>
      <w:pPr>
        <w:spacing w:after="0" w:line="202"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Proxy Statement Pursuant to Section 14(a) of the Securities</w:t>
      </w:r>
    </w:p>
    <w:p>
      <w:pPr>
        <w:spacing w:after="0" w:line="18"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Exchange Act of 1934</w:t>
      </w:r>
    </w:p>
    <w:p>
      <w:pPr>
        <w:spacing w:after="0" w:line="173" w:lineRule="exact"/>
        <w:rPr>
          <w:sz w:val="24"/>
          <w:szCs w:val="24"/>
          <w:color w:val="auto"/>
        </w:rPr>
      </w:pPr>
    </w:p>
    <w:p>
      <w:pPr>
        <w:ind w:left="1480"/>
        <w:spacing w:after="0"/>
        <w:rPr>
          <w:sz w:val="20"/>
          <w:szCs w:val="20"/>
          <w:color w:val="auto"/>
        </w:rPr>
      </w:pPr>
      <w:r>
        <w:rPr>
          <w:sz w:val="1"/>
          <w:szCs w:val="1"/>
          <w:color w:val="auto"/>
        </w:rPr>
        <w:drawing>
          <wp:inline distT="0" distB="0" distL="0" distR="0">
            <wp:extent cx="154305" cy="16319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4305" cy="163195"/>
                    </a:xfrm>
                    <a:prstGeom prst="rect">
                      <a:avLst/>
                    </a:prstGeom>
                    <a:noFill/>
                    <a:ln>
                      <a:noFill/>
                    </a:ln>
                  </pic:spPr>
                </pic:pic>
              </a:graphicData>
            </a:graphic>
          </wp:inline>
        </w:drawing>
      </w:r>
      <w:r>
        <w:rPr>
          <w:rFonts w:ascii="Arial" w:cs="Arial" w:eastAsia="Arial" w:hAnsi="Arial"/>
          <w:sz w:val="16"/>
          <w:szCs w:val="16"/>
          <w:color w:val="auto"/>
        </w:rPr>
        <w:t xml:space="preserve"> Filed by the Registrant                                 </w:t>
      </w:r>
      <w:r>
        <w:rPr>
          <w:sz w:val="1"/>
          <w:szCs w:val="1"/>
          <w:color w:val="auto"/>
        </w:rPr>
        <w:drawing>
          <wp:inline distT="0" distB="0" distL="0" distR="0">
            <wp:extent cx="154305" cy="16319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4305" cy="163195"/>
                    </a:xfrm>
                    <a:prstGeom prst="rect">
                      <a:avLst/>
                    </a:prstGeom>
                    <a:noFill/>
                    <a:ln>
                      <a:noFill/>
                    </a:ln>
                  </pic:spPr>
                </pic:pic>
              </a:graphicData>
            </a:graphic>
          </wp:inline>
        </w:drawing>
      </w:r>
      <w:r>
        <w:rPr>
          <w:rFonts w:ascii="Arial" w:cs="Arial" w:eastAsia="Arial" w:hAnsi="Arial"/>
          <w:sz w:val="16"/>
          <w:szCs w:val="16"/>
          <w:color w:val="auto"/>
        </w:rPr>
        <w:t xml:space="preserve"> Filed by a Party other than the Registrant</w:t>
      </w:r>
    </w:p>
    <w:p>
      <w:pPr>
        <w:spacing w:after="0" w:line="176"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Check the appropriate box: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-156210</wp:posOffset>
            </wp:positionV>
            <wp:extent cx="7169150" cy="12090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9150" cy="1209040"/>
                    </a:xfrm>
                    <a:prstGeom prst="rect">
                      <a:avLst/>
                    </a:prstGeom>
                    <a:noFill/>
                  </pic:spPr>
                </pic:pic>
              </a:graphicData>
            </a:graphic>
          </wp:anchor>
        </w:drawing>
      </w:r>
    </w:p>
    <w:p>
      <w:pPr>
        <w:spacing w:after="0" w:line="123" w:lineRule="exact"/>
        <w:rPr>
          <w:sz w:val="24"/>
          <w:szCs w:val="24"/>
          <w:color w:val="auto"/>
        </w:rPr>
      </w:pPr>
    </w:p>
    <w:p>
      <w:pPr>
        <w:ind w:left="560"/>
        <w:spacing w:after="0"/>
        <w:rPr>
          <w:sz w:val="20"/>
          <w:szCs w:val="20"/>
          <w:color w:val="auto"/>
        </w:rPr>
      </w:pPr>
      <w:r>
        <w:rPr>
          <w:rFonts w:ascii="Arial" w:cs="Arial" w:eastAsia="Arial" w:hAnsi="Arial"/>
          <w:sz w:val="18"/>
          <w:szCs w:val="18"/>
          <w:color w:val="auto"/>
        </w:rPr>
        <w:t>Preliminary Proxy Statement</w:t>
      </w:r>
    </w:p>
    <w:p>
      <w:pPr>
        <w:spacing w:after="0" w:line="117" w:lineRule="exact"/>
        <w:rPr>
          <w:sz w:val="24"/>
          <w:szCs w:val="24"/>
          <w:color w:val="auto"/>
        </w:rPr>
      </w:pPr>
    </w:p>
    <w:p>
      <w:pPr>
        <w:ind w:left="560"/>
        <w:spacing w:after="0"/>
        <w:rPr>
          <w:sz w:val="20"/>
          <w:szCs w:val="20"/>
          <w:color w:val="auto"/>
        </w:rPr>
      </w:pPr>
      <w:r>
        <w:rPr>
          <w:rFonts w:ascii="Arial" w:cs="Arial" w:eastAsia="Arial" w:hAnsi="Arial"/>
          <w:sz w:val="18"/>
          <w:szCs w:val="18"/>
          <w:color w:val="auto"/>
        </w:rPr>
        <w:t>CONFIDENTIAL, FOR USE OF THE COMMISSION ONLY (AS PERMITTED BY RULE 14a-6(e)(2))</w:t>
      </w:r>
    </w:p>
    <w:p>
      <w:pPr>
        <w:spacing w:after="0" w:line="117" w:lineRule="exact"/>
        <w:rPr>
          <w:sz w:val="24"/>
          <w:szCs w:val="24"/>
          <w:color w:val="auto"/>
        </w:rPr>
      </w:pPr>
    </w:p>
    <w:p>
      <w:pPr>
        <w:ind w:left="560"/>
        <w:spacing w:after="0"/>
        <w:rPr>
          <w:sz w:val="20"/>
          <w:szCs w:val="20"/>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560"/>
        <w:spacing w:after="0"/>
        <w:rPr>
          <w:sz w:val="20"/>
          <w:szCs w:val="20"/>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560"/>
        <w:spacing w:after="0"/>
        <w:rPr>
          <w:sz w:val="20"/>
          <w:szCs w:val="20"/>
          <w:color w:val="auto"/>
        </w:rPr>
      </w:pPr>
      <w:r>
        <w:rPr>
          <w:rFonts w:ascii="Arial" w:cs="Arial" w:eastAsia="Arial" w:hAnsi="Arial"/>
          <w:sz w:val="18"/>
          <w:szCs w:val="18"/>
          <w:color w:val="auto"/>
        </w:rPr>
        <w:t>Soliciting Material Pursuant to ss.240.14a-12</w:t>
      </w:r>
    </w:p>
    <w:p>
      <w:pPr>
        <w:spacing w:after="0" w:line="165" w:lineRule="exact"/>
        <w:rPr>
          <w:sz w:val="24"/>
          <w:szCs w:val="24"/>
          <w:color w:val="auto"/>
        </w:rPr>
      </w:pPr>
    </w:p>
    <w:p>
      <w:pPr>
        <w:jc w:val="center"/>
        <w:ind w:right="-439"/>
        <w:spacing w:after="0"/>
        <w:rPr>
          <w:sz w:val="20"/>
          <w:szCs w:val="20"/>
          <w:color w:val="auto"/>
        </w:rPr>
      </w:pPr>
      <w:r>
        <w:rPr>
          <w:rFonts w:ascii="Arial" w:cs="Arial" w:eastAsia="Arial" w:hAnsi="Arial"/>
          <w:sz w:val="36"/>
          <w:szCs w:val="36"/>
          <w:b w:val="1"/>
          <w:bCs w:val="1"/>
          <w:color w:val="08228B"/>
        </w:rPr>
        <w:t>GENERAL MOTORS COMPANY</w:t>
      </w:r>
    </w:p>
    <w:p>
      <w:pPr>
        <w:spacing w:after="0" w:line="223" w:lineRule="exact"/>
        <w:rPr>
          <w:sz w:val="24"/>
          <w:szCs w:val="24"/>
          <w:color w:val="auto"/>
        </w:rPr>
      </w:pPr>
    </w:p>
    <w:p>
      <w:pPr>
        <w:jc w:val="center"/>
        <w:ind w:right="-439"/>
        <w:spacing w:after="0"/>
        <w:rPr>
          <w:sz w:val="20"/>
          <w:szCs w:val="20"/>
          <w:color w:val="auto"/>
        </w:rPr>
      </w:pPr>
      <w:r>
        <w:rPr>
          <w:rFonts w:ascii="Arial" w:cs="Arial" w:eastAsia="Arial" w:hAnsi="Arial"/>
          <w:sz w:val="18"/>
          <w:szCs w:val="18"/>
          <w:i w:val="1"/>
          <w:iCs w:val="1"/>
          <w:color w:val="auto"/>
        </w:rPr>
        <w:t>(Name of Registrant as Specified In Its Charter)</w:t>
      </w:r>
    </w:p>
    <w:p>
      <w:pPr>
        <w:spacing w:after="0" w:line="14" w:lineRule="exact"/>
        <w:rPr>
          <w:sz w:val="24"/>
          <w:szCs w:val="24"/>
          <w:color w:val="auto"/>
        </w:rPr>
      </w:pPr>
    </w:p>
    <w:p>
      <w:pPr>
        <w:jc w:val="center"/>
        <w:ind w:right="-439"/>
        <w:spacing w:after="0"/>
        <w:rPr>
          <w:sz w:val="20"/>
          <w:szCs w:val="20"/>
          <w:color w:val="auto"/>
        </w:rPr>
      </w:pPr>
      <w:r>
        <w:rPr>
          <w:rFonts w:ascii="Arial" w:cs="Arial" w:eastAsia="Arial" w:hAnsi="Arial"/>
          <w:sz w:val="18"/>
          <w:szCs w:val="18"/>
          <w:i w:val="1"/>
          <w:iCs w:val="1"/>
          <w:color w:val="auto"/>
        </w:rPr>
        <w:t>(Name of Person(s) Filing Proxy Statement, if other than the Registrant)</w:t>
      </w:r>
    </w:p>
    <w:p>
      <w:pPr>
        <w:spacing w:after="0" w:line="180"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Payment of Filing Fee (Check the appropriate box):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-156210</wp:posOffset>
            </wp:positionV>
            <wp:extent cx="7169150" cy="2615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9150" cy="2615565"/>
                    </a:xfrm>
                    <a:prstGeom prst="rect">
                      <a:avLst/>
                    </a:prstGeom>
                    <a:noFill/>
                  </pic:spPr>
                </pic:pic>
              </a:graphicData>
            </a:graphic>
          </wp:anchor>
        </w:drawing>
      </w:r>
    </w:p>
    <w:p>
      <w:pPr>
        <w:spacing w:after="0" w:line="101" w:lineRule="exact"/>
        <w:rPr>
          <w:sz w:val="24"/>
          <w:szCs w:val="24"/>
          <w:color w:val="auto"/>
        </w:rPr>
      </w:pPr>
    </w:p>
    <w:p>
      <w:pPr>
        <w:ind w:left="560"/>
        <w:spacing w:after="0"/>
        <w:rPr>
          <w:sz w:val="20"/>
          <w:szCs w:val="20"/>
          <w:color w:val="auto"/>
        </w:rPr>
      </w:pPr>
      <w:r>
        <w:rPr>
          <w:rFonts w:ascii="Arial" w:cs="Arial" w:eastAsia="Arial" w:hAnsi="Arial"/>
          <w:sz w:val="18"/>
          <w:szCs w:val="18"/>
          <w:b w:val="1"/>
          <w:bCs w:val="1"/>
          <w:color w:val="auto"/>
        </w:rPr>
        <w:t>No fee required.</w:t>
      </w:r>
    </w:p>
    <w:p>
      <w:pPr>
        <w:spacing w:after="0" w:line="117" w:lineRule="exact"/>
        <w:rPr>
          <w:sz w:val="24"/>
          <w:szCs w:val="24"/>
          <w:color w:val="auto"/>
        </w:rPr>
      </w:pPr>
    </w:p>
    <w:p>
      <w:pPr>
        <w:ind w:left="560"/>
        <w:spacing w:after="0"/>
        <w:rPr>
          <w:sz w:val="20"/>
          <w:szCs w:val="20"/>
          <w:color w:val="auto"/>
        </w:rPr>
      </w:pPr>
      <w:r>
        <w:rPr>
          <w:rFonts w:ascii="Arial" w:cs="Arial" w:eastAsia="Arial" w:hAnsi="Arial"/>
          <w:sz w:val="18"/>
          <w:szCs w:val="18"/>
          <w:b w:val="1"/>
          <w:bCs w:val="1"/>
          <w:color w:val="auto"/>
        </w:rPr>
        <w:t>Fee computed on table below per Exchange Act Rules 14a-6(i)(4) and 0-11.</w:t>
      </w:r>
    </w:p>
    <w:p>
      <w:pPr>
        <w:spacing w:after="0" w:line="45" w:lineRule="exact"/>
        <w:rPr>
          <w:sz w:val="24"/>
          <w:szCs w:val="24"/>
          <w:color w:val="auto"/>
        </w:rPr>
      </w:pPr>
    </w:p>
    <w:p>
      <w:pPr>
        <w:ind w:left="840" w:hanging="275"/>
        <w:spacing w:after="0"/>
        <w:tabs>
          <w:tab w:leader="none" w:pos="8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9" w:lineRule="exact"/>
        <w:rPr>
          <w:rFonts w:ascii="Arial" w:cs="Arial" w:eastAsia="Arial" w:hAnsi="Arial"/>
          <w:sz w:val="18"/>
          <w:szCs w:val="18"/>
          <w:color w:val="auto"/>
        </w:rPr>
      </w:pPr>
    </w:p>
    <w:p>
      <w:pPr>
        <w:ind w:left="840" w:hanging="275"/>
        <w:spacing w:after="0"/>
        <w:tabs>
          <w:tab w:leader="none" w:pos="840" w:val="left"/>
        </w:tabs>
        <w:numPr>
          <w:ilvl w:val="0"/>
          <w:numId w:val="1"/>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9" w:lineRule="exact"/>
        <w:rPr>
          <w:rFonts w:ascii="Arial" w:cs="Arial" w:eastAsia="Arial" w:hAnsi="Arial"/>
          <w:sz w:val="18"/>
          <w:szCs w:val="18"/>
          <w:color w:val="auto"/>
        </w:rPr>
      </w:pPr>
    </w:p>
    <w:p>
      <w:pPr>
        <w:ind w:left="820" w:right="2020" w:hanging="255"/>
        <w:spacing w:after="0" w:line="242" w:lineRule="auto"/>
        <w:tabs>
          <w:tab w:leader="none" w:pos="838" w:val="left"/>
        </w:tabs>
        <w:numPr>
          <w:ilvl w:val="0"/>
          <w:numId w:val="1"/>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 w:lineRule="exact"/>
        <w:rPr>
          <w:rFonts w:ascii="Arial" w:cs="Arial" w:eastAsia="Arial" w:hAnsi="Arial"/>
          <w:sz w:val="18"/>
          <w:szCs w:val="18"/>
          <w:color w:val="auto"/>
        </w:rPr>
      </w:pPr>
    </w:p>
    <w:p>
      <w:pPr>
        <w:ind w:left="840" w:hanging="275"/>
        <w:spacing w:after="0"/>
        <w:tabs>
          <w:tab w:leader="none" w:pos="8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9" w:lineRule="exact"/>
        <w:rPr>
          <w:rFonts w:ascii="Arial" w:cs="Arial" w:eastAsia="Arial" w:hAnsi="Arial"/>
          <w:sz w:val="18"/>
          <w:szCs w:val="18"/>
          <w:color w:val="auto"/>
        </w:rPr>
      </w:pPr>
    </w:p>
    <w:p>
      <w:pPr>
        <w:ind w:left="840" w:hanging="275"/>
        <w:spacing w:after="0"/>
        <w:tabs>
          <w:tab w:leader="none" w:pos="8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95" w:lineRule="exact"/>
        <w:rPr>
          <w:sz w:val="24"/>
          <w:szCs w:val="24"/>
          <w:color w:val="auto"/>
        </w:rPr>
      </w:pPr>
    </w:p>
    <w:p>
      <w:pPr>
        <w:ind w:left="560"/>
        <w:spacing w:after="0"/>
        <w:rPr>
          <w:sz w:val="20"/>
          <w:szCs w:val="20"/>
          <w:color w:val="auto"/>
        </w:rPr>
      </w:pPr>
      <w:r>
        <w:rPr>
          <w:rFonts w:ascii="Arial" w:cs="Arial" w:eastAsia="Arial" w:hAnsi="Arial"/>
          <w:sz w:val="18"/>
          <w:szCs w:val="18"/>
          <w:b w:val="1"/>
          <w:bCs w:val="1"/>
          <w:color w:val="auto"/>
        </w:rPr>
        <w:t>Fee paid previously with preliminary materials.</w:t>
      </w:r>
    </w:p>
    <w:p>
      <w:pPr>
        <w:spacing w:after="0" w:line="36" w:lineRule="exact"/>
        <w:rPr>
          <w:sz w:val="24"/>
          <w:szCs w:val="24"/>
          <w:color w:val="auto"/>
        </w:rPr>
      </w:pPr>
    </w:p>
    <w:p>
      <w:pPr>
        <w:jc w:val="both"/>
        <w:ind w:left="560"/>
        <w:spacing w:after="0" w:line="253" w:lineRule="auto"/>
        <w:rPr>
          <w:sz w:val="20"/>
          <w:szCs w:val="20"/>
          <w:color w:val="auto"/>
        </w:rPr>
      </w:pPr>
      <w:r>
        <w:rPr>
          <w:rFonts w:ascii="Arial" w:cs="Arial" w:eastAsia="Arial" w:hAnsi="Arial"/>
          <w:sz w:val="18"/>
          <w:szCs w:val="18"/>
          <w:b w:val="1"/>
          <w:bCs w:val="1"/>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 w:lineRule="exact"/>
        <w:rPr>
          <w:sz w:val="24"/>
          <w:szCs w:val="24"/>
          <w:color w:val="auto"/>
        </w:rPr>
      </w:pPr>
    </w:p>
    <w:p>
      <w:pPr>
        <w:ind w:left="840" w:hanging="275"/>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2" w:lineRule="exact"/>
        <w:rPr>
          <w:rFonts w:ascii="Arial" w:cs="Arial" w:eastAsia="Arial" w:hAnsi="Arial"/>
          <w:sz w:val="18"/>
          <w:szCs w:val="18"/>
          <w:color w:val="auto"/>
        </w:rPr>
      </w:pPr>
    </w:p>
    <w:p>
      <w:pPr>
        <w:ind w:left="840" w:hanging="275"/>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2" w:lineRule="exact"/>
        <w:rPr>
          <w:rFonts w:ascii="Arial" w:cs="Arial" w:eastAsia="Arial" w:hAnsi="Arial"/>
          <w:sz w:val="18"/>
          <w:szCs w:val="18"/>
          <w:color w:val="auto"/>
        </w:rPr>
      </w:pPr>
    </w:p>
    <w:p>
      <w:pPr>
        <w:ind w:left="840" w:hanging="275"/>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2" w:lineRule="exact"/>
        <w:rPr>
          <w:rFonts w:ascii="Arial" w:cs="Arial" w:eastAsia="Arial" w:hAnsi="Arial"/>
          <w:sz w:val="18"/>
          <w:szCs w:val="18"/>
          <w:color w:val="auto"/>
        </w:rPr>
      </w:pPr>
    </w:p>
    <w:p>
      <w:pPr>
        <w:ind w:left="840" w:hanging="275"/>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160655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860"/>
          </w:cols>
          <w:pgMar w:left="300" w:top="225" w:right="73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7520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7520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08228B"/>
        </w:rPr>
        <w:t>WHO WE ARE AND WHY WE ARE HERE...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9"/>
          <w:szCs w:val="29"/>
          <w:color w:val="333333"/>
        </w:rPr>
        <w:t xml:space="preserve">We </w:t>
      </w:r>
      <w:r>
        <w:rPr>
          <w:rFonts w:ascii="Arial" w:cs="Arial" w:eastAsia="Arial" w:hAnsi="Arial"/>
          <w:sz w:val="29"/>
          <w:szCs w:val="29"/>
          <w:b w:val="1"/>
          <w:bCs w:val="1"/>
          <w:color w:val="F2B516"/>
        </w:rPr>
        <w:t>earn</w:t>
      </w:r>
      <w:r>
        <w:rPr>
          <w:rFonts w:ascii="Arial" w:cs="Arial" w:eastAsia="Arial" w:hAnsi="Arial"/>
          <w:sz w:val="29"/>
          <w:szCs w:val="29"/>
          <w:color w:val="333333"/>
        </w:rPr>
        <w:t xml:space="preserve"> customers for life.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9"/>
          <w:szCs w:val="29"/>
          <w:color w:val="333333"/>
        </w:rPr>
        <w:t xml:space="preserve">We build brands that </w:t>
      </w:r>
      <w:r>
        <w:rPr>
          <w:rFonts w:ascii="Arial" w:cs="Arial" w:eastAsia="Arial" w:hAnsi="Arial"/>
          <w:sz w:val="29"/>
          <w:szCs w:val="29"/>
          <w:b w:val="1"/>
          <w:bCs w:val="1"/>
          <w:color w:val="F2B516"/>
        </w:rPr>
        <w:t>inspire</w:t>
      </w:r>
      <w:r>
        <w:rPr>
          <w:rFonts w:ascii="Arial" w:cs="Arial" w:eastAsia="Arial" w:hAnsi="Arial"/>
          <w:sz w:val="29"/>
          <w:szCs w:val="29"/>
          <w:color w:val="333333"/>
        </w:rPr>
        <w:t xml:space="preserve"> passion and loyalty.</w:t>
      </w:r>
    </w:p>
    <w:p>
      <w:pPr>
        <w:spacing w:after="0" w:line="193" w:lineRule="exact"/>
        <w:rPr>
          <w:sz w:val="20"/>
          <w:szCs w:val="20"/>
          <w:color w:val="auto"/>
        </w:rPr>
      </w:pPr>
    </w:p>
    <w:p>
      <w:pPr>
        <w:ind w:left="240"/>
        <w:spacing w:after="0"/>
        <w:rPr>
          <w:sz w:val="20"/>
          <w:szCs w:val="20"/>
          <w:color w:val="auto"/>
        </w:rPr>
      </w:pPr>
      <w:r>
        <w:rPr>
          <w:rFonts w:ascii="Arial" w:cs="Arial" w:eastAsia="Arial" w:hAnsi="Arial"/>
          <w:sz w:val="28"/>
          <w:szCs w:val="28"/>
          <w:color w:val="333333"/>
        </w:rPr>
        <w:t xml:space="preserve">We translate </w:t>
      </w:r>
      <w:r>
        <w:rPr>
          <w:rFonts w:ascii="Arial" w:cs="Arial" w:eastAsia="Arial" w:hAnsi="Arial"/>
          <w:sz w:val="28"/>
          <w:szCs w:val="28"/>
          <w:b w:val="1"/>
          <w:bCs w:val="1"/>
          <w:color w:val="F2B516"/>
        </w:rPr>
        <w:t>breakthrough</w:t>
      </w:r>
      <w:r>
        <w:rPr>
          <w:rFonts w:ascii="Arial" w:cs="Arial" w:eastAsia="Arial" w:hAnsi="Arial"/>
          <w:sz w:val="28"/>
          <w:szCs w:val="28"/>
          <w:color w:val="333333"/>
        </w:rPr>
        <w:t xml:space="preserve"> technologies into vehicles people love.</w:t>
      </w:r>
    </w:p>
    <w:p>
      <w:pPr>
        <w:spacing w:after="0" w:line="205" w:lineRule="exact"/>
        <w:rPr>
          <w:sz w:val="20"/>
          <w:szCs w:val="20"/>
          <w:color w:val="auto"/>
        </w:rPr>
      </w:pPr>
    </w:p>
    <w:p>
      <w:pPr>
        <w:ind w:left="260"/>
        <w:spacing w:after="0"/>
        <w:rPr>
          <w:sz w:val="20"/>
          <w:szCs w:val="20"/>
          <w:color w:val="auto"/>
        </w:rPr>
      </w:pPr>
      <w:r>
        <w:rPr>
          <w:rFonts w:ascii="Arial" w:cs="Arial" w:eastAsia="Arial" w:hAnsi="Arial"/>
          <w:sz w:val="28"/>
          <w:szCs w:val="28"/>
          <w:color w:val="333333"/>
        </w:rPr>
        <w:t xml:space="preserve">We </w:t>
      </w:r>
      <w:r>
        <w:rPr>
          <w:rFonts w:ascii="Arial" w:cs="Arial" w:eastAsia="Arial" w:hAnsi="Arial"/>
          <w:sz w:val="28"/>
          <w:szCs w:val="28"/>
          <w:b w:val="1"/>
          <w:bCs w:val="1"/>
          <w:color w:val="F2B516"/>
        </w:rPr>
        <w:t>serve</w:t>
      </w:r>
      <w:r>
        <w:rPr>
          <w:rFonts w:ascii="Arial" w:cs="Arial" w:eastAsia="Arial" w:hAnsi="Arial"/>
          <w:sz w:val="28"/>
          <w:szCs w:val="28"/>
          <w:color w:val="333333"/>
        </w:rPr>
        <w:t xml:space="preserve"> and improve the communities in which we live and work.</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9"/>
          <w:szCs w:val="29"/>
          <w:color w:val="333333"/>
        </w:rPr>
        <w:t xml:space="preserve">We are building the </w:t>
      </w:r>
      <w:r>
        <w:rPr>
          <w:rFonts w:ascii="Arial" w:cs="Arial" w:eastAsia="Arial" w:hAnsi="Arial"/>
          <w:sz w:val="29"/>
          <w:szCs w:val="29"/>
          <w:b w:val="1"/>
          <w:bCs w:val="1"/>
          <w:color w:val="F2B516"/>
        </w:rPr>
        <w:t>most valued</w:t>
      </w:r>
      <w:r>
        <w:rPr>
          <w:rFonts w:ascii="Arial" w:cs="Arial" w:eastAsia="Arial" w:hAnsi="Arial"/>
          <w:sz w:val="29"/>
          <w:szCs w:val="29"/>
          <w:color w:val="333333"/>
        </w:rPr>
        <w:t xml:space="preserve"> automotive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1443355</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1567180</wp:posOffset>
            </wp:positionH>
            <wp:positionV relativeFrom="paragraph">
              <wp:posOffset>1082675</wp:posOffset>
            </wp:positionV>
            <wp:extent cx="2573020" cy="1803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73020" cy="1803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 w:name="page4"/>
    <w:bookmarkEnd w:id="3"/>
    <w:p>
      <w:pPr>
        <w:spacing w:after="0"/>
        <w:rPr>
          <w:sz w:val="20"/>
          <w:szCs w:val="20"/>
          <w:color w:val="auto"/>
        </w:rPr>
      </w:pPr>
      <w:r>
        <w:rPr>
          <w:rFonts w:ascii="Arial" w:cs="Arial" w:eastAsia="Arial" w:hAnsi="Arial"/>
          <w:sz w:val="40"/>
          <w:szCs w:val="40"/>
          <w:color w:val="08228B"/>
        </w:rPr>
        <w:t>Letter From the Chairman &amp; Chief Executive Officer</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5"/>
          <w:szCs w:val="25"/>
          <w:color w:val="auto"/>
        </w:rPr>
        <w:t>Dear Fellow Shareholder:</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I am pleased to invite you to attend our 2016 Annual Meeting of Shareholders.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1C90D3"/>
        </w:rPr>
        <w:t>Key to Our Success</w:t>
      </w:r>
    </w:p>
    <w:p>
      <w:pPr>
        <w:spacing w:after="0" w:line="20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key to our success is placing the customer at the center of everything we do, from safety and quality to design and connectivity. We strive to earn customers for life with brands that inspire passion and loyalty and with breakthrough technologies and experiences that people love. By satisfying our current customers and winning new ones on the strength of our latest cars, trucks and crossovers, we achieved solid financial results in 2015. This strong performance enabled us to reinvest in our business, including in the technology and advanced mobility solutions our customers expect and demand. Importantly, it also enabled us to increase shareholder returns through dividends and our expanded share repurchase program.</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1C90D3"/>
        </w:rPr>
        <w:t>Strategic Plan</w:t>
      </w:r>
    </w:p>
    <w:p>
      <w:pPr>
        <w:spacing w:after="0" w:line="20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strategic plan, endorsed by the Board of Directors, is to continue strengthening our core business and to take advantage of this strength to define and lead the future of personal mobility. Around the world, social and technological changes are rapidly transforming personal transportation. I believe the automotive industry will change more in the next five years than it has in the previous 50 years. We’re excited by this kind of disruption and are working to lead it. To this end, we are leveraging our 1.2 billion OnStar customer interactions, we are leading the industry in 4G LTE connectivity, we launched Maven, our unified car-sharing program, we announced a strategic alliance with Lyft Inc., the fastest-growing ridesharing company in the U.S., and we have announced our intent to acquire Cruise Automation, Inc., a leader in autonomous technology. Later this year, we will launch the groundbreaking, all-electric Chevrolet Bolt EV, featured on the front cover of this Proxy Statement, and next year we will introduce “Super Cruise” hands-free highway driving automation technology in the 2017 Cadillac CT6.</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1C90D3"/>
        </w:rPr>
        <w:t>Board Alignment</w:t>
      </w:r>
    </w:p>
    <w:p>
      <w:pPr>
        <w:spacing w:after="0" w:line="20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Board and leadership team are confident that our strategic plan will enable us to lead in the transformation of personal mobility. The Board fully supports our focus on optimizing long-term financial returns for our shareholders by increasing profitability in our core business, taking advantage of growth opportunities and driving innovation through this period of disruption and change.</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Board has the right mix of relevant expertise and experience to oversee and guide the leadership team as we execute our strategic plan. The Board’s diversity and independence foster the wide range of thought and perspective that is critical to the Company’s success. Establishing a best-in-class governance and compensation environment is a priority for the Board. We’ve highlighted our key accomplishments in governance for 2015 in the pages that follow.</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1C90D3"/>
        </w:rPr>
        <w:t>Shareholder Outreach</w:t>
      </w:r>
    </w:p>
    <w:p>
      <w:pPr>
        <w:spacing w:after="0" w:line="20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Over the past year, I have met with many of you through our expanded investor engagement program, which has enabled the GM leadership team and Board to meet and solicit feedback and share information with shareholders. Both GM and the Board benefit greatly from the insights, experiences and ideas exchanged during these engagements, and I look forward to continuing them in the year ahead.</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Thank you for your support and interest in GM.</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3370580" cy="1183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70580" cy="1183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460"/>
        <w:spacing w:after="0"/>
        <w:rPr>
          <w:sz w:val="20"/>
          <w:szCs w:val="20"/>
          <w:color w:val="auto"/>
        </w:rPr>
      </w:pPr>
      <w:r>
        <w:rPr>
          <w:rFonts w:ascii="Arial" w:cs="Arial" w:eastAsia="Arial" w:hAnsi="Arial"/>
          <w:sz w:val="16"/>
          <w:szCs w:val="16"/>
          <w:b w:val="1"/>
          <w:bCs w:val="1"/>
          <w:color w:val="auto"/>
        </w:rPr>
        <w:t>Mary T. Barra</w:t>
      </w:r>
    </w:p>
    <w:p>
      <w:pPr>
        <w:spacing w:after="0" w:line="25"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Chairman &amp;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190500</wp:posOffset>
            </wp:positionV>
            <wp:extent cx="72466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9" w:right="239" w:bottom="1440" w:gutter="0" w:footer="0" w:header="0"/>
        </w:sectPr>
      </w:pPr>
    </w:p>
    <w:bookmarkStart w:id="4" w:name="page5"/>
    <w:bookmarkEnd w:id="4"/>
    <w:p>
      <w:pPr>
        <w:spacing w:after="0"/>
        <w:rPr>
          <w:sz w:val="20"/>
          <w:szCs w:val="20"/>
          <w:color w:val="auto"/>
        </w:rPr>
      </w:pPr>
      <w:r>
        <w:rPr>
          <w:rFonts w:ascii="Arial" w:cs="Arial" w:eastAsia="Arial" w:hAnsi="Arial"/>
          <w:sz w:val="40"/>
          <w:szCs w:val="40"/>
          <w:color w:val="08228B"/>
        </w:rPr>
        <w:t>Letter From the Independent Lead Director</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5"/>
          <w:szCs w:val="25"/>
          <w:color w:val="auto"/>
        </w:rPr>
        <w:t>Dear Fellow Shareholder:</w:t>
      </w:r>
    </w:p>
    <w:p>
      <w:pPr>
        <w:spacing w:after="0" w:line="19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General Motors Company is committed to sound corporate governance policies and practices that are designed and routinely assessed to enable the Company to operate its business responsibly, with integrity, and in the best interests of its shareholders. I want to take this opportunity to highlight the significant governance developments at GM over 2015 and early 2016. They are also described in more detail in this Proxy Statement.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1C90D3"/>
        </w:rPr>
        <w:t>Board Leadership Structure</w:t>
      </w:r>
    </w:p>
    <w:p>
      <w:pPr>
        <w:spacing w:after="0" w:line="20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On January 4, 2016, our Board recombined the positions of Chairman and CEO under the leadership of Mary T. Barra and designated me as the Board’s Independent Lead Director. The Board concluded that it was in the best interests of the Company and its shareholders to combine the roles of Chairman and CEO at this time to drive the most efficient execution of our strategic plan and realize our vision for the future. At the same time, our Board strengthened the responsibilities of the Lead Director role, which are described in GM’s Corporate Governance Guidelines and in this Proxy Statement, to include additional duties that further promote independent, objective oversight by the non-employee directors. With these changes, the Board has adopted the right governance structure, with the right leaders and oversight, to drive shareholder value now and in the future.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1C90D3"/>
        </w:rPr>
        <w:t>Board Refreshment</w:t>
      </w:r>
    </w:p>
    <w:p>
      <w:pPr>
        <w:spacing w:after="0" w:line="20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Board continues to recruit new directors to bring fresh perspectives and new ideas into the GM Boardroom. In 2015, we added two new directors: Linda R. Gooden, retired Executive Vice President, Information Systems &amp; Global Solutions, Lockheed Martin Corporation, and Joseph Jimenez, CEO, Novartis AG. This year, we are pleased to announce the nomination of Jane L. Mendillo for election to the Board. Jane is the retired President and CEO of Harvard Management Company and brings a seasoned finance perspective and extensive investment management experience to our Board.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1C90D3"/>
        </w:rPr>
        <w:t>Shareholder Engagement and Proxy Access</w:t>
      </w:r>
    </w:p>
    <w:p>
      <w:pPr>
        <w:spacing w:after="0" w:line="20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To strengthen our commitment to receiving investor feedback, the Board has adopted a Director-Shareholder Engagement Policy that promotes proactive and productive engagement between directors and shareholders. Over the course of 2015 and through 2016, members of our Board have had and will continue to have direct conversations with investors on matters that are important to them, as well as matters on which GM wishes to share information or seek input.</w:t>
      </w:r>
    </w:p>
    <w:p>
      <w:pPr>
        <w:spacing w:after="0" w:line="17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mid-2015, our Board began considering whether it would be appropriate to proactively adopt proxy access to provide our shareholders greater ability to have their voices heard through nomination of director candidates. Our process included a review of best practices, trends among other large public companies adopting proxy access and an extensive engagement process with shareholders. Reflective of our commitment to an active engagement process, the Board considered feedback from our shareholders and tailored certain aspects of the Company’s proxy access bylaw, which was adopted recently, based on that feedback.</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1C90D3"/>
        </w:rPr>
        <w:t>Board Oversight</w:t>
      </w:r>
    </w:p>
    <w:p>
      <w:pPr>
        <w:spacing w:after="0" w:line="20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Board and Committee meetings regularly devote substantial time to GM’s strategic priorities, focusing on assessing the Company’s progress to date, as well as on strategic initiatives and risks over the short and long term. The Board believes that although short-term performance is important, it should be assessed in the context of the Company’s long-term goals.</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As Lead Director, it is my privilege to work alongside engaged Board members who bring exceptional knowledge, perspective and commitment into the GM Boardroom. The robust debate around strategic priorities and initiatives that takes place at every Board meeting is evidence of the Board’s proactive oversight and guidance of management through this time of rapid industry change.</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On behalf of the entire Board, thank you for your continued support.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3370580" cy="1183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70580" cy="1183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460"/>
        <w:spacing w:after="0"/>
        <w:rPr>
          <w:sz w:val="20"/>
          <w:szCs w:val="20"/>
          <w:color w:val="auto"/>
        </w:rPr>
      </w:pPr>
      <w:r>
        <w:rPr>
          <w:rFonts w:ascii="Arial" w:cs="Arial" w:eastAsia="Arial" w:hAnsi="Arial"/>
          <w:sz w:val="16"/>
          <w:szCs w:val="16"/>
          <w:b w:val="1"/>
          <w:bCs w:val="1"/>
          <w:color w:val="auto"/>
        </w:rPr>
        <w:t>Theodore M. Solso</w:t>
      </w:r>
    </w:p>
    <w:p>
      <w:pPr>
        <w:spacing w:after="0" w:line="25"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Independent Lead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190500</wp:posOffset>
            </wp:positionV>
            <wp:extent cx="72466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9" w:right="239" w:bottom="1440" w:gutter="0" w:footer="0" w:header="0"/>
        </w:sectPr>
      </w:pPr>
    </w:p>
    <w:bookmarkStart w:id="5" w:name="page6"/>
    <w:bookmarkEnd w:id="5"/>
    <w:p>
      <w:pPr>
        <w:ind w:right="740"/>
        <w:spacing w:after="0" w:line="241" w:lineRule="auto"/>
        <w:rPr>
          <w:sz w:val="20"/>
          <w:szCs w:val="20"/>
          <w:color w:val="auto"/>
        </w:rPr>
      </w:pPr>
      <w:r>
        <w:rPr>
          <w:rFonts w:ascii="Arial" w:cs="Arial" w:eastAsia="Arial" w:hAnsi="Arial"/>
          <w:sz w:val="54"/>
          <w:szCs w:val="54"/>
          <w:color w:val="1C90D3"/>
        </w:rPr>
        <w:t>Notice of 2016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3550285"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550285" cy="342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spacing w:after="0"/>
        <w:rPr>
          <w:sz w:val="20"/>
          <w:szCs w:val="20"/>
          <w:color w:val="auto"/>
        </w:rPr>
      </w:pPr>
      <w:r>
        <w:rPr>
          <w:sz w:val="1"/>
          <w:szCs w:val="1"/>
          <w:color w:val="auto"/>
        </w:rPr>
        <w:drawing>
          <wp:inline distT="0" distB="0" distL="0" distR="0">
            <wp:extent cx="17145" cy="15430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145" cy="154305"/>
                    </a:xfrm>
                    <a:prstGeom prst="rect">
                      <a:avLst/>
                    </a:prstGeom>
                    <a:noFill/>
                    <a:ln>
                      <a:noFill/>
                    </a:ln>
                  </pic:spPr>
                </pic:pic>
              </a:graphicData>
            </a:graphic>
          </wp:inline>
        </w:drawing>
      </w:r>
      <w:r>
        <w:rPr>
          <w:rFonts w:ascii="Arial" w:cs="Arial" w:eastAsia="Arial" w:hAnsi="Arial"/>
          <w:sz w:val="29"/>
          <w:szCs w:val="29"/>
          <w:color w:val="auto"/>
        </w:rPr>
        <w:t xml:space="preserve"> Meeting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-276860</wp:posOffset>
            </wp:positionV>
            <wp:extent cx="3507740" cy="3517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507740" cy="351790"/>
                    </a:xfrm>
                    <a:prstGeom prst="rect">
                      <a:avLst/>
                    </a:prstGeom>
                    <a:noFill/>
                  </pic:spPr>
                </pic:pic>
              </a:graphicData>
            </a:graphic>
          </wp:anchor>
        </w:drawing>
      </w:r>
    </w:p>
    <w:p>
      <w:pPr>
        <w:spacing w:after="0" w:line="8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color w:val="1C90D3"/>
        </w:rPr>
        <w:t>Tuesday, June 7,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23495</wp:posOffset>
            </wp:positionV>
            <wp:extent cx="1714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23495</wp:posOffset>
            </wp:positionV>
            <wp:extent cx="1714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3495675</wp:posOffset>
            </wp:positionH>
            <wp:positionV relativeFrom="paragraph">
              <wp:posOffset>-19050</wp:posOffset>
            </wp:positionV>
            <wp:extent cx="17145" cy="34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145" cy="34290"/>
                    </a:xfrm>
                    <a:prstGeom prst="rect">
                      <a:avLst/>
                    </a:prstGeom>
                    <a:noFill/>
                  </pic:spPr>
                </pic:pic>
              </a:graphicData>
            </a:graphic>
          </wp:anchor>
        </w:drawing>
        <w:drawing>
          <wp:anchor simplePos="0" relativeHeight="251657728" behindDoc="1" locked="0" layoutInCell="0" allowOverlap="1">
            <wp:simplePos x="0" y="0"/>
            <wp:positionH relativeFrom="column">
              <wp:posOffset>3495675</wp:posOffset>
            </wp:positionH>
            <wp:positionV relativeFrom="paragraph">
              <wp:posOffset>-113030</wp:posOffset>
            </wp:positionV>
            <wp:extent cx="1714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3495675</wp:posOffset>
            </wp:positionH>
            <wp:positionV relativeFrom="paragraph">
              <wp:posOffset>-78740</wp:posOffset>
            </wp:positionV>
            <wp:extent cx="1714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3495675</wp:posOffset>
            </wp:positionH>
            <wp:positionV relativeFrom="paragraph">
              <wp:posOffset>-44450</wp:posOffset>
            </wp:positionV>
            <wp:extent cx="1714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-19050</wp:posOffset>
            </wp:positionV>
            <wp:extent cx="17145" cy="34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14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-113030</wp:posOffset>
            </wp:positionV>
            <wp:extent cx="1714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-78740</wp:posOffset>
            </wp:positionV>
            <wp:extent cx="1714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-44450</wp:posOffset>
            </wp:positionV>
            <wp:extent cx="1714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spacing w:after="0" w:line="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xml:space="preserve">Time: </w:t>
      </w:r>
      <w:r>
        <w:rPr>
          <w:rFonts w:ascii="Arial" w:cs="Arial" w:eastAsia="Arial" w:hAnsi="Arial"/>
          <w:sz w:val="18"/>
          <w:szCs w:val="18"/>
          <w:color w:val="1C90D3"/>
        </w:rPr>
        <w:t>9:30 a.m. Eastern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31750</wp:posOffset>
            </wp:positionV>
            <wp:extent cx="17145" cy="34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7145" cy="34290"/>
                    </a:xfrm>
                    <a:prstGeom prst="rect">
                      <a:avLst/>
                    </a:prstGeom>
                    <a:noFill/>
                  </pic:spPr>
                </pic:pic>
              </a:graphicData>
            </a:graphic>
          </wp:anchor>
        </w:drawing>
        <w:drawing>
          <wp:anchor simplePos="0" relativeHeight="251657728" behindDoc="1" locked="0" layoutInCell="0" allowOverlap="1">
            <wp:simplePos x="0" y="0"/>
            <wp:positionH relativeFrom="column">
              <wp:posOffset>3495675</wp:posOffset>
            </wp:positionH>
            <wp:positionV relativeFrom="paragraph">
              <wp:posOffset>-130175</wp:posOffset>
            </wp:positionV>
            <wp:extent cx="1714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3495675</wp:posOffset>
            </wp:positionH>
            <wp:positionV relativeFrom="paragraph">
              <wp:posOffset>-95885</wp:posOffset>
            </wp:positionV>
            <wp:extent cx="1714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3495675</wp:posOffset>
            </wp:positionH>
            <wp:positionV relativeFrom="paragraph">
              <wp:posOffset>-61595</wp:posOffset>
            </wp:positionV>
            <wp:extent cx="1714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3495675</wp:posOffset>
            </wp:positionH>
            <wp:positionV relativeFrom="paragraph">
              <wp:posOffset>-27305</wp:posOffset>
            </wp:positionV>
            <wp:extent cx="1714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3495675</wp:posOffset>
            </wp:positionH>
            <wp:positionV relativeFrom="paragraph">
              <wp:posOffset>6350</wp:posOffset>
            </wp:positionV>
            <wp:extent cx="1714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31750</wp:posOffset>
            </wp:positionV>
            <wp:extent cx="17145" cy="342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714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-130175</wp:posOffset>
            </wp:positionV>
            <wp:extent cx="1714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-95885</wp:posOffset>
            </wp:positionV>
            <wp:extent cx="1714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-61595</wp:posOffset>
            </wp:positionV>
            <wp:extent cx="1714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-27305</wp:posOffset>
            </wp:positionV>
            <wp:extent cx="1714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6350</wp:posOffset>
            </wp:positionV>
            <wp:extent cx="1714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sz w:val="1"/>
          <w:szCs w:val="1"/>
          <w:color w:val="auto"/>
        </w:rPr>
        <w:drawing>
          <wp:inline distT="0" distB="0" distL="0" distR="0">
            <wp:extent cx="17145" cy="85725"/>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7145" cy="85725"/>
                    </a:xfrm>
                    <a:prstGeom prst="rect">
                      <a:avLst/>
                    </a:prstGeom>
                    <a:noFill/>
                    <a:ln>
                      <a:noFill/>
                    </a:ln>
                  </pic:spPr>
                </pic:pic>
              </a:graphicData>
            </a:graphic>
          </wp:inline>
        </w:drawing>
      </w:r>
      <w:r>
        <w:rPr>
          <w:rFonts w:ascii="Arial" w:cs="Arial" w:eastAsia="Arial" w:hAnsi="Arial"/>
          <w:sz w:val="18"/>
          <w:szCs w:val="18"/>
          <w:color w:val="auto"/>
        </w:rPr>
        <w:t xml:space="preserve"> Place: </w:t>
      </w:r>
      <w:r>
        <w:rPr>
          <w:rFonts w:ascii="Arial" w:cs="Arial" w:eastAsia="Arial" w:hAnsi="Arial"/>
          <w:sz w:val="18"/>
          <w:szCs w:val="18"/>
          <w:color w:val="1C90D3"/>
        </w:rPr>
        <w:t>General Motors Global Headquarters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-19050</wp:posOffset>
            </wp:positionV>
            <wp:extent cx="17145" cy="342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7145" cy="34290"/>
                    </a:xfrm>
                    <a:prstGeom prst="rect">
                      <a:avLst/>
                    </a:prstGeom>
                    <a:noFill/>
                  </pic:spPr>
                </pic:pic>
              </a:graphicData>
            </a:graphic>
          </wp:anchor>
        </w:drawing>
        <w:drawing>
          <wp:anchor simplePos="0" relativeHeight="251657728" behindDoc="1" locked="0" layoutInCell="0" allowOverlap="1">
            <wp:simplePos x="0" y="0"/>
            <wp:positionH relativeFrom="column">
              <wp:posOffset>3495675</wp:posOffset>
            </wp:positionH>
            <wp:positionV relativeFrom="paragraph">
              <wp:posOffset>-113030</wp:posOffset>
            </wp:positionV>
            <wp:extent cx="1714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3495675</wp:posOffset>
            </wp:positionH>
            <wp:positionV relativeFrom="paragraph">
              <wp:posOffset>-78740</wp:posOffset>
            </wp:positionV>
            <wp:extent cx="1714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3495675</wp:posOffset>
            </wp:positionH>
            <wp:positionV relativeFrom="paragraph">
              <wp:posOffset>-44450</wp:posOffset>
            </wp:positionV>
            <wp:extent cx="1714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-19050</wp:posOffset>
            </wp:positionV>
            <wp:extent cx="17145" cy="342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7145" cy="34290"/>
                    </a:xfrm>
                    <a:prstGeom prst="rect">
                      <a:avLst/>
                    </a:prstGeom>
                    <a:noFill/>
                  </pic:spPr>
                </pic:pic>
              </a:graphicData>
            </a:graphic>
          </wp:anchor>
        </w:drawing>
      </w:r>
    </w:p>
    <w:p>
      <w:pPr>
        <w:ind w:left="680"/>
        <w:spacing w:after="0"/>
        <w:rPr>
          <w:sz w:val="20"/>
          <w:szCs w:val="20"/>
          <w:color w:val="auto"/>
        </w:rPr>
      </w:pPr>
      <w:r>
        <w:rPr>
          <w:rFonts w:ascii="Arial" w:cs="Arial" w:eastAsia="Arial" w:hAnsi="Arial"/>
          <w:sz w:val="18"/>
          <w:szCs w:val="18"/>
          <w:color w:val="1C90D3"/>
        </w:rPr>
        <w:t>300 Renaissance Center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-19050</wp:posOffset>
            </wp:positionV>
            <wp:extent cx="17145" cy="342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7145" cy="34290"/>
                    </a:xfrm>
                    <a:prstGeom prst="rect">
                      <a:avLst/>
                    </a:prstGeom>
                    <a:noFill/>
                  </pic:spPr>
                </pic:pic>
              </a:graphicData>
            </a:graphic>
          </wp:anchor>
        </w:drawing>
        <w:drawing>
          <wp:anchor simplePos="0" relativeHeight="251657728" behindDoc="1" locked="0" layoutInCell="0" allowOverlap="1">
            <wp:simplePos x="0" y="0"/>
            <wp:positionH relativeFrom="column">
              <wp:posOffset>3495675</wp:posOffset>
            </wp:positionH>
            <wp:positionV relativeFrom="paragraph">
              <wp:posOffset>-113030</wp:posOffset>
            </wp:positionV>
            <wp:extent cx="1714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3495675</wp:posOffset>
            </wp:positionH>
            <wp:positionV relativeFrom="paragraph">
              <wp:posOffset>-78740</wp:posOffset>
            </wp:positionV>
            <wp:extent cx="1714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3495675</wp:posOffset>
            </wp:positionH>
            <wp:positionV relativeFrom="paragraph">
              <wp:posOffset>-44450</wp:posOffset>
            </wp:positionV>
            <wp:extent cx="1714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-19050</wp:posOffset>
            </wp:positionV>
            <wp:extent cx="17145" cy="342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714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-113030</wp:posOffset>
            </wp:positionV>
            <wp:extent cx="1714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-78740</wp:posOffset>
            </wp:positionV>
            <wp:extent cx="1714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-44450</wp:posOffset>
            </wp:positionV>
            <wp:extent cx="1714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ind w:left="680"/>
        <w:spacing w:after="0"/>
        <w:rPr>
          <w:sz w:val="20"/>
          <w:szCs w:val="20"/>
          <w:color w:val="auto"/>
        </w:rPr>
      </w:pPr>
      <w:r>
        <w:rPr>
          <w:rFonts w:ascii="Arial" w:cs="Arial" w:eastAsia="Arial" w:hAnsi="Arial"/>
          <w:sz w:val="18"/>
          <w:szCs w:val="18"/>
          <w:color w:val="1C90D3"/>
        </w:rPr>
        <w:t>Detroit, Michigan 48265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48895</wp:posOffset>
            </wp:positionV>
            <wp:extent cx="1714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511810</wp:posOffset>
            </wp:positionH>
            <wp:positionV relativeFrom="paragraph">
              <wp:posOffset>48895</wp:posOffset>
            </wp:positionV>
            <wp:extent cx="1714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546100</wp:posOffset>
            </wp:positionH>
            <wp:positionV relativeFrom="paragraph">
              <wp:posOffset>48895</wp:posOffset>
            </wp:positionV>
            <wp:extent cx="1714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580390</wp:posOffset>
            </wp:positionH>
            <wp:positionV relativeFrom="paragraph">
              <wp:posOffset>48895</wp:posOffset>
            </wp:positionV>
            <wp:extent cx="1714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614680</wp:posOffset>
            </wp:positionH>
            <wp:positionV relativeFrom="paragraph">
              <wp:posOffset>48895</wp:posOffset>
            </wp:positionV>
            <wp:extent cx="1714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648970</wp:posOffset>
            </wp:positionH>
            <wp:positionV relativeFrom="paragraph">
              <wp:posOffset>48895</wp:posOffset>
            </wp:positionV>
            <wp:extent cx="1714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683260</wp:posOffset>
            </wp:positionH>
            <wp:positionV relativeFrom="paragraph">
              <wp:posOffset>48895</wp:posOffset>
            </wp:positionV>
            <wp:extent cx="1714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717550</wp:posOffset>
            </wp:positionH>
            <wp:positionV relativeFrom="paragraph">
              <wp:posOffset>48895</wp:posOffset>
            </wp:positionV>
            <wp:extent cx="1714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751840</wp:posOffset>
            </wp:positionH>
            <wp:positionV relativeFrom="paragraph">
              <wp:posOffset>48895</wp:posOffset>
            </wp:positionV>
            <wp:extent cx="1714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786130</wp:posOffset>
            </wp:positionH>
            <wp:positionV relativeFrom="paragraph">
              <wp:posOffset>48895</wp:posOffset>
            </wp:positionV>
            <wp:extent cx="1714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820420</wp:posOffset>
            </wp:positionH>
            <wp:positionV relativeFrom="paragraph">
              <wp:posOffset>48895</wp:posOffset>
            </wp:positionV>
            <wp:extent cx="1714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854710</wp:posOffset>
            </wp:positionH>
            <wp:positionV relativeFrom="paragraph">
              <wp:posOffset>48895</wp:posOffset>
            </wp:positionV>
            <wp:extent cx="1714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889000</wp:posOffset>
            </wp:positionH>
            <wp:positionV relativeFrom="paragraph">
              <wp:posOffset>48895</wp:posOffset>
            </wp:positionV>
            <wp:extent cx="1714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923290</wp:posOffset>
            </wp:positionH>
            <wp:positionV relativeFrom="paragraph">
              <wp:posOffset>48895</wp:posOffset>
            </wp:positionV>
            <wp:extent cx="1714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957580</wp:posOffset>
            </wp:positionH>
            <wp:positionV relativeFrom="paragraph">
              <wp:posOffset>48895</wp:posOffset>
            </wp:positionV>
            <wp:extent cx="1714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991870</wp:posOffset>
            </wp:positionH>
            <wp:positionV relativeFrom="paragraph">
              <wp:posOffset>48895</wp:posOffset>
            </wp:positionV>
            <wp:extent cx="1714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1026160</wp:posOffset>
            </wp:positionH>
            <wp:positionV relativeFrom="paragraph">
              <wp:posOffset>48895</wp:posOffset>
            </wp:positionV>
            <wp:extent cx="1714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1060450</wp:posOffset>
            </wp:positionH>
            <wp:positionV relativeFrom="paragraph">
              <wp:posOffset>48895</wp:posOffset>
            </wp:positionV>
            <wp:extent cx="1714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1094740</wp:posOffset>
            </wp:positionH>
            <wp:positionV relativeFrom="paragraph">
              <wp:posOffset>48895</wp:posOffset>
            </wp:positionV>
            <wp:extent cx="1714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1129030</wp:posOffset>
            </wp:positionH>
            <wp:positionV relativeFrom="paragraph">
              <wp:posOffset>48895</wp:posOffset>
            </wp:positionV>
            <wp:extent cx="1714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1163320</wp:posOffset>
            </wp:positionH>
            <wp:positionV relativeFrom="paragraph">
              <wp:posOffset>48895</wp:posOffset>
            </wp:positionV>
            <wp:extent cx="1714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1197610</wp:posOffset>
            </wp:positionH>
            <wp:positionV relativeFrom="paragraph">
              <wp:posOffset>48895</wp:posOffset>
            </wp:positionV>
            <wp:extent cx="1714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1231900</wp:posOffset>
            </wp:positionH>
            <wp:positionV relativeFrom="paragraph">
              <wp:posOffset>48895</wp:posOffset>
            </wp:positionV>
            <wp:extent cx="1714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1266190</wp:posOffset>
            </wp:positionH>
            <wp:positionV relativeFrom="paragraph">
              <wp:posOffset>48895</wp:posOffset>
            </wp:positionV>
            <wp:extent cx="1714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1300480</wp:posOffset>
            </wp:positionH>
            <wp:positionV relativeFrom="paragraph">
              <wp:posOffset>48895</wp:posOffset>
            </wp:positionV>
            <wp:extent cx="1714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1334770</wp:posOffset>
            </wp:positionH>
            <wp:positionV relativeFrom="paragraph">
              <wp:posOffset>48895</wp:posOffset>
            </wp:positionV>
            <wp:extent cx="1714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1369060</wp:posOffset>
            </wp:positionH>
            <wp:positionV relativeFrom="paragraph">
              <wp:posOffset>48895</wp:posOffset>
            </wp:positionV>
            <wp:extent cx="1714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1403350</wp:posOffset>
            </wp:positionH>
            <wp:positionV relativeFrom="paragraph">
              <wp:posOffset>48895</wp:posOffset>
            </wp:positionV>
            <wp:extent cx="1714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1437640</wp:posOffset>
            </wp:positionH>
            <wp:positionV relativeFrom="paragraph">
              <wp:posOffset>48895</wp:posOffset>
            </wp:positionV>
            <wp:extent cx="1714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1471930</wp:posOffset>
            </wp:positionH>
            <wp:positionV relativeFrom="paragraph">
              <wp:posOffset>48895</wp:posOffset>
            </wp:positionV>
            <wp:extent cx="1714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1506220</wp:posOffset>
            </wp:positionH>
            <wp:positionV relativeFrom="paragraph">
              <wp:posOffset>48895</wp:posOffset>
            </wp:positionV>
            <wp:extent cx="1714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1540510</wp:posOffset>
            </wp:positionH>
            <wp:positionV relativeFrom="paragraph">
              <wp:posOffset>48895</wp:posOffset>
            </wp:positionV>
            <wp:extent cx="1714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1574800</wp:posOffset>
            </wp:positionH>
            <wp:positionV relativeFrom="paragraph">
              <wp:posOffset>48895</wp:posOffset>
            </wp:positionV>
            <wp:extent cx="1714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1609090</wp:posOffset>
            </wp:positionH>
            <wp:positionV relativeFrom="paragraph">
              <wp:posOffset>48895</wp:posOffset>
            </wp:positionV>
            <wp:extent cx="1714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1643380</wp:posOffset>
            </wp:positionH>
            <wp:positionV relativeFrom="paragraph">
              <wp:posOffset>48895</wp:posOffset>
            </wp:positionV>
            <wp:extent cx="1714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1677670</wp:posOffset>
            </wp:positionH>
            <wp:positionV relativeFrom="paragraph">
              <wp:posOffset>48895</wp:posOffset>
            </wp:positionV>
            <wp:extent cx="1714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1711960</wp:posOffset>
            </wp:positionH>
            <wp:positionV relativeFrom="paragraph">
              <wp:posOffset>48895</wp:posOffset>
            </wp:positionV>
            <wp:extent cx="1714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1746250</wp:posOffset>
            </wp:positionH>
            <wp:positionV relativeFrom="paragraph">
              <wp:posOffset>48895</wp:posOffset>
            </wp:positionV>
            <wp:extent cx="1714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1780540</wp:posOffset>
            </wp:positionH>
            <wp:positionV relativeFrom="paragraph">
              <wp:posOffset>48895</wp:posOffset>
            </wp:positionV>
            <wp:extent cx="1714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1814830</wp:posOffset>
            </wp:positionH>
            <wp:positionV relativeFrom="paragraph">
              <wp:posOffset>48895</wp:posOffset>
            </wp:positionV>
            <wp:extent cx="1714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1849120</wp:posOffset>
            </wp:positionH>
            <wp:positionV relativeFrom="paragraph">
              <wp:posOffset>48895</wp:posOffset>
            </wp:positionV>
            <wp:extent cx="1714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1883410</wp:posOffset>
            </wp:positionH>
            <wp:positionV relativeFrom="paragraph">
              <wp:posOffset>48895</wp:posOffset>
            </wp:positionV>
            <wp:extent cx="1714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1917700</wp:posOffset>
            </wp:positionH>
            <wp:positionV relativeFrom="paragraph">
              <wp:posOffset>48895</wp:posOffset>
            </wp:positionV>
            <wp:extent cx="1714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1951990</wp:posOffset>
            </wp:positionH>
            <wp:positionV relativeFrom="paragraph">
              <wp:posOffset>48895</wp:posOffset>
            </wp:positionV>
            <wp:extent cx="1714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1986915</wp:posOffset>
            </wp:positionH>
            <wp:positionV relativeFrom="paragraph">
              <wp:posOffset>48895</wp:posOffset>
            </wp:positionV>
            <wp:extent cx="1714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2021205</wp:posOffset>
            </wp:positionH>
            <wp:positionV relativeFrom="paragraph">
              <wp:posOffset>48895</wp:posOffset>
            </wp:positionV>
            <wp:extent cx="1714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2055495</wp:posOffset>
            </wp:positionH>
            <wp:positionV relativeFrom="paragraph">
              <wp:posOffset>48895</wp:posOffset>
            </wp:positionV>
            <wp:extent cx="1714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2089785</wp:posOffset>
            </wp:positionH>
            <wp:positionV relativeFrom="paragraph">
              <wp:posOffset>48895</wp:posOffset>
            </wp:positionV>
            <wp:extent cx="1714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2124075</wp:posOffset>
            </wp:positionH>
            <wp:positionV relativeFrom="paragraph">
              <wp:posOffset>48895</wp:posOffset>
            </wp:positionV>
            <wp:extent cx="1714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2158365</wp:posOffset>
            </wp:positionH>
            <wp:positionV relativeFrom="paragraph">
              <wp:posOffset>48895</wp:posOffset>
            </wp:positionV>
            <wp:extent cx="1714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2192655</wp:posOffset>
            </wp:positionH>
            <wp:positionV relativeFrom="paragraph">
              <wp:posOffset>48895</wp:posOffset>
            </wp:positionV>
            <wp:extent cx="1714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2226945</wp:posOffset>
            </wp:positionH>
            <wp:positionV relativeFrom="paragraph">
              <wp:posOffset>48895</wp:posOffset>
            </wp:positionV>
            <wp:extent cx="1714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2261235</wp:posOffset>
            </wp:positionH>
            <wp:positionV relativeFrom="paragraph">
              <wp:posOffset>48895</wp:posOffset>
            </wp:positionV>
            <wp:extent cx="1714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2295525</wp:posOffset>
            </wp:positionH>
            <wp:positionV relativeFrom="paragraph">
              <wp:posOffset>48895</wp:posOffset>
            </wp:positionV>
            <wp:extent cx="1714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2329815</wp:posOffset>
            </wp:positionH>
            <wp:positionV relativeFrom="paragraph">
              <wp:posOffset>48895</wp:posOffset>
            </wp:positionV>
            <wp:extent cx="1714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2364105</wp:posOffset>
            </wp:positionH>
            <wp:positionV relativeFrom="paragraph">
              <wp:posOffset>48895</wp:posOffset>
            </wp:positionV>
            <wp:extent cx="1714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2398395</wp:posOffset>
            </wp:positionH>
            <wp:positionV relativeFrom="paragraph">
              <wp:posOffset>48895</wp:posOffset>
            </wp:positionV>
            <wp:extent cx="1714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2432685</wp:posOffset>
            </wp:positionH>
            <wp:positionV relativeFrom="paragraph">
              <wp:posOffset>48895</wp:posOffset>
            </wp:positionV>
            <wp:extent cx="1714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2466975</wp:posOffset>
            </wp:positionH>
            <wp:positionV relativeFrom="paragraph">
              <wp:posOffset>48895</wp:posOffset>
            </wp:positionV>
            <wp:extent cx="1714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2501265</wp:posOffset>
            </wp:positionH>
            <wp:positionV relativeFrom="paragraph">
              <wp:posOffset>48895</wp:posOffset>
            </wp:positionV>
            <wp:extent cx="1714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2535555</wp:posOffset>
            </wp:positionH>
            <wp:positionV relativeFrom="paragraph">
              <wp:posOffset>48895</wp:posOffset>
            </wp:positionV>
            <wp:extent cx="1714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2569845</wp:posOffset>
            </wp:positionH>
            <wp:positionV relativeFrom="paragraph">
              <wp:posOffset>48895</wp:posOffset>
            </wp:positionV>
            <wp:extent cx="1714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2604135</wp:posOffset>
            </wp:positionH>
            <wp:positionV relativeFrom="paragraph">
              <wp:posOffset>48895</wp:posOffset>
            </wp:positionV>
            <wp:extent cx="1714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2638425</wp:posOffset>
            </wp:positionH>
            <wp:positionV relativeFrom="paragraph">
              <wp:posOffset>48895</wp:posOffset>
            </wp:positionV>
            <wp:extent cx="1714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2672715</wp:posOffset>
            </wp:positionH>
            <wp:positionV relativeFrom="paragraph">
              <wp:posOffset>48895</wp:posOffset>
            </wp:positionV>
            <wp:extent cx="1714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2707005</wp:posOffset>
            </wp:positionH>
            <wp:positionV relativeFrom="paragraph">
              <wp:posOffset>48895</wp:posOffset>
            </wp:positionV>
            <wp:extent cx="1714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2741295</wp:posOffset>
            </wp:positionH>
            <wp:positionV relativeFrom="paragraph">
              <wp:posOffset>48895</wp:posOffset>
            </wp:positionV>
            <wp:extent cx="1714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2775585</wp:posOffset>
            </wp:positionH>
            <wp:positionV relativeFrom="paragraph">
              <wp:posOffset>48895</wp:posOffset>
            </wp:positionV>
            <wp:extent cx="1714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2809875</wp:posOffset>
            </wp:positionH>
            <wp:positionV relativeFrom="paragraph">
              <wp:posOffset>48895</wp:posOffset>
            </wp:positionV>
            <wp:extent cx="1714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2844165</wp:posOffset>
            </wp:positionH>
            <wp:positionV relativeFrom="paragraph">
              <wp:posOffset>48895</wp:posOffset>
            </wp:positionV>
            <wp:extent cx="1714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2878455</wp:posOffset>
            </wp:positionH>
            <wp:positionV relativeFrom="paragraph">
              <wp:posOffset>48895</wp:posOffset>
            </wp:positionV>
            <wp:extent cx="1714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2912745</wp:posOffset>
            </wp:positionH>
            <wp:positionV relativeFrom="paragraph">
              <wp:posOffset>48895</wp:posOffset>
            </wp:positionV>
            <wp:extent cx="1714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2947035</wp:posOffset>
            </wp:positionH>
            <wp:positionV relativeFrom="paragraph">
              <wp:posOffset>48895</wp:posOffset>
            </wp:positionV>
            <wp:extent cx="1714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2981325</wp:posOffset>
            </wp:positionH>
            <wp:positionV relativeFrom="paragraph">
              <wp:posOffset>48895</wp:posOffset>
            </wp:positionV>
            <wp:extent cx="1714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3015615</wp:posOffset>
            </wp:positionH>
            <wp:positionV relativeFrom="paragraph">
              <wp:posOffset>48895</wp:posOffset>
            </wp:positionV>
            <wp:extent cx="1714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3049905</wp:posOffset>
            </wp:positionH>
            <wp:positionV relativeFrom="paragraph">
              <wp:posOffset>48895</wp:posOffset>
            </wp:positionV>
            <wp:extent cx="1714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3084195</wp:posOffset>
            </wp:positionH>
            <wp:positionV relativeFrom="paragraph">
              <wp:posOffset>48895</wp:posOffset>
            </wp:positionV>
            <wp:extent cx="1714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3118485</wp:posOffset>
            </wp:positionH>
            <wp:positionV relativeFrom="paragraph">
              <wp:posOffset>48895</wp:posOffset>
            </wp:positionV>
            <wp:extent cx="1714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3152775</wp:posOffset>
            </wp:positionH>
            <wp:positionV relativeFrom="paragraph">
              <wp:posOffset>48895</wp:posOffset>
            </wp:positionV>
            <wp:extent cx="1714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3187065</wp:posOffset>
            </wp:positionH>
            <wp:positionV relativeFrom="paragraph">
              <wp:posOffset>48895</wp:posOffset>
            </wp:positionV>
            <wp:extent cx="1714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3221355</wp:posOffset>
            </wp:positionH>
            <wp:positionV relativeFrom="paragraph">
              <wp:posOffset>48895</wp:posOffset>
            </wp:positionV>
            <wp:extent cx="17145"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3255645</wp:posOffset>
            </wp:positionH>
            <wp:positionV relativeFrom="paragraph">
              <wp:posOffset>48895</wp:posOffset>
            </wp:positionV>
            <wp:extent cx="1714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3289935</wp:posOffset>
            </wp:positionH>
            <wp:positionV relativeFrom="paragraph">
              <wp:posOffset>48895</wp:posOffset>
            </wp:positionV>
            <wp:extent cx="1714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3324225</wp:posOffset>
            </wp:positionH>
            <wp:positionV relativeFrom="paragraph">
              <wp:posOffset>48895</wp:posOffset>
            </wp:positionV>
            <wp:extent cx="1714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3358515</wp:posOffset>
            </wp:positionH>
            <wp:positionV relativeFrom="paragraph">
              <wp:posOffset>48895</wp:posOffset>
            </wp:positionV>
            <wp:extent cx="1714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3392805</wp:posOffset>
            </wp:positionH>
            <wp:positionV relativeFrom="paragraph">
              <wp:posOffset>48895</wp:posOffset>
            </wp:positionV>
            <wp:extent cx="1714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3427095</wp:posOffset>
            </wp:positionH>
            <wp:positionV relativeFrom="paragraph">
              <wp:posOffset>48895</wp:posOffset>
            </wp:positionV>
            <wp:extent cx="1714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48895</wp:posOffset>
            </wp:positionV>
            <wp:extent cx="1714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3495675</wp:posOffset>
            </wp:positionH>
            <wp:positionV relativeFrom="paragraph">
              <wp:posOffset>48895</wp:posOffset>
            </wp:positionV>
            <wp:extent cx="1714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3495675</wp:posOffset>
            </wp:positionH>
            <wp:positionV relativeFrom="paragraph">
              <wp:posOffset>-113030</wp:posOffset>
            </wp:positionV>
            <wp:extent cx="17145"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3495675</wp:posOffset>
            </wp:positionH>
            <wp:positionV relativeFrom="paragraph">
              <wp:posOffset>-78740</wp:posOffset>
            </wp:positionV>
            <wp:extent cx="1714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3495675</wp:posOffset>
            </wp:positionH>
            <wp:positionV relativeFrom="paragraph">
              <wp:posOffset>-44450</wp:posOffset>
            </wp:positionV>
            <wp:extent cx="17145"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3495675</wp:posOffset>
            </wp:positionH>
            <wp:positionV relativeFrom="paragraph">
              <wp:posOffset>-10160</wp:posOffset>
            </wp:positionV>
            <wp:extent cx="1714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3495675</wp:posOffset>
            </wp:positionH>
            <wp:positionV relativeFrom="paragraph">
              <wp:posOffset>23495</wp:posOffset>
            </wp:positionV>
            <wp:extent cx="17145"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48895</wp:posOffset>
            </wp:positionV>
            <wp:extent cx="44577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45770"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-113030</wp:posOffset>
            </wp:positionV>
            <wp:extent cx="17145"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-78740</wp:posOffset>
            </wp:positionV>
            <wp:extent cx="17145"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-44450</wp:posOffset>
            </wp:positionV>
            <wp:extent cx="17145"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-10160</wp:posOffset>
            </wp:positionV>
            <wp:extent cx="17145"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23495</wp:posOffset>
            </wp:positionV>
            <wp:extent cx="17145"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spacing w:after="0" w:line="293" w:lineRule="exact"/>
        <w:rPr>
          <w:sz w:val="20"/>
          <w:szCs w:val="20"/>
          <w:color w:val="auto"/>
        </w:rPr>
      </w:pPr>
    </w:p>
    <w:p>
      <w:pPr>
        <w:sectPr>
          <w:pgSz w:w="11900" w:h="16838" w:orient="portrait"/>
          <w:cols w:equalWidth="0" w:num="2">
            <w:col w:w="5100" w:space="720"/>
            <w:col w:w="5600"/>
          </w:cols>
          <w:pgMar w:left="240" w:top="418" w:right="2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April 22, 2016</w:t>
      </w:r>
    </w:p>
    <w:p>
      <w:pPr>
        <w:sectPr>
          <w:pgSz w:w="11900" w:h="16838" w:orient="portrait"/>
          <w:cols w:equalWidth="0" w:num="1">
            <w:col w:w="11420"/>
          </w:cols>
          <w:pgMar w:left="240" w:top="418" w:right="239" w:bottom="1440" w:gutter="0" w:footer="0" w:header="0"/>
          <w:type w:val="continuous"/>
        </w:sectPr>
      </w:pPr>
    </w:p>
    <w:p>
      <w:pPr>
        <w:spacing w:after="0" w:line="315" w:lineRule="exact"/>
        <w:rPr>
          <w:sz w:val="20"/>
          <w:szCs w:val="20"/>
          <w:color w:val="auto"/>
        </w:rPr>
      </w:pPr>
    </w:p>
    <w:p>
      <w:pPr>
        <w:spacing w:after="0"/>
        <w:rPr>
          <w:sz w:val="20"/>
          <w:szCs w:val="20"/>
          <w:color w:val="auto"/>
        </w:rPr>
      </w:pPr>
      <w:r>
        <w:rPr>
          <w:rFonts w:ascii="Arial" w:cs="Arial" w:eastAsia="Arial" w:hAnsi="Arial"/>
          <w:sz w:val="25"/>
          <w:szCs w:val="25"/>
          <w:color w:val="1C90D3"/>
        </w:rPr>
        <w:t>Dear Fellow Shareholder:</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You are cordially invited to attend the Annual Meeting of Shareholders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General Motors Company. At the meeting you will be asked to:</w:t>
      </w:r>
    </w:p>
    <w:p>
      <w:pPr>
        <w:spacing w:after="0" w:line="194" w:lineRule="exact"/>
        <w:rPr>
          <w:sz w:val="20"/>
          <w:szCs w:val="20"/>
          <w:color w:val="auto"/>
        </w:rPr>
      </w:pPr>
    </w:p>
    <w:p>
      <w:pPr>
        <w:ind w:left="180" w:hanging="172"/>
        <w:spacing w:after="0"/>
        <w:tabs>
          <w:tab w:leader="none" w:pos="180" w:val="left"/>
        </w:tabs>
        <w:numPr>
          <w:ilvl w:val="0"/>
          <w:numId w:val="3"/>
        </w:numPr>
        <w:rPr>
          <w:rFonts w:ascii="Arial" w:cs="Arial" w:eastAsia="Arial" w:hAnsi="Arial"/>
          <w:sz w:val="16"/>
          <w:szCs w:val="16"/>
          <w:color w:val="1C90D3"/>
        </w:rPr>
      </w:pPr>
      <w:r>
        <w:rPr>
          <w:rFonts w:ascii="Arial" w:cs="Arial" w:eastAsia="Arial" w:hAnsi="Arial"/>
          <w:sz w:val="16"/>
          <w:szCs w:val="16"/>
          <w:color w:val="auto"/>
        </w:rPr>
        <w:t>Elect the 12 director nominees named in this Proxy Statement;</w:t>
      </w:r>
    </w:p>
    <w:p>
      <w:pPr>
        <w:spacing w:after="0" w:line="194" w:lineRule="exact"/>
        <w:rPr>
          <w:rFonts w:ascii="Arial" w:cs="Arial" w:eastAsia="Arial" w:hAnsi="Arial"/>
          <w:sz w:val="16"/>
          <w:szCs w:val="16"/>
          <w:color w:val="1C90D3"/>
        </w:rPr>
      </w:pPr>
    </w:p>
    <w:p>
      <w:pPr>
        <w:ind w:left="180" w:right="80" w:hanging="172"/>
        <w:spacing w:after="0" w:line="260" w:lineRule="auto"/>
        <w:tabs>
          <w:tab w:leader="none" w:pos="180" w:val="left"/>
        </w:tabs>
        <w:numPr>
          <w:ilvl w:val="0"/>
          <w:numId w:val="3"/>
        </w:numPr>
        <w:rPr>
          <w:rFonts w:ascii="Arial" w:cs="Arial" w:eastAsia="Arial" w:hAnsi="Arial"/>
          <w:sz w:val="16"/>
          <w:szCs w:val="16"/>
          <w:color w:val="1C90D3"/>
        </w:rPr>
      </w:pPr>
      <w:r>
        <w:rPr>
          <w:rFonts w:ascii="Arial" w:cs="Arial" w:eastAsia="Arial" w:hAnsi="Arial"/>
          <w:sz w:val="16"/>
          <w:szCs w:val="16"/>
          <w:color w:val="auto"/>
        </w:rPr>
        <w:t>Approve, on an advisory basis, Named Executive Officer (“NEO”) compensation;</w:t>
      </w:r>
    </w:p>
    <w:p>
      <w:pPr>
        <w:spacing w:after="0" w:line="168" w:lineRule="exact"/>
        <w:rPr>
          <w:rFonts w:ascii="Arial" w:cs="Arial" w:eastAsia="Arial" w:hAnsi="Arial"/>
          <w:sz w:val="16"/>
          <w:szCs w:val="16"/>
          <w:color w:val="1C90D3"/>
        </w:rPr>
      </w:pPr>
    </w:p>
    <w:p>
      <w:pPr>
        <w:ind w:left="180" w:right="60" w:hanging="172"/>
        <w:spacing w:after="0" w:line="260" w:lineRule="auto"/>
        <w:tabs>
          <w:tab w:leader="none" w:pos="180" w:val="left"/>
        </w:tabs>
        <w:numPr>
          <w:ilvl w:val="0"/>
          <w:numId w:val="3"/>
        </w:numPr>
        <w:rPr>
          <w:rFonts w:ascii="Arial" w:cs="Arial" w:eastAsia="Arial" w:hAnsi="Arial"/>
          <w:sz w:val="16"/>
          <w:szCs w:val="16"/>
          <w:color w:val="1C90D3"/>
        </w:rPr>
      </w:pPr>
      <w:r>
        <w:rPr>
          <w:rFonts w:ascii="Arial" w:cs="Arial" w:eastAsia="Arial" w:hAnsi="Arial"/>
          <w:sz w:val="16"/>
          <w:szCs w:val="16"/>
          <w:color w:val="auto"/>
        </w:rPr>
        <w:t>Ratify the selection of Deloitte &amp; Touche LLP as the Company’s independent registered public accounting firm for 2016;</w:t>
      </w:r>
    </w:p>
    <w:p>
      <w:pPr>
        <w:spacing w:after="0" w:line="168" w:lineRule="exact"/>
        <w:rPr>
          <w:rFonts w:ascii="Arial" w:cs="Arial" w:eastAsia="Arial" w:hAnsi="Arial"/>
          <w:sz w:val="16"/>
          <w:szCs w:val="16"/>
          <w:color w:val="1C90D3"/>
        </w:rPr>
      </w:pPr>
    </w:p>
    <w:p>
      <w:pPr>
        <w:ind w:left="180" w:hanging="172"/>
        <w:spacing w:after="0"/>
        <w:tabs>
          <w:tab w:leader="none" w:pos="180" w:val="left"/>
        </w:tabs>
        <w:numPr>
          <w:ilvl w:val="0"/>
          <w:numId w:val="3"/>
        </w:numPr>
        <w:rPr>
          <w:rFonts w:ascii="Arial" w:cs="Arial" w:eastAsia="Arial" w:hAnsi="Arial"/>
          <w:sz w:val="16"/>
          <w:szCs w:val="16"/>
          <w:color w:val="1C90D3"/>
        </w:rPr>
      </w:pPr>
      <w:r>
        <w:rPr>
          <w:rFonts w:ascii="Arial" w:cs="Arial" w:eastAsia="Arial" w:hAnsi="Arial"/>
          <w:sz w:val="16"/>
          <w:szCs w:val="16"/>
          <w:color w:val="auto"/>
        </w:rPr>
        <w:t>Vote on a Rule 14a-8 shareholder proposal; and</w:t>
      </w:r>
    </w:p>
    <w:p>
      <w:pPr>
        <w:spacing w:after="0" w:line="194" w:lineRule="exact"/>
        <w:rPr>
          <w:rFonts w:ascii="Arial" w:cs="Arial" w:eastAsia="Arial" w:hAnsi="Arial"/>
          <w:sz w:val="16"/>
          <w:szCs w:val="16"/>
          <w:color w:val="1C90D3"/>
        </w:rPr>
      </w:pPr>
    </w:p>
    <w:p>
      <w:pPr>
        <w:ind w:left="180" w:hanging="172"/>
        <w:spacing w:after="0"/>
        <w:tabs>
          <w:tab w:leader="none" w:pos="180" w:val="left"/>
        </w:tabs>
        <w:numPr>
          <w:ilvl w:val="0"/>
          <w:numId w:val="3"/>
        </w:numPr>
        <w:rPr>
          <w:rFonts w:ascii="Arial" w:cs="Arial" w:eastAsia="Arial" w:hAnsi="Arial"/>
          <w:sz w:val="16"/>
          <w:szCs w:val="16"/>
          <w:color w:val="1C90D3"/>
        </w:rPr>
      </w:pPr>
      <w:r>
        <w:rPr>
          <w:rFonts w:ascii="Arial" w:cs="Arial" w:eastAsia="Arial" w:hAnsi="Arial"/>
          <w:sz w:val="16"/>
          <w:szCs w:val="16"/>
          <w:color w:val="auto"/>
        </w:rPr>
        <w:t>Transact any other business that is properly brought before the meeting.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08228B"/>
        </w:rPr>
        <w:t>Record Date</w:t>
      </w:r>
    </w:p>
    <w:p>
      <w:pPr>
        <w:spacing w:after="0" w:line="20" w:lineRule="exact"/>
        <w:rPr>
          <w:sz w:val="20"/>
          <w:szCs w:val="20"/>
          <w:color w:val="auto"/>
        </w:rPr>
      </w:pPr>
      <w:r>
        <w:rPr>
          <w:sz w:val="20"/>
          <w:szCs w:val="20"/>
          <w:color w:val="auto"/>
        </w:rPr>
        <w:br w:type="column"/>
      </w:r>
    </w:p>
    <w:p>
      <w:pPr>
        <w:spacing w:after="0" w:line="262"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color w:val="1C90D3"/>
        </w:rPr>
        <w:t xml:space="preserve">Your vote is important. </w:t>
      </w:r>
      <w:r>
        <w:rPr>
          <w:rFonts w:ascii="Arial" w:cs="Arial" w:eastAsia="Arial" w:hAnsi="Arial"/>
          <w:sz w:val="16"/>
          <w:szCs w:val="16"/>
          <w:color w:val="000000"/>
        </w:rPr>
        <w:t>So that your shares will be represented and voted at</w:t>
      </w:r>
      <w:r>
        <w:rPr>
          <w:rFonts w:ascii="Arial" w:cs="Arial" w:eastAsia="Arial" w:hAnsi="Arial"/>
          <w:sz w:val="16"/>
          <w:szCs w:val="16"/>
          <w:b w:val="1"/>
          <w:bCs w:val="1"/>
          <w:color w:val="1C90D3"/>
        </w:rPr>
        <w:t xml:space="preserve"> </w:t>
      </w:r>
      <w:r>
        <w:rPr>
          <w:rFonts w:ascii="Arial" w:cs="Arial" w:eastAsia="Arial" w:hAnsi="Arial"/>
          <w:sz w:val="16"/>
          <w:szCs w:val="16"/>
          <w:color w:val="000000"/>
        </w:rPr>
        <w:t>the meeting, please submit your vote as soon as possible by one of the following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1471930</wp:posOffset>
            </wp:positionH>
            <wp:positionV relativeFrom="paragraph">
              <wp:posOffset>103505</wp:posOffset>
            </wp:positionV>
            <wp:extent cx="600075" cy="60896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00075" cy="608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40"/>
        <w:spacing w:after="0"/>
        <w:rPr>
          <w:sz w:val="20"/>
          <w:szCs w:val="20"/>
          <w:color w:val="auto"/>
        </w:rPr>
      </w:pPr>
      <w:r>
        <w:rPr>
          <w:rFonts w:ascii="Arial" w:cs="Arial" w:eastAsia="Arial" w:hAnsi="Arial"/>
          <w:sz w:val="16"/>
          <w:szCs w:val="16"/>
          <w:b w:val="1"/>
          <w:bCs w:val="1"/>
          <w:color w:val="auto"/>
        </w:rPr>
        <w:t xml:space="preserve">Using the Internet </w:t>
      </w:r>
      <w:r>
        <w:rPr>
          <w:rFonts w:ascii="Arial" w:cs="Arial" w:eastAsia="Arial" w:hAnsi="Arial"/>
          <w:sz w:val="16"/>
          <w:szCs w:val="16"/>
          <w:i w:val="1"/>
          <w:iCs w:val="1"/>
          <w:color w:val="auto"/>
        </w:rPr>
        <w:t>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1471930</wp:posOffset>
            </wp:positionH>
            <wp:positionV relativeFrom="paragraph">
              <wp:posOffset>126365</wp:posOffset>
            </wp:positionV>
            <wp:extent cx="600075" cy="5918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00075"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 xml:space="preserve">Scanning this QR code </w:t>
      </w:r>
      <w:r>
        <w:rPr>
          <w:rFonts w:ascii="Arial" w:cs="Arial" w:eastAsia="Arial" w:hAnsi="Arial"/>
          <w:sz w:val="16"/>
          <w:szCs w:val="16"/>
          <w:i w:val="1"/>
          <w:iCs w:val="1"/>
          <w:color w:val="auto"/>
        </w:rPr>
        <w:t>to vote with your mobile device</w:t>
      </w:r>
    </w:p>
    <w:p>
      <w:pPr>
        <w:spacing w:after="0" w:line="281" w:lineRule="exact"/>
        <w:rPr>
          <w:sz w:val="20"/>
          <w:szCs w:val="20"/>
          <w:color w:val="auto"/>
        </w:rPr>
      </w:pPr>
    </w:p>
    <w:p>
      <w:pPr>
        <w:sectPr>
          <w:pgSz w:w="11900" w:h="16838" w:orient="portrait"/>
          <w:cols w:equalWidth="0" w:num="2">
            <w:col w:w="5600" w:space="220"/>
            <w:col w:w="5600"/>
          </w:cols>
          <w:pgMar w:left="240" w:top="418" w:right="239" w:bottom="1440" w:gutter="0" w:footer="0" w:header="0"/>
          <w:type w:val="continuous"/>
        </w:sectPr>
      </w:pPr>
    </w:p>
    <w:p>
      <w:pPr>
        <w:spacing w:after="0"/>
        <w:rPr>
          <w:sz w:val="20"/>
          <w:szCs w:val="20"/>
          <w:color w:val="auto"/>
        </w:rPr>
      </w:pPr>
      <w:r>
        <w:rPr>
          <w:rFonts w:ascii="Arial" w:cs="Arial" w:eastAsia="Arial" w:hAnsi="Arial"/>
          <w:sz w:val="16"/>
          <w:szCs w:val="16"/>
          <w:color w:val="auto"/>
        </w:rPr>
        <w:t>You are entitled to vote at the meeting if you were a holder of record of GM</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common stock at the close of business on April 8, 2016.</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08228B"/>
        </w:rPr>
        <w:t>Attending the Annual Meeting</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6500" w:type="dxa"/>
            <w:vAlign w:val="bottom"/>
          </w:tcPr>
          <w:p>
            <w:pPr>
              <w:spacing w:after="0"/>
              <w:rPr>
                <w:sz w:val="20"/>
                <w:szCs w:val="20"/>
                <w:color w:val="auto"/>
              </w:rPr>
            </w:pPr>
            <w:r>
              <w:rPr>
                <w:rFonts w:ascii="Arial" w:cs="Arial" w:eastAsia="Arial" w:hAnsi="Arial"/>
                <w:sz w:val="16"/>
                <w:szCs w:val="16"/>
                <w:color w:val="auto"/>
              </w:rPr>
              <w:t>If you plan to attend the Annual Meeting, please follow the instructions on</w:t>
            </w:r>
          </w:p>
        </w:tc>
        <w:tc>
          <w:tcPr>
            <w:tcW w:w="3280" w:type="dxa"/>
            <w:vAlign w:val="bottom"/>
          </w:tcPr>
          <w:p>
            <w:pPr>
              <w:ind w:left="900"/>
              <w:spacing w:after="0"/>
              <w:rPr>
                <w:sz w:val="20"/>
                <w:szCs w:val="20"/>
                <w:color w:val="auto"/>
              </w:rPr>
            </w:pPr>
            <w:r>
              <w:rPr>
                <w:rFonts w:ascii="Arial" w:cs="Arial" w:eastAsia="Arial" w:hAnsi="Arial"/>
                <w:sz w:val="16"/>
                <w:szCs w:val="16"/>
                <w:b w:val="1"/>
                <w:bCs w:val="1"/>
                <w:color w:val="auto"/>
              </w:rPr>
              <w:t xml:space="preserve">Calling toll-free </w:t>
            </w:r>
            <w:r>
              <w:rPr>
                <w:rFonts w:ascii="Arial" w:cs="Arial" w:eastAsia="Arial" w:hAnsi="Arial"/>
                <w:sz w:val="16"/>
                <w:szCs w:val="16"/>
                <w:i w:val="1"/>
                <w:iCs w:val="1"/>
                <w:color w:val="auto"/>
              </w:rPr>
              <w:t>1-800-690-6903</w:t>
            </w:r>
          </w:p>
        </w:tc>
      </w:tr>
      <w:tr>
        <w:trPr>
          <w:trHeight w:val="195"/>
        </w:trPr>
        <w:tc>
          <w:tcPr>
            <w:tcW w:w="6500" w:type="dxa"/>
            <w:vAlign w:val="bottom"/>
          </w:tcPr>
          <w:p>
            <w:pPr>
              <w:spacing w:after="0"/>
              <w:rPr>
                <w:sz w:val="20"/>
                <w:szCs w:val="20"/>
                <w:color w:val="auto"/>
              </w:rPr>
            </w:pPr>
            <w:r>
              <w:rPr>
                <w:rFonts w:ascii="Arial" w:cs="Arial" w:eastAsia="Arial" w:hAnsi="Arial"/>
                <w:sz w:val="16"/>
                <w:szCs w:val="16"/>
                <w:color w:val="auto"/>
              </w:rPr>
              <w:t>page 73 of this Proxy Statement.</w:t>
            </w:r>
          </w:p>
        </w:tc>
        <w:tc>
          <w:tcPr>
            <w:tcW w:w="328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5142230</wp:posOffset>
            </wp:positionH>
            <wp:positionV relativeFrom="paragraph">
              <wp:posOffset>13335</wp:posOffset>
            </wp:positionV>
            <wp:extent cx="600075" cy="60007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00075" cy="600075"/>
                    </a:xfrm>
                    <a:prstGeom prst="rect">
                      <a:avLst/>
                    </a:prstGeom>
                    <a:noFill/>
                  </pic:spPr>
                </pic:pic>
              </a:graphicData>
            </a:graphic>
          </wp:anchor>
        </w:drawing>
      </w:r>
    </w:p>
    <w:p>
      <w:pPr>
        <w:sectPr>
          <w:pgSz w:w="11900" w:h="16838" w:orient="portrait"/>
          <w:cols w:equalWidth="0" w:num="1">
            <w:col w:w="11420"/>
          </w:cols>
          <w:pgMar w:left="240" w:top="418" w:right="239" w:bottom="1440" w:gutter="0" w:footer="0" w:header="0"/>
          <w:type w:val="continuous"/>
        </w:sectPr>
      </w:pP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08228B"/>
        </w:rPr>
        <w:t>Webcast</w:t>
      </w:r>
    </w:p>
    <w:p>
      <w:pPr>
        <w:spacing w:after="0" w:line="18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 xml:space="preserve">Our Annual Meeting will be audio webcast on June 7, 2016 and may be accessed at </w:t>
      </w:r>
      <w:r>
        <w:rPr>
          <w:rFonts w:ascii="Arial" w:cs="Arial" w:eastAsia="Arial" w:hAnsi="Arial"/>
          <w:sz w:val="16"/>
          <w:szCs w:val="16"/>
          <w:i w:val="1"/>
          <w:iCs w:val="1"/>
          <w:color w:val="auto"/>
        </w:rPr>
        <w:t>www.gm.com/gmannualmeeting</w:t>
      </w:r>
      <w:r>
        <w:rPr>
          <w:rFonts w:ascii="Arial" w:cs="Arial" w:eastAsia="Arial" w:hAnsi="Arial"/>
          <w:sz w:val="16"/>
          <w:szCs w:val="16"/>
          <w:color w:val="auto"/>
        </w:rPr>
        <w:t>. Additional information regarding the audio webcast may be found on page 73.</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Thank you for your interest in GM.</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2375535" cy="121793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375535" cy="1217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1440"/>
        <w:spacing w:after="0"/>
        <w:rPr>
          <w:sz w:val="20"/>
          <w:szCs w:val="20"/>
          <w:color w:val="auto"/>
        </w:rPr>
      </w:pPr>
      <w:r>
        <w:rPr>
          <w:rFonts w:ascii="Arial" w:cs="Arial" w:eastAsia="Arial" w:hAnsi="Arial"/>
          <w:sz w:val="16"/>
          <w:szCs w:val="16"/>
          <w:b w:val="1"/>
          <w:bCs w:val="1"/>
          <w:color w:val="auto"/>
        </w:rPr>
        <w:t>Jill E. Sutton</w:t>
      </w:r>
    </w:p>
    <w:p>
      <w:pPr>
        <w:spacing w:after="0" w:line="25"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Corporate Secretary and</w:t>
      </w:r>
    </w:p>
    <w:p>
      <w:pPr>
        <w:spacing w:after="0" w:line="5"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Deputy General Counsel, Corporate, Finance</w:t>
      </w:r>
    </w:p>
    <w:p>
      <w:pPr>
        <w:spacing w:after="0" w:line="5"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and Strategic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69150" cy="1672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69150" cy="1672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20"/>
        <w:spacing w:after="0"/>
        <w:rPr>
          <w:sz w:val="20"/>
          <w:szCs w:val="20"/>
          <w:color w:val="auto"/>
        </w:rPr>
      </w:pPr>
      <w:r>
        <w:rPr>
          <w:rFonts w:ascii="Arial" w:cs="Arial" w:eastAsia="Arial" w:hAnsi="Arial"/>
          <w:sz w:val="16"/>
          <w:szCs w:val="16"/>
          <w:i w:val="1"/>
          <w:iCs w:val="1"/>
          <w:color w:val="auto"/>
        </w:rPr>
        <w:t>Mark, sign, date, and return the proxy card or voting instruction form.</w:t>
      </w:r>
    </w:p>
    <w:p>
      <w:pPr>
        <w:spacing w:after="0" w:line="210"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We are first furnishing these proxy materials to our shareholders on or about April 22, 2016.</w:t>
      </w:r>
    </w:p>
    <w:p>
      <w:pPr>
        <w:spacing w:after="0" w:line="2308" w:lineRule="exact"/>
        <w:rPr>
          <w:sz w:val="20"/>
          <w:szCs w:val="20"/>
          <w:color w:val="auto"/>
        </w:rPr>
      </w:pPr>
    </w:p>
    <w:p>
      <w:pPr>
        <w:sectPr>
          <w:pgSz w:w="11900" w:h="16838" w:orient="portrait"/>
          <w:cols w:equalWidth="0" w:num="2">
            <w:col w:w="5600" w:space="220"/>
            <w:col w:w="5600"/>
          </w:cols>
          <w:pgMar w:left="240" w:top="418" w:right="239" w:bottom="1440" w:gutter="0" w:footer="0" w:header="0"/>
          <w:type w:val="continuous"/>
        </w:sectPr>
      </w:pPr>
    </w:p>
    <w:p>
      <w:pPr>
        <w:spacing w:after="0" w:line="312" w:lineRule="exact"/>
        <w:rPr>
          <w:sz w:val="20"/>
          <w:szCs w:val="20"/>
          <w:color w:val="auto"/>
        </w:rPr>
      </w:pPr>
    </w:p>
    <w:p>
      <w:pPr>
        <w:ind w:left="280"/>
        <w:spacing w:after="0"/>
        <w:rPr>
          <w:sz w:val="20"/>
          <w:szCs w:val="20"/>
          <w:color w:val="auto"/>
        </w:rPr>
      </w:pPr>
      <w:r>
        <w:rPr>
          <w:rFonts w:ascii="Arial" w:cs="Arial" w:eastAsia="Arial" w:hAnsi="Arial"/>
          <w:sz w:val="29"/>
          <w:szCs w:val="29"/>
          <w:color w:val="auto"/>
        </w:rPr>
        <w:t>How You Can Access the Proxy Materials Online</w:t>
      </w:r>
    </w:p>
    <w:p>
      <w:pPr>
        <w:spacing w:after="0" w:line="179" w:lineRule="exact"/>
        <w:rPr>
          <w:sz w:val="20"/>
          <w:szCs w:val="20"/>
          <w:color w:val="auto"/>
        </w:rPr>
      </w:pPr>
    </w:p>
    <w:p>
      <w:pPr>
        <w:jc w:val="both"/>
        <w:ind w:left="280" w:right="3500"/>
        <w:spacing w:after="0" w:line="266" w:lineRule="auto"/>
        <w:rPr>
          <w:sz w:val="20"/>
          <w:szCs w:val="20"/>
          <w:color w:val="auto"/>
        </w:rPr>
      </w:pPr>
      <w:r>
        <w:rPr>
          <w:rFonts w:ascii="Arial" w:cs="Arial" w:eastAsia="Arial" w:hAnsi="Arial"/>
          <w:sz w:val="16"/>
          <w:szCs w:val="16"/>
          <w:b w:val="1"/>
          <w:bCs w:val="1"/>
          <w:color w:val="08228B"/>
        </w:rPr>
        <w:t>Important Notice Regarding the Availability of Proxy Materials for the 2016 GM Annual Meeting of Shareholders to Be Held on June 7, 2016. For additional information regarding Notice and Access, see page 72.</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200" w:type="dxa"/>
            <w:vAlign w:val="bottom"/>
          </w:tcPr>
          <w:p>
            <w:pPr>
              <w:ind w:left="280"/>
              <w:spacing w:after="0"/>
              <w:rPr>
                <w:sz w:val="20"/>
                <w:szCs w:val="20"/>
                <w:color w:val="auto"/>
              </w:rPr>
            </w:pPr>
            <w:r>
              <w:rPr>
                <w:rFonts w:ascii="Arial" w:cs="Arial" w:eastAsia="Arial" w:hAnsi="Arial"/>
                <w:sz w:val="16"/>
                <w:szCs w:val="16"/>
                <w:color w:val="auto"/>
              </w:rPr>
              <w:t xml:space="preserve">Our Proxy Statement and Annual Report to Shareholders are available at </w:t>
            </w:r>
            <w:r>
              <w:rPr>
                <w:rFonts w:ascii="Arial" w:cs="Arial" w:eastAsia="Arial" w:hAnsi="Arial"/>
                <w:sz w:val="16"/>
                <w:szCs w:val="16"/>
                <w:b w:val="1"/>
                <w:bCs w:val="1"/>
                <w:i w:val="1"/>
                <w:iCs w:val="1"/>
                <w:color w:val="auto"/>
              </w:rPr>
              <w:t>www.gm.com/proxymaterials</w:t>
            </w:r>
            <w:r>
              <w:rPr>
                <w:rFonts w:ascii="Arial" w:cs="Arial" w:eastAsia="Arial" w:hAnsi="Arial"/>
                <w:sz w:val="16"/>
                <w:szCs w:val="16"/>
                <w:color w:val="auto"/>
              </w:rPr>
              <w:t>.</w:t>
            </w:r>
          </w:p>
        </w:tc>
        <w:tc>
          <w:tcPr>
            <w:tcW w:w="3220" w:type="dxa"/>
            <w:vAlign w:val="bottom"/>
          </w:tcPr>
          <w:p>
            <w:pPr>
              <w:ind w:left="300"/>
              <w:spacing w:after="0"/>
              <w:rPr>
                <w:sz w:val="20"/>
                <w:szCs w:val="20"/>
                <w:color w:val="auto"/>
              </w:rPr>
            </w:pPr>
            <w:r>
              <w:rPr>
                <w:rFonts w:ascii="Arial" w:cs="Arial" w:eastAsia="Arial" w:hAnsi="Arial"/>
                <w:sz w:val="16"/>
                <w:szCs w:val="16"/>
                <w:b w:val="1"/>
                <w:bCs w:val="1"/>
                <w:i w:val="1"/>
                <w:iCs w:val="1"/>
                <w:color w:val="auto"/>
              </w:rPr>
              <w:t>www.gm.com/proxymaterials</w:t>
            </w:r>
          </w:p>
        </w:tc>
      </w:tr>
      <w:tr>
        <w:trPr>
          <w:trHeight w:val="189"/>
        </w:trPr>
        <w:tc>
          <w:tcPr>
            <w:tcW w:w="8200" w:type="dxa"/>
            <w:vAlign w:val="bottom"/>
          </w:tcPr>
          <w:p>
            <w:pPr>
              <w:ind w:left="280"/>
              <w:spacing w:after="0"/>
              <w:rPr>
                <w:sz w:val="20"/>
                <w:szCs w:val="20"/>
                <w:color w:val="auto"/>
              </w:rPr>
            </w:pPr>
            <w:r>
              <w:rPr>
                <w:rFonts w:ascii="Arial" w:cs="Arial" w:eastAsia="Arial" w:hAnsi="Arial"/>
                <w:sz w:val="16"/>
                <w:szCs w:val="16"/>
                <w:color w:val="auto"/>
              </w:rPr>
              <w:t>You may visit this website or scan the QR code with your smartphone or other mobile device to view our</w:t>
            </w:r>
          </w:p>
        </w:tc>
        <w:tc>
          <w:tcPr>
            <w:tcW w:w="3220" w:type="dxa"/>
            <w:vAlign w:val="bottom"/>
          </w:tcPr>
          <w:p>
            <w:pPr>
              <w:spacing w:after="0"/>
              <w:rPr>
                <w:sz w:val="16"/>
                <w:szCs w:val="16"/>
                <w:color w:val="auto"/>
              </w:rPr>
            </w:pPr>
          </w:p>
        </w:tc>
      </w:tr>
      <w:tr>
        <w:trPr>
          <w:trHeight w:val="195"/>
        </w:trPr>
        <w:tc>
          <w:tcPr>
            <w:tcW w:w="8200" w:type="dxa"/>
            <w:vAlign w:val="bottom"/>
          </w:tcPr>
          <w:p>
            <w:pPr>
              <w:ind w:left="280"/>
              <w:spacing w:after="0"/>
              <w:rPr>
                <w:sz w:val="20"/>
                <w:szCs w:val="20"/>
                <w:color w:val="auto"/>
              </w:rPr>
            </w:pPr>
            <w:r>
              <w:rPr>
                <w:rFonts w:ascii="Arial" w:cs="Arial" w:eastAsia="Arial" w:hAnsi="Arial"/>
                <w:sz w:val="16"/>
                <w:szCs w:val="16"/>
                <w:color w:val="auto"/>
              </w:rPr>
              <w:t>interactive Proxy Statement or to view the Annual Report.</w:t>
            </w:r>
          </w:p>
        </w:tc>
        <w:tc>
          <w:tcPr>
            <w:tcW w:w="3220" w:type="dxa"/>
            <w:vAlign w:val="bottom"/>
          </w:tcPr>
          <w:p>
            <w:pPr>
              <w:spacing w:after="0"/>
              <w:rPr>
                <w:sz w:val="16"/>
                <w:szCs w:val="16"/>
                <w:color w:val="auto"/>
              </w:rPr>
            </w:pPr>
          </w:p>
        </w:tc>
      </w:tr>
      <w:tr>
        <w:trPr>
          <w:trHeight w:val="540"/>
        </w:trPr>
        <w:tc>
          <w:tcPr>
            <w:tcW w:w="8200" w:type="dxa"/>
            <w:vAlign w:val="bottom"/>
            <w:tcBorders>
              <w:bottom w:val="single" w:sz="8" w:color="C0C0C0"/>
            </w:tcBorders>
          </w:tcPr>
          <w:p>
            <w:pPr>
              <w:spacing w:after="0"/>
              <w:rPr>
                <w:sz w:val="24"/>
                <w:szCs w:val="24"/>
                <w:color w:val="auto"/>
              </w:rPr>
            </w:pPr>
          </w:p>
        </w:tc>
        <w:tc>
          <w:tcPr>
            <w:tcW w:w="3220" w:type="dxa"/>
            <w:vAlign w:val="bottom"/>
            <w:tcBorders>
              <w:bottom w:val="single" w:sz="8" w:color="C0C0C0"/>
            </w:tcBorders>
          </w:tcPr>
          <w:p>
            <w:pPr>
              <w:spacing w:after="0"/>
              <w:rPr>
                <w:sz w:val="24"/>
                <w:szCs w:val="24"/>
                <w:color w:val="auto"/>
              </w:rPr>
            </w:pPr>
          </w:p>
        </w:tc>
      </w:tr>
    </w:tbl>
    <w:p>
      <w:pPr>
        <w:sectPr>
          <w:pgSz w:w="11900" w:h="16838" w:orient="portrait"/>
          <w:cols w:equalWidth="0" w:num="1">
            <w:col w:w="11420"/>
          </w:cols>
          <w:pgMar w:left="240" w:top="418" w:right="239" w:bottom="1440" w:gutter="0" w:footer="0" w:header="0"/>
          <w:type w:val="continuous"/>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This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3582035</wp:posOffset>
            </wp:positionV>
            <wp:extent cx="7246620" cy="342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 w:name="page8"/>
    <w:bookmarkEnd w:id="7"/>
    <w:p>
      <w:pPr>
        <w:ind w:left="100" w:right="100"/>
        <w:spacing w:after="0" w:line="26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269240</wp:posOffset>
            </wp:positionV>
            <wp:extent cx="7169150" cy="7029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69150" cy="702945"/>
                    </a:xfrm>
                    <a:prstGeom prst="rect">
                      <a:avLst/>
                    </a:prstGeom>
                    <a:noFill/>
                  </pic:spPr>
                </pic:pic>
              </a:graphicData>
            </a:graphic>
          </wp:anchor>
        </w:drawing>
        <w:t>This Proxy Statement is provided in connection with the solicitation of proxies, by order of the Board of Directors of General Motors Company, to be used at the 2016 Annual Meeting of Shareholders of the Company.</w:t>
      </w:r>
    </w:p>
    <w:p>
      <w:pPr>
        <w:spacing w:after="0" w:line="169" w:lineRule="exact"/>
        <w:rPr>
          <w:sz w:val="20"/>
          <w:szCs w:val="20"/>
          <w:color w:val="auto"/>
        </w:rPr>
      </w:pPr>
    </w:p>
    <w:p>
      <w:pPr>
        <w:ind w:left="100" w:right="100"/>
        <w:spacing w:after="0" w:line="260" w:lineRule="auto"/>
        <w:rPr>
          <w:sz w:val="20"/>
          <w:szCs w:val="20"/>
          <w:color w:val="auto"/>
        </w:rPr>
      </w:pPr>
      <w:r>
        <w:rPr>
          <w:rFonts w:ascii="Arial" w:cs="Arial" w:eastAsia="Arial" w:hAnsi="Arial"/>
          <w:sz w:val="16"/>
          <w:szCs w:val="16"/>
          <w:color w:val="auto"/>
        </w:rPr>
        <w:t>In addition to this Proxy Statement and the proxy card or voting instruction form, the GM 2015 Annual Report is provided in this package or is available through the Internet.</w:t>
      </w:r>
    </w:p>
    <w:p>
      <w:pPr>
        <w:spacing w:after="0" w:line="333" w:lineRule="exact"/>
        <w:rPr>
          <w:sz w:val="20"/>
          <w:szCs w:val="20"/>
          <w:color w:val="auto"/>
        </w:rPr>
      </w:pPr>
    </w:p>
    <w:p>
      <w:pPr>
        <w:spacing w:after="0"/>
        <w:rPr>
          <w:sz w:val="20"/>
          <w:szCs w:val="20"/>
          <w:color w:val="auto"/>
        </w:rPr>
      </w:pPr>
      <w:r>
        <w:rPr>
          <w:rFonts w:ascii="Arial" w:cs="Arial" w:eastAsia="Arial" w:hAnsi="Arial"/>
          <w:sz w:val="32"/>
          <w:szCs w:val="32"/>
          <w:b w:val="1"/>
          <w:bCs w:val="1"/>
          <w:color w:val="08228B"/>
        </w:rPr>
        <w:t>Table of Contents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10640" w:type="dxa"/>
            <w:vAlign w:val="bottom"/>
            <w:tcBorders>
              <w:bottom w:val="single" w:sz="8" w:color="58585A"/>
            </w:tcBorders>
          </w:tcPr>
          <w:p>
            <w:pPr>
              <w:spacing w:after="0"/>
              <w:rPr>
                <w:rFonts w:ascii="Arial" w:cs="Arial" w:eastAsia="Arial" w:hAnsi="Arial"/>
                <w:sz w:val="22"/>
                <w:szCs w:val="22"/>
                <w:b w:val="1"/>
                <w:bCs w:val="1"/>
                <w:color w:val="1C90D3"/>
              </w:rPr>
            </w:pPr>
            <w:hyperlink w:anchor="page10">
              <w:r>
                <w:rPr>
                  <w:rFonts w:ascii="Arial" w:cs="Arial" w:eastAsia="Arial" w:hAnsi="Arial"/>
                  <w:sz w:val="22"/>
                  <w:szCs w:val="22"/>
                  <w:b w:val="1"/>
                  <w:bCs w:val="1"/>
                  <w:color w:val="1C90D3"/>
                </w:rPr>
                <w:t>PROXY STATEMENT SUMMARY</w:t>
              </w:r>
            </w:hyperlink>
          </w:p>
        </w:tc>
        <w:tc>
          <w:tcPr>
            <w:tcW w:w="660" w:type="dxa"/>
            <w:vAlign w:val="bottom"/>
            <w:tcBorders>
              <w:bottom w:val="single" w:sz="8" w:color="58585A"/>
            </w:tcBorders>
          </w:tcPr>
          <w:p>
            <w:pPr>
              <w:jc w:val="right"/>
              <w:spacing w:after="0"/>
              <w:rPr>
                <w:rFonts w:ascii="Arial" w:cs="Arial" w:eastAsia="Arial" w:hAnsi="Arial"/>
                <w:sz w:val="22"/>
                <w:szCs w:val="22"/>
                <w:b w:val="1"/>
                <w:bCs w:val="1"/>
                <w:color w:val="1C90D3"/>
              </w:rPr>
            </w:pPr>
            <w:hyperlink w:anchor="page10">
              <w:r>
                <w:rPr>
                  <w:rFonts w:ascii="Arial" w:cs="Arial" w:eastAsia="Arial" w:hAnsi="Arial"/>
                  <w:sz w:val="22"/>
                  <w:szCs w:val="22"/>
                  <w:b w:val="1"/>
                  <w:bCs w:val="1"/>
                  <w:color w:val="1C90D3"/>
                </w:rPr>
                <w:t>6</w:t>
              </w:r>
            </w:hyperlink>
          </w:p>
        </w:tc>
        <w:tc>
          <w:tcPr>
            <w:tcW w:w="0" w:type="dxa"/>
            <w:vAlign w:val="bottom"/>
          </w:tcPr>
          <w:p>
            <w:pPr>
              <w:spacing w:after="0"/>
              <w:rPr>
                <w:sz w:val="1"/>
                <w:szCs w:val="1"/>
                <w:color w:val="auto"/>
              </w:rPr>
            </w:pPr>
          </w:p>
        </w:tc>
      </w:tr>
      <w:tr>
        <w:trPr>
          <w:trHeight w:val="547"/>
        </w:trPr>
        <w:tc>
          <w:tcPr>
            <w:tcW w:w="10640" w:type="dxa"/>
            <w:vAlign w:val="bottom"/>
            <w:tcBorders>
              <w:bottom w:val="single" w:sz="8" w:color="58585A"/>
            </w:tcBorders>
          </w:tcPr>
          <w:p>
            <w:pPr>
              <w:spacing w:after="0"/>
              <w:rPr>
                <w:rFonts w:ascii="Arial" w:cs="Arial" w:eastAsia="Arial" w:hAnsi="Arial"/>
                <w:sz w:val="22"/>
                <w:szCs w:val="22"/>
                <w:b w:val="1"/>
                <w:bCs w:val="1"/>
                <w:color w:val="1C90D3"/>
              </w:rPr>
            </w:pPr>
            <w:hyperlink w:anchor="page13">
              <w:r>
                <w:rPr>
                  <w:rFonts w:ascii="Arial" w:cs="Arial" w:eastAsia="Arial" w:hAnsi="Arial"/>
                  <w:sz w:val="22"/>
                  <w:szCs w:val="22"/>
                  <w:b w:val="1"/>
                  <w:bCs w:val="1"/>
                  <w:color w:val="1C90D3"/>
                </w:rPr>
                <w:t xml:space="preserve">ITEM NO. 1 — </w:t>
              </w:r>
              <w:r>
                <w:rPr>
                  <w:rFonts w:ascii="Arial" w:cs="Arial" w:eastAsia="Arial" w:hAnsi="Arial"/>
                  <w:sz w:val="22"/>
                  <w:szCs w:val="22"/>
                  <w:b w:val="1"/>
                  <w:bCs w:val="1"/>
                  <w:color w:val="08228B"/>
                </w:rPr>
                <w:t>ELECTION OF DIRECTORS</w:t>
              </w:r>
            </w:hyperlink>
          </w:p>
        </w:tc>
        <w:tc>
          <w:tcPr>
            <w:tcW w:w="660" w:type="dxa"/>
            <w:vAlign w:val="bottom"/>
            <w:tcBorders>
              <w:bottom w:val="single" w:sz="8" w:color="58585A"/>
            </w:tcBorders>
          </w:tcPr>
          <w:p>
            <w:pPr>
              <w:jc w:val="right"/>
              <w:spacing w:after="0"/>
              <w:rPr>
                <w:rFonts w:ascii="Arial" w:cs="Arial" w:eastAsia="Arial" w:hAnsi="Arial"/>
                <w:sz w:val="22"/>
                <w:szCs w:val="22"/>
                <w:b w:val="1"/>
                <w:bCs w:val="1"/>
                <w:color w:val="1C90D3"/>
              </w:rPr>
            </w:pPr>
            <w:hyperlink w:anchor="page13">
              <w:r>
                <w:rPr>
                  <w:rFonts w:ascii="Arial" w:cs="Arial" w:eastAsia="Arial" w:hAnsi="Arial"/>
                  <w:sz w:val="22"/>
                  <w:szCs w:val="22"/>
                  <w:b w:val="1"/>
                  <w:bCs w:val="1"/>
                  <w:color w:val="1C90D3"/>
                </w:rPr>
                <w:t>9</w:t>
              </w:r>
            </w:hyperlink>
          </w:p>
        </w:tc>
        <w:tc>
          <w:tcPr>
            <w:tcW w:w="0" w:type="dxa"/>
            <w:vAlign w:val="bottom"/>
          </w:tcPr>
          <w:p>
            <w:pPr>
              <w:spacing w:after="0"/>
              <w:rPr>
                <w:sz w:val="1"/>
                <w:szCs w:val="1"/>
                <w:color w:val="auto"/>
              </w:rPr>
            </w:pPr>
          </w:p>
        </w:tc>
      </w:tr>
      <w:tr>
        <w:trPr>
          <w:trHeight w:val="387"/>
        </w:trPr>
        <w:tc>
          <w:tcPr>
            <w:tcW w:w="10640" w:type="dxa"/>
            <w:vAlign w:val="bottom"/>
          </w:tcPr>
          <w:p>
            <w:pPr>
              <w:spacing w:after="0"/>
              <w:rPr>
                <w:rFonts w:ascii="Arial" w:cs="Arial" w:eastAsia="Arial" w:hAnsi="Arial"/>
                <w:sz w:val="16"/>
                <w:szCs w:val="16"/>
                <w:color w:val="auto"/>
              </w:rPr>
            </w:pPr>
            <w:hyperlink w:anchor="page13">
              <w:r>
                <w:rPr>
                  <w:rFonts w:ascii="Arial" w:cs="Arial" w:eastAsia="Arial" w:hAnsi="Arial"/>
                  <w:sz w:val="16"/>
                  <w:szCs w:val="16"/>
                  <w:color w:val="auto"/>
                </w:rPr>
                <w:t>Director Election Requirements</w:t>
              </w:r>
            </w:hyperlink>
          </w:p>
        </w:tc>
        <w:tc>
          <w:tcPr>
            <w:tcW w:w="660" w:type="dxa"/>
            <w:vAlign w:val="bottom"/>
          </w:tcPr>
          <w:p>
            <w:pPr>
              <w:jc w:val="right"/>
              <w:spacing w:after="0"/>
              <w:rPr>
                <w:rFonts w:ascii="Arial" w:cs="Arial" w:eastAsia="Arial" w:hAnsi="Arial"/>
                <w:sz w:val="16"/>
                <w:szCs w:val="16"/>
                <w:color w:val="auto"/>
              </w:rPr>
            </w:pPr>
            <w:hyperlink w:anchor="page13">
              <w:r>
                <w:rPr>
                  <w:rFonts w:ascii="Arial" w:cs="Arial" w:eastAsia="Arial" w:hAnsi="Arial"/>
                  <w:sz w:val="16"/>
                  <w:szCs w:val="16"/>
                  <w:color w:val="auto"/>
                </w:rPr>
                <w:t>9</w:t>
              </w:r>
            </w:hyperlink>
          </w:p>
        </w:tc>
        <w:tc>
          <w:tcPr>
            <w:tcW w:w="0" w:type="dxa"/>
            <w:vAlign w:val="bottom"/>
          </w:tcPr>
          <w:p>
            <w:pPr>
              <w:spacing w:after="0"/>
              <w:rPr>
                <w:sz w:val="1"/>
                <w:szCs w:val="1"/>
                <w:color w:val="auto"/>
              </w:rPr>
            </w:pPr>
          </w:p>
        </w:tc>
      </w:tr>
      <w:tr>
        <w:trPr>
          <w:trHeight w:val="189"/>
        </w:trPr>
        <w:tc>
          <w:tcPr>
            <w:tcW w:w="10640" w:type="dxa"/>
            <w:vAlign w:val="bottom"/>
          </w:tcPr>
          <w:p>
            <w:pPr>
              <w:spacing w:after="0"/>
              <w:rPr>
                <w:rFonts w:ascii="Arial" w:cs="Arial" w:eastAsia="Arial" w:hAnsi="Arial"/>
                <w:sz w:val="16"/>
                <w:szCs w:val="16"/>
                <w:color w:val="auto"/>
              </w:rPr>
            </w:pPr>
            <w:hyperlink w:anchor="page13">
              <w:r>
                <w:rPr>
                  <w:rFonts w:ascii="Arial" w:cs="Arial" w:eastAsia="Arial" w:hAnsi="Arial"/>
                  <w:sz w:val="16"/>
                  <w:szCs w:val="16"/>
                  <w:color w:val="auto"/>
                </w:rPr>
                <w:t>Director Nomination Process</w:t>
              </w:r>
            </w:hyperlink>
          </w:p>
        </w:tc>
        <w:tc>
          <w:tcPr>
            <w:tcW w:w="660" w:type="dxa"/>
            <w:vAlign w:val="bottom"/>
          </w:tcPr>
          <w:p>
            <w:pPr>
              <w:jc w:val="right"/>
              <w:spacing w:after="0"/>
              <w:rPr>
                <w:rFonts w:ascii="Arial" w:cs="Arial" w:eastAsia="Arial" w:hAnsi="Arial"/>
                <w:sz w:val="16"/>
                <w:szCs w:val="16"/>
                <w:color w:val="auto"/>
              </w:rPr>
            </w:pPr>
            <w:hyperlink w:anchor="page13">
              <w:r>
                <w:rPr>
                  <w:rFonts w:ascii="Arial" w:cs="Arial" w:eastAsia="Arial" w:hAnsi="Arial"/>
                  <w:sz w:val="16"/>
                  <w:szCs w:val="16"/>
                  <w:color w:val="auto"/>
                </w:rPr>
                <w:t>9</w:t>
              </w:r>
            </w:hyperlink>
          </w:p>
        </w:tc>
        <w:tc>
          <w:tcPr>
            <w:tcW w:w="0" w:type="dxa"/>
            <w:vAlign w:val="bottom"/>
          </w:tcPr>
          <w:p>
            <w:pPr>
              <w:spacing w:after="0"/>
              <w:rPr>
                <w:sz w:val="1"/>
                <w:szCs w:val="1"/>
                <w:color w:val="auto"/>
              </w:rPr>
            </w:pPr>
          </w:p>
        </w:tc>
      </w:tr>
      <w:tr>
        <w:trPr>
          <w:trHeight w:val="189"/>
        </w:trPr>
        <w:tc>
          <w:tcPr>
            <w:tcW w:w="10640" w:type="dxa"/>
            <w:vAlign w:val="bottom"/>
          </w:tcPr>
          <w:p>
            <w:pPr>
              <w:spacing w:after="0"/>
              <w:rPr>
                <w:rFonts w:ascii="Arial" w:cs="Arial" w:eastAsia="Arial" w:hAnsi="Arial"/>
                <w:sz w:val="16"/>
                <w:szCs w:val="16"/>
                <w:color w:val="auto"/>
              </w:rPr>
            </w:pPr>
            <w:hyperlink w:anchor="page15">
              <w:r>
                <w:rPr>
                  <w:rFonts w:ascii="Arial" w:cs="Arial" w:eastAsia="Arial" w:hAnsi="Arial"/>
                  <w:sz w:val="16"/>
                  <w:szCs w:val="16"/>
                  <w:color w:val="auto"/>
                </w:rPr>
                <w:t>Nominees for Director</w:t>
              </w:r>
            </w:hyperlink>
          </w:p>
        </w:tc>
        <w:tc>
          <w:tcPr>
            <w:tcW w:w="660" w:type="dxa"/>
            <w:vAlign w:val="bottom"/>
          </w:tcPr>
          <w:p>
            <w:pPr>
              <w:jc w:val="right"/>
              <w:spacing w:after="0"/>
              <w:rPr>
                <w:rFonts w:ascii="Arial" w:cs="Arial" w:eastAsia="Arial" w:hAnsi="Arial"/>
                <w:sz w:val="16"/>
                <w:szCs w:val="16"/>
                <w:color w:val="auto"/>
              </w:rPr>
            </w:pPr>
            <w:hyperlink w:anchor="page15">
              <w:r>
                <w:rPr>
                  <w:rFonts w:ascii="Arial" w:cs="Arial" w:eastAsia="Arial" w:hAnsi="Arial"/>
                  <w:sz w:val="16"/>
                  <w:szCs w:val="16"/>
                  <w:color w:val="auto"/>
                </w:rPr>
                <w:t>11</w:t>
              </w:r>
            </w:hyperlink>
          </w:p>
        </w:tc>
        <w:tc>
          <w:tcPr>
            <w:tcW w:w="0" w:type="dxa"/>
            <w:vAlign w:val="bottom"/>
          </w:tcPr>
          <w:p>
            <w:pPr>
              <w:spacing w:after="0"/>
              <w:rPr>
                <w:sz w:val="1"/>
                <w:szCs w:val="1"/>
                <w:color w:val="auto"/>
              </w:rPr>
            </w:pPr>
          </w:p>
        </w:tc>
      </w:tr>
      <w:tr>
        <w:trPr>
          <w:trHeight w:val="189"/>
        </w:trPr>
        <w:tc>
          <w:tcPr>
            <w:tcW w:w="10640" w:type="dxa"/>
            <w:vAlign w:val="bottom"/>
          </w:tcPr>
          <w:p>
            <w:pPr>
              <w:spacing w:after="0"/>
              <w:rPr>
                <w:rFonts w:ascii="Arial" w:cs="Arial" w:eastAsia="Arial" w:hAnsi="Arial"/>
                <w:sz w:val="16"/>
                <w:szCs w:val="16"/>
                <w:color w:val="auto"/>
              </w:rPr>
            </w:pPr>
            <w:hyperlink w:anchor="page22">
              <w:r>
                <w:rPr>
                  <w:rFonts w:ascii="Arial" w:cs="Arial" w:eastAsia="Arial" w:hAnsi="Arial"/>
                  <w:sz w:val="16"/>
                  <w:szCs w:val="16"/>
                  <w:color w:val="auto"/>
                </w:rPr>
                <w:t>Non-Employee Director Compensation</w:t>
              </w:r>
            </w:hyperlink>
          </w:p>
        </w:tc>
        <w:tc>
          <w:tcPr>
            <w:tcW w:w="66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195"/>
        </w:trPr>
        <w:tc>
          <w:tcPr>
            <w:tcW w:w="10640" w:type="dxa"/>
            <w:vAlign w:val="bottom"/>
          </w:tcPr>
          <w:p>
            <w:pPr>
              <w:spacing w:after="0"/>
              <w:rPr>
                <w:rFonts w:ascii="Arial" w:cs="Arial" w:eastAsia="Arial" w:hAnsi="Arial"/>
                <w:sz w:val="16"/>
                <w:szCs w:val="16"/>
                <w:color w:val="auto"/>
              </w:rPr>
            </w:pPr>
            <w:hyperlink w:anchor="page24">
              <w:r>
                <w:rPr>
                  <w:rFonts w:ascii="Arial" w:cs="Arial" w:eastAsia="Arial" w:hAnsi="Arial"/>
                  <w:sz w:val="16"/>
                  <w:szCs w:val="16"/>
                  <w:color w:val="auto"/>
                </w:rPr>
                <w:t>Director Stock Ownership and Holding Requirements</w:t>
              </w:r>
            </w:hyperlink>
          </w:p>
        </w:tc>
        <w:tc>
          <w:tcPr>
            <w:tcW w:w="660" w:type="dxa"/>
            <w:vAlign w:val="bottom"/>
          </w:tcPr>
          <w:p>
            <w:pPr>
              <w:jc w:val="right"/>
              <w:spacing w:after="0"/>
              <w:rPr>
                <w:rFonts w:ascii="Arial" w:cs="Arial" w:eastAsia="Arial" w:hAnsi="Arial"/>
                <w:sz w:val="16"/>
                <w:szCs w:val="16"/>
                <w:color w:val="auto"/>
              </w:rPr>
            </w:pPr>
            <w:hyperlink w:anchor="page24">
              <w:r>
                <w:rPr>
                  <w:rFonts w:ascii="Arial" w:cs="Arial" w:eastAsia="Arial" w:hAnsi="Arial"/>
                  <w:sz w:val="16"/>
                  <w:szCs w:val="16"/>
                  <w:color w:val="auto"/>
                </w:rPr>
                <w:t>20</w:t>
              </w:r>
            </w:hyperlink>
          </w:p>
        </w:tc>
        <w:tc>
          <w:tcPr>
            <w:tcW w:w="0" w:type="dxa"/>
            <w:vAlign w:val="bottom"/>
          </w:tcPr>
          <w:p>
            <w:pPr>
              <w:spacing w:after="0"/>
              <w:rPr>
                <w:sz w:val="1"/>
                <w:szCs w:val="1"/>
                <w:color w:val="auto"/>
              </w:rPr>
            </w:pPr>
          </w:p>
        </w:tc>
      </w:tr>
      <w:tr>
        <w:trPr>
          <w:trHeight w:val="546"/>
        </w:trPr>
        <w:tc>
          <w:tcPr>
            <w:tcW w:w="10640" w:type="dxa"/>
            <w:vAlign w:val="bottom"/>
            <w:tcBorders>
              <w:bottom w:val="single" w:sz="8" w:color="58585A"/>
            </w:tcBorders>
          </w:tcPr>
          <w:p>
            <w:pPr>
              <w:spacing w:after="0"/>
              <w:rPr>
                <w:rFonts w:ascii="Arial" w:cs="Arial" w:eastAsia="Arial" w:hAnsi="Arial"/>
                <w:sz w:val="22"/>
                <w:szCs w:val="22"/>
                <w:b w:val="1"/>
                <w:bCs w:val="1"/>
                <w:color w:val="1C90D3"/>
              </w:rPr>
            </w:pPr>
            <w:hyperlink w:anchor="page25">
              <w:r>
                <w:rPr>
                  <w:rFonts w:ascii="Arial" w:cs="Arial" w:eastAsia="Arial" w:hAnsi="Arial"/>
                  <w:sz w:val="22"/>
                  <w:szCs w:val="22"/>
                  <w:b w:val="1"/>
                  <w:bCs w:val="1"/>
                  <w:color w:val="1C90D3"/>
                </w:rPr>
                <w:t>CORPORATE GOVERNANCE</w:t>
              </w:r>
            </w:hyperlink>
          </w:p>
        </w:tc>
        <w:tc>
          <w:tcPr>
            <w:tcW w:w="660" w:type="dxa"/>
            <w:vAlign w:val="bottom"/>
            <w:tcBorders>
              <w:bottom w:val="single" w:sz="8" w:color="58585A"/>
            </w:tcBorders>
          </w:tcPr>
          <w:p>
            <w:pPr>
              <w:jc w:val="right"/>
              <w:spacing w:after="0"/>
              <w:rPr>
                <w:rFonts w:ascii="Arial" w:cs="Arial" w:eastAsia="Arial" w:hAnsi="Arial"/>
                <w:sz w:val="22"/>
                <w:szCs w:val="22"/>
                <w:b w:val="1"/>
                <w:bCs w:val="1"/>
                <w:color w:val="1C90D3"/>
              </w:rPr>
            </w:pPr>
            <w:hyperlink w:anchor="page25">
              <w:r>
                <w:rPr>
                  <w:rFonts w:ascii="Arial" w:cs="Arial" w:eastAsia="Arial" w:hAnsi="Arial"/>
                  <w:sz w:val="22"/>
                  <w:szCs w:val="22"/>
                  <w:b w:val="1"/>
                  <w:bCs w:val="1"/>
                  <w:color w:val="1C90D3"/>
                </w:rPr>
                <w:t>21</w:t>
              </w:r>
            </w:hyperlink>
          </w:p>
        </w:tc>
        <w:tc>
          <w:tcPr>
            <w:tcW w:w="0" w:type="dxa"/>
            <w:vAlign w:val="bottom"/>
          </w:tcPr>
          <w:p>
            <w:pPr>
              <w:spacing w:after="0"/>
              <w:rPr>
                <w:sz w:val="1"/>
                <w:szCs w:val="1"/>
                <w:color w:val="auto"/>
              </w:rPr>
            </w:pPr>
          </w:p>
        </w:tc>
      </w:tr>
      <w:tr>
        <w:trPr>
          <w:trHeight w:val="387"/>
        </w:trPr>
        <w:tc>
          <w:tcPr>
            <w:tcW w:w="10640" w:type="dxa"/>
            <w:vAlign w:val="bottom"/>
          </w:tcPr>
          <w:p>
            <w:pPr>
              <w:spacing w:after="0"/>
              <w:rPr>
                <w:rFonts w:ascii="Arial" w:cs="Arial" w:eastAsia="Arial" w:hAnsi="Arial"/>
                <w:sz w:val="16"/>
                <w:szCs w:val="16"/>
                <w:color w:val="auto"/>
              </w:rPr>
            </w:pPr>
            <w:hyperlink w:anchor="page25">
              <w:r>
                <w:rPr>
                  <w:rFonts w:ascii="Arial" w:cs="Arial" w:eastAsia="Arial" w:hAnsi="Arial"/>
                  <w:sz w:val="16"/>
                  <w:szCs w:val="16"/>
                  <w:color w:val="auto"/>
                </w:rPr>
                <w:t>Role of Board of Directors</w:t>
              </w:r>
            </w:hyperlink>
          </w:p>
        </w:tc>
        <w:tc>
          <w:tcPr>
            <w:tcW w:w="660" w:type="dxa"/>
            <w:vAlign w:val="bottom"/>
          </w:tcPr>
          <w:p>
            <w:pPr>
              <w:jc w:val="right"/>
              <w:spacing w:after="0"/>
              <w:rPr>
                <w:rFonts w:ascii="Arial" w:cs="Arial" w:eastAsia="Arial" w:hAnsi="Arial"/>
                <w:sz w:val="16"/>
                <w:szCs w:val="16"/>
                <w:color w:val="auto"/>
              </w:rPr>
            </w:pPr>
            <w:hyperlink w:anchor="page25">
              <w:r>
                <w:rPr>
                  <w:rFonts w:ascii="Arial" w:cs="Arial" w:eastAsia="Arial" w:hAnsi="Arial"/>
                  <w:sz w:val="16"/>
                  <w:szCs w:val="16"/>
                  <w:color w:val="auto"/>
                </w:rPr>
                <w:t>21</w:t>
              </w:r>
            </w:hyperlink>
          </w:p>
        </w:tc>
        <w:tc>
          <w:tcPr>
            <w:tcW w:w="0" w:type="dxa"/>
            <w:vAlign w:val="bottom"/>
          </w:tcPr>
          <w:p>
            <w:pPr>
              <w:spacing w:after="0"/>
              <w:rPr>
                <w:sz w:val="1"/>
                <w:szCs w:val="1"/>
                <w:color w:val="auto"/>
              </w:rPr>
            </w:pPr>
          </w:p>
        </w:tc>
      </w:tr>
      <w:tr>
        <w:trPr>
          <w:trHeight w:val="189"/>
        </w:trPr>
        <w:tc>
          <w:tcPr>
            <w:tcW w:w="10640" w:type="dxa"/>
            <w:vAlign w:val="bottom"/>
          </w:tcPr>
          <w:p>
            <w:pPr>
              <w:spacing w:after="0"/>
              <w:rPr>
                <w:rFonts w:ascii="Arial" w:cs="Arial" w:eastAsia="Arial" w:hAnsi="Arial"/>
                <w:sz w:val="16"/>
                <w:szCs w:val="16"/>
                <w:color w:val="auto"/>
              </w:rPr>
            </w:pPr>
            <w:hyperlink w:anchor="page25">
              <w:r>
                <w:rPr>
                  <w:rFonts w:ascii="Arial" w:cs="Arial" w:eastAsia="Arial" w:hAnsi="Arial"/>
                  <w:sz w:val="16"/>
                  <w:szCs w:val="16"/>
                  <w:color w:val="auto"/>
                </w:rPr>
                <w:t>Board Size</w:t>
              </w:r>
            </w:hyperlink>
          </w:p>
        </w:tc>
        <w:tc>
          <w:tcPr>
            <w:tcW w:w="660" w:type="dxa"/>
            <w:vAlign w:val="bottom"/>
          </w:tcPr>
          <w:p>
            <w:pPr>
              <w:jc w:val="right"/>
              <w:spacing w:after="0"/>
              <w:rPr>
                <w:rFonts w:ascii="Arial" w:cs="Arial" w:eastAsia="Arial" w:hAnsi="Arial"/>
                <w:sz w:val="16"/>
                <w:szCs w:val="16"/>
                <w:color w:val="auto"/>
              </w:rPr>
            </w:pPr>
            <w:hyperlink w:anchor="page25">
              <w:r>
                <w:rPr>
                  <w:rFonts w:ascii="Arial" w:cs="Arial" w:eastAsia="Arial" w:hAnsi="Arial"/>
                  <w:sz w:val="16"/>
                  <w:szCs w:val="16"/>
                  <w:color w:val="auto"/>
                </w:rPr>
                <w:t>21</w:t>
              </w:r>
            </w:hyperlink>
          </w:p>
        </w:tc>
        <w:tc>
          <w:tcPr>
            <w:tcW w:w="0" w:type="dxa"/>
            <w:vAlign w:val="bottom"/>
          </w:tcPr>
          <w:p>
            <w:pPr>
              <w:spacing w:after="0"/>
              <w:rPr>
                <w:sz w:val="1"/>
                <w:szCs w:val="1"/>
                <w:color w:val="auto"/>
              </w:rPr>
            </w:pPr>
          </w:p>
        </w:tc>
      </w:tr>
      <w:tr>
        <w:trPr>
          <w:trHeight w:val="189"/>
        </w:trPr>
        <w:tc>
          <w:tcPr>
            <w:tcW w:w="10640" w:type="dxa"/>
            <w:vAlign w:val="bottom"/>
          </w:tcPr>
          <w:p>
            <w:pPr>
              <w:spacing w:after="0"/>
              <w:rPr>
                <w:rFonts w:ascii="Arial" w:cs="Arial" w:eastAsia="Arial" w:hAnsi="Arial"/>
                <w:sz w:val="16"/>
                <w:szCs w:val="16"/>
                <w:color w:val="auto"/>
              </w:rPr>
            </w:pPr>
            <w:hyperlink w:anchor="page25">
              <w:r>
                <w:rPr>
                  <w:rFonts w:ascii="Arial" w:cs="Arial" w:eastAsia="Arial" w:hAnsi="Arial"/>
                  <w:sz w:val="16"/>
                  <w:szCs w:val="16"/>
                  <w:color w:val="auto"/>
                </w:rPr>
                <w:t>“Winning With Integrity” and Code of Ethics</w:t>
              </w:r>
            </w:hyperlink>
          </w:p>
        </w:tc>
        <w:tc>
          <w:tcPr>
            <w:tcW w:w="660" w:type="dxa"/>
            <w:vAlign w:val="bottom"/>
          </w:tcPr>
          <w:p>
            <w:pPr>
              <w:jc w:val="right"/>
              <w:spacing w:after="0"/>
              <w:rPr>
                <w:rFonts w:ascii="Arial" w:cs="Arial" w:eastAsia="Arial" w:hAnsi="Arial"/>
                <w:sz w:val="16"/>
                <w:szCs w:val="16"/>
                <w:color w:val="auto"/>
              </w:rPr>
            </w:pPr>
            <w:hyperlink w:anchor="page25">
              <w:r>
                <w:rPr>
                  <w:rFonts w:ascii="Arial" w:cs="Arial" w:eastAsia="Arial" w:hAnsi="Arial"/>
                  <w:sz w:val="16"/>
                  <w:szCs w:val="16"/>
                  <w:color w:val="auto"/>
                </w:rPr>
                <w:t>21</w:t>
              </w:r>
            </w:hyperlink>
          </w:p>
        </w:tc>
        <w:tc>
          <w:tcPr>
            <w:tcW w:w="0" w:type="dxa"/>
            <w:vAlign w:val="bottom"/>
          </w:tcPr>
          <w:p>
            <w:pPr>
              <w:spacing w:after="0"/>
              <w:rPr>
                <w:sz w:val="1"/>
                <w:szCs w:val="1"/>
                <w:color w:val="auto"/>
              </w:rPr>
            </w:pPr>
          </w:p>
        </w:tc>
      </w:tr>
      <w:tr>
        <w:trPr>
          <w:trHeight w:val="189"/>
        </w:trPr>
        <w:tc>
          <w:tcPr>
            <w:tcW w:w="10640" w:type="dxa"/>
            <w:vAlign w:val="bottom"/>
          </w:tcPr>
          <w:p>
            <w:pPr>
              <w:spacing w:after="0"/>
              <w:rPr>
                <w:rFonts w:ascii="Arial" w:cs="Arial" w:eastAsia="Arial" w:hAnsi="Arial"/>
                <w:sz w:val="16"/>
                <w:szCs w:val="16"/>
                <w:color w:val="auto"/>
              </w:rPr>
            </w:pPr>
            <w:hyperlink w:anchor="page25">
              <w:r>
                <w:rPr>
                  <w:rFonts w:ascii="Arial" w:cs="Arial" w:eastAsia="Arial" w:hAnsi="Arial"/>
                  <w:sz w:val="16"/>
                  <w:szCs w:val="16"/>
                  <w:color w:val="auto"/>
                </w:rPr>
                <w:t>Corporate Governance Guidelines</w:t>
              </w:r>
            </w:hyperlink>
          </w:p>
        </w:tc>
        <w:tc>
          <w:tcPr>
            <w:tcW w:w="660" w:type="dxa"/>
            <w:vAlign w:val="bottom"/>
          </w:tcPr>
          <w:p>
            <w:pPr>
              <w:jc w:val="right"/>
              <w:spacing w:after="0"/>
              <w:rPr>
                <w:rFonts w:ascii="Arial" w:cs="Arial" w:eastAsia="Arial" w:hAnsi="Arial"/>
                <w:sz w:val="16"/>
                <w:szCs w:val="16"/>
                <w:color w:val="auto"/>
              </w:rPr>
            </w:pPr>
            <w:hyperlink w:anchor="page25">
              <w:r>
                <w:rPr>
                  <w:rFonts w:ascii="Arial" w:cs="Arial" w:eastAsia="Arial" w:hAnsi="Arial"/>
                  <w:sz w:val="16"/>
                  <w:szCs w:val="16"/>
                  <w:color w:val="auto"/>
                </w:rPr>
                <w:t>21</w:t>
              </w:r>
            </w:hyperlink>
          </w:p>
        </w:tc>
        <w:tc>
          <w:tcPr>
            <w:tcW w:w="0" w:type="dxa"/>
            <w:vAlign w:val="bottom"/>
          </w:tcPr>
          <w:p>
            <w:pPr>
              <w:spacing w:after="0"/>
              <w:rPr>
                <w:sz w:val="1"/>
                <w:szCs w:val="1"/>
                <w:color w:val="auto"/>
              </w:rPr>
            </w:pPr>
          </w:p>
        </w:tc>
      </w:tr>
      <w:tr>
        <w:trPr>
          <w:trHeight w:val="189"/>
        </w:trPr>
        <w:tc>
          <w:tcPr>
            <w:tcW w:w="10640" w:type="dxa"/>
            <w:vAlign w:val="bottom"/>
          </w:tcPr>
          <w:p>
            <w:pPr>
              <w:spacing w:after="0"/>
              <w:rPr>
                <w:rFonts w:ascii="Arial" w:cs="Arial" w:eastAsia="Arial" w:hAnsi="Arial"/>
                <w:sz w:val="16"/>
                <w:szCs w:val="16"/>
                <w:color w:val="auto"/>
              </w:rPr>
            </w:pPr>
            <w:hyperlink w:anchor="page26">
              <w:r>
                <w:rPr>
                  <w:rFonts w:ascii="Arial" w:cs="Arial" w:eastAsia="Arial" w:hAnsi="Arial"/>
                  <w:sz w:val="16"/>
                  <w:szCs w:val="16"/>
                  <w:color w:val="auto"/>
                </w:rPr>
                <w:t>Director Independence</w:t>
              </w:r>
            </w:hyperlink>
          </w:p>
        </w:tc>
        <w:tc>
          <w:tcPr>
            <w:tcW w:w="660" w:type="dxa"/>
            <w:vAlign w:val="bottom"/>
          </w:tcPr>
          <w:p>
            <w:pPr>
              <w:jc w:val="right"/>
              <w:spacing w:after="0"/>
              <w:rPr>
                <w:rFonts w:ascii="Arial" w:cs="Arial" w:eastAsia="Arial" w:hAnsi="Arial"/>
                <w:sz w:val="16"/>
                <w:szCs w:val="16"/>
                <w:color w:val="auto"/>
              </w:rPr>
            </w:pPr>
            <w:hyperlink w:anchor="page26">
              <w:r>
                <w:rPr>
                  <w:rFonts w:ascii="Arial" w:cs="Arial" w:eastAsia="Arial" w:hAnsi="Arial"/>
                  <w:sz w:val="16"/>
                  <w:szCs w:val="16"/>
                  <w:color w:val="auto"/>
                </w:rPr>
                <w:t>22</w:t>
              </w:r>
            </w:hyperlink>
          </w:p>
        </w:tc>
        <w:tc>
          <w:tcPr>
            <w:tcW w:w="0" w:type="dxa"/>
            <w:vAlign w:val="bottom"/>
          </w:tcPr>
          <w:p>
            <w:pPr>
              <w:spacing w:after="0"/>
              <w:rPr>
                <w:sz w:val="1"/>
                <w:szCs w:val="1"/>
                <w:color w:val="auto"/>
              </w:rPr>
            </w:pPr>
          </w:p>
        </w:tc>
      </w:tr>
      <w:tr>
        <w:trPr>
          <w:trHeight w:val="189"/>
        </w:trPr>
        <w:tc>
          <w:tcPr>
            <w:tcW w:w="10640" w:type="dxa"/>
            <w:vAlign w:val="bottom"/>
          </w:tcPr>
          <w:p>
            <w:pPr>
              <w:spacing w:after="0"/>
              <w:rPr>
                <w:rFonts w:ascii="Arial" w:cs="Arial" w:eastAsia="Arial" w:hAnsi="Arial"/>
                <w:sz w:val="16"/>
                <w:szCs w:val="16"/>
                <w:color w:val="auto"/>
              </w:rPr>
            </w:pPr>
            <w:hyperlink w:anchor="page26">
              <w:r>
                <w:rPr>
                  <w:rFonts w:ascii="Arial" w:cs="Arial" w:eastAsia="Arial" w:hAnsi="Arial"/>
                  <w:sz w:val="16"/>
                  <w:szCs w:val="16"/>
                  <w:color w:val="auto"/>
                </w:rPr>
                <w:t>Board Leadership Structure</w:t>
              </w:r>
            </w:hyperlink>
          </w:p>
        </w:tc>
        <w:tc>
          <w:tcPr>
            <w:tcW w:w="660" w:type="dxa"/>
            <w:vAlign w:val="bottom"/>
          </w:tcPr>
          <w:p>
            <w:pPr>
              <w:jc w:val="right"/>
              <w:spacing w:after="0"/>
              <w:rPr>
                <w:rFonts w:ascii="Arial" w:cs="Arial" w:eastAsia="Arial" w:hAnsi="Arial"/>
                <w:sz w:val="16"/>
                <w:szCs w:val="16"/>
                <w:color w:val="auto"/>
              </w:rPr>
            </w:pPr>
            <w:hyperlink w:anchor="page26">
              <w:r>
                <w:rPr>
                  <w:rFonts w:ascii="Arial" w:cs="Arial" w:eastAsia="Arial" w:hAnsi="Arial"/>
                  <w:sz w:val="16"/>
                  <w:szCs w:val="16"/>
                  <w:color w:val="auto"/>
                </w:rPr>
                <w:t>22</w:t>
              </w:r>
            </w:hyperlink>
          </w:p>
        </w:tc>
        <w:tc>
          <w:tcPr>
            <w:tcW w:w="0" w:type="dxa"/>
            <w:vAlign w:val="bottom"/>
          </w:tcPr>
          <w:p>
            <w:pPr>
              <w:spacing w:after="0"/>
              <w:rPr>
                <w:sz w:val="1"/>
                <w:szCs w:val="1"/>
                <w:color w:val="auto"/>
              </w:rPr>
            </w:pPr>
          </w:p>
        </w:tc>
      </w:tr>
      <w:tr>
        <w:trPr>
          <w:trHeight w:val="189"/>
        </w:trPr>
        <w:tc>
          <w:tcPr>
            <w:tcW w:w="10640" w:type="dxa"/>
            <w:vAlign w:val="bottom"/>
          </w:tcPr>
          <w:p>
            <w:pPr>
              <w:spacing w:after="0"/>
              <w:rPr>
                <w:rFonts w:ascii="Arial" w:cs="Arial" w:eastAsia="Arial" w:hAnsi="Arial"/>
                <w:sz w:val="16"/>
                <w:szCs w:val="16"/>
                <w:color w:val="auto"/>
              </w:rPr>
            </w:pPr>
            <w:hyperlink w:anchor="page28">
              <w:r>
                <w:rPr>
                  <w:rFonts w:ascii="Arial" w:cs="Arial" w:eastAsia="Arial" w:hAnsi="Arial"/>
                  <w:sz w:val="16"/>
                  <w:szCs w:val="16"/>
                  <w:color w:val="auto"/>
                </w:rPr>
                <w:t>Executive Sessions</w:t>
              </w:r>
            </w:hyperlink>
          </w:p>
        </w:tc>
        <w:tc>
          <w:tcPr>
            <w:tcW w:w="660" w:type="dxa"/>
            <w:vAlign w:val="bottom"/>
          </w:tcPr>
          <w:p>
            <w:pPr>
              <w:jc w:val="right"/>
              <w:spacing w:after="0"/>
              <w:rPr>
                <w:rFonts w:ascii="Arial" w:cs="Arial" w:eastAsia="Arial" w:hAnsi="Arial"/>
                <w:sz w:val="16"/>
                <w:szCs w:val="16"/>
                <w:color w:val="auto"/>
              </w:rPr>
            </w:pPr>
            <w:hyperlink w:anchor="page28">
              <w:r>
                <w:rPr>
                  <w:rFonts w:ascii="Arial" w:cs="Arial" w:eastAsia="Arial" w:hAnsi="Arial"/>
                  <w:sz w:val="16"/>
                  <w:szCs w:val="16"/>
                  <w:color w:val="auto"/>
                </w:rPr>
                <w:t>24</w:t>
              </w:r>
            </w:hyperlink>
          </w:p>
        </w:tc>
        <w:tc>
          <w:tcPr>
            <w:tcW w:w="0" w:type="dxa"/>
            <w:vAlign w:val="bottom"/>
          </w:tcPr>
          <w:p>
            <w:pPr>
              <w:spacing w:after="0"/>
              <w:rPr>
                <w:sz w:val="1"/>
                <w:szCs w:val="1"/>
                <w:color w:val="auto"/>
              </w:rPr>
            </w:pPr>
          </w:p>
        </w:tc>
      </w:tr>
      <w:tr>
        <w:trPr>
          <w:trHeight w:val="189"/>
        </w:trPr>
        <w:tc>
          <w:tcPr>
            <w:tcW w:w="10640" w:type="dxa"/>
            <w:vAlign w:val="bottom"/>
          </w:tcPr>
          <w:p>
            <w:pPr>
              <w:spacing w:after="0"/>
              <w:rPr>
                <w:rFonts w:ascii="Arial" w:cs="Arial" w:eastAsia="Arial" w:hAnsi="Arial"/>
                <w:sz w:val="16"/>
                <w:szCs w:val="16"/>
                <w:color w:val="auto"/>
              </w:rPr>
            </w:pPr>
            <w:hyperlink w:anchor="page28">
              <w:r>
                <w:rPr>
                  <w:rFonts w:ascii="Arial" w:cs="Arial" w:eastAsia="Arial" w:hAnsi="Arial"/>
                  <w:sz w:val="16"/>
                  <w:szCs w:val="16"/>
                  <w:color w:val="auto"/>
                </w:rPr>
                <w:t>Board Committees</w:t>
              </w:r>
            </w:hyperlink>
          </w:p>
        </w:tc>
        <w:tc>
          <w:tcPr>
            <w:tcW w:w="660" w:type="dxa"/>
            <w:vAlign w:val="bottom"/>
          </w:tcPr>
          <w:p>
            <w:pPr>
              <w:jc w:val="right"/>
              <w:spacing w:after="0"/>
              <w:rPr>
                <w:rFonts w:ascii="Arial" w:cs="Arial" w:eastAsia="Arial" w:hAnsi="Arial"/>
                <w:sz w:val="16"/>
                <w:szCs w:val="16"/>
                <w:color w:val="auto"/>
              </w:rPr>
            </w:pPr>
            <w:hyperlink w:anchor="page28">
              <w:r>
                <w:rPr>
                  <w:rFonts w:ascii="Arial" w:cs="Arial" w:eastAsia="Arial" w:hAnsi="Arial"/>
                  <w:sz w:val="16"/>
                  <w:szCs w:val="16"/>
                  <w:color w:val="auto"/>
                </w:rPr>
                <w:t>24</w:t>
              </w:r>
            </w:hyperlink>
          </w:p>
        </w:tc>
        <w:tc>
          <w:tcPr>
            <w:tcW w:w="0" w:type="dxa"/>
            <w:vAlign w:val="bottom"/>
          </w:tcPr>
          <w:p>
            <w:pPr>
              <w:spacing w:after="0"/>
              <w:rPr>
                <w:sz w:val="1"/>
                <w:szCs w:val="1"/>
                <w:color w:val="auto"/>
              </w:rPr>
            </w:pPr>
          </w:p>
        </w:tc>
      </w:tr>
      <w:tr>
        <w:trPr>
          <w:trHeight w:val="189"/>
        </w:trPr>
        <w:tc>
          <w:tcPr>
            <w:tcW w:w="10640" w:type="dxa"/>
            <w:vAlign w:val="bottom"/>
          </w:tcPr>
          <w:p>
            <w:pPr>
              <w:spacing w:after="0"/>
              <w:rPr>
                <w:rFonts w:ascii="Arial" w:cs="Arial" w:eastAsia="Arial" w:hAnsi="Arial"/>
                <w:sz w:val="16"/>
                <w:szCs w:val="16"/>
                <w:color w:val="auto"/>
              </w:rPr>
            </w:pPr>
            <w:hyperlink w:anchor="page31">
              <w:r>
                <w:rPr>
                  <w:rFonts w:ascii="Arial" w:cs="Arial" w:eastAsia="Arial" w:hAnsi="Arial"/>
                  <w:sz w:val="16"/>
                  <w:szCs w:val="16"/>
                  <w:color w:val="auto"/>
                </w:rPr>
                <w:t>Access to Outside Advisors</w:t>
              </w:r>
            </w:hyperlink>
          </w:p>
        </w:tc>
        <w:tc>
          <w:tcPr>
            <w:tcW w:w="660" w:type="dxa"/>
            <w:vAlign w:val="bottom"/>
          </w:tcPr>
          <w:p>
            <w:pPr>
              <w:jc w:val="right"/>
              <w:spacing w:after="0"/>
              <w:rPr>
                <w:rFonts w:ascii="Arial" w:cs="Arial" w:eastAsia="Arial" w:hAnsi="Arial"/>
                <w:sz w:val="16"/>
                <w:szCs w:val="16"/>
                <w:color w:val="auto"/>
              </w:rPr>
            </w:pPr>
            <w:hyperlink w:anchor="page31">
              <w:r>
                <w:rPr>
                  <w:rFonts w:ascii="Arial" w:cs="Arial" w:eastAsia="Arial" w:hAnsi="Arial"/>
                  <w:sz w:val="16"/>
                  <w:szCs w:val="16"/>
                  <w:color w:val="auto"/>
                </w:rPr>
                <w:t>27</w:t>
              </w:r>
            </w:hyperlink>
          </w:p>
        </w:tc>
        <w:tc>
          <w:tcPr>
            <w:tcW w:w="0" w:type="dxa"/>
            <w:vAlign w:val="bottom"/>
          </w:tcPr>
          <w:p>
            <w:pPr>
              <w:spacing w:after="0"/>
              <w:rPr>
                <w:sz w:val="1"/>
                <w:szCs w:val="1"/>
                <w:color w:val="auto"/>
              </w:rPr>
            </w:pPr>
          </w:p>
        </w:tc>
      </w:tr>
      <w:tr>
        <w:trPr>
          <w:trHeight w:val="189"/>
        </w:trPr>
        <w:tc>
          <w:tcPr>
            <w:tcW w:w="10640" w:type="dxa"/>
            <w:vAlign w:val="bottom"/>
          </w:tcPr>
          <w:p>
            <w:pPr>
              <w:spacing w:after="0"/>
              <w:rPr>
                <w:rFonts w:ascii="Arial" w:cs="Arial" w:eastAsia="Arial" w:hAnsi="Arial"/>
                <w:sz w:val="16"/>
                <w:szCs w:val="16"/>
                <w:color w:val="auto"/>
              </w:rPr>
            </w:pPr>
            <w:hyperlink w:anchor="page31">
              <w:r>
                <w:rPr>
                  <w:rFonts w:ascii="Arial" w:cs="Arial" w:eastAsia="Arial" w:hAnsi="Arial"/>
                  <w:sz w:val="16"/>
                  <w:szCs w:val="16"/>
                  <w:color w:val="auto"/>
                </w:rPr>
                <w:t>Board Meetings and Attendance</w:t>
              </w:r>
            </w:hyperlink>
          </w:p>
        </w:tc>
        <w:tc>
          <w:tcPr>
            <w:tcW w:w="660" w:type="dxa"/>
            <w:vAlign w:val="bottom"/>
          </w:tcPr>
          <w:p>
            <w:pPr>
              <w:jc w:val="right"/>
              <w:spacing w:after="0"/>
              <w:rPr>
                <w:rFonts w:ascii="Arial" w:cs="Arial" w:eastAsia="Arial" w:hAnsi="Arial"/>
                <w:sz w:val="16"/>
                <w:szCs w:val="16"/>
                <w:color w:val="auto"/>
              </w:rPr>
            </w:pPr>
            <w:hyperlink w:anchor="page31">
              <w:r>
                <w:rPr>
                  <w:rFonts w:ascii="Arial" w:cs="Arial" w:eastAsia="Arial" w:hAnsi="Arial"/>
                  <w:sz w:val="16"/>
                  <w:szCs w:val="16"/>
                  <w:color w:val="auto"/>
                </w:rPr>
                <w:t>27</w:t>
              </w:r>
            </w:hyperlink>
          </w:p>
        </w:tc>
        <w:tc>
          <w:tcPr>
            <w:tcW w:w="0" w:type="dxa"/>
            <w:vAlign w:val="bottom"/>
          </w:tcPr>
          <w:p>
            <w:pPr>
              <w:spacing w:after="0"/>
              <w:rPr>
                <w:sz w:val="1"/>
                <w:szCs w:val="1"/>
                <w:color w:val="auto"/>
              </w:rPr>
            </w:pPr>
          </w:p>
        </w:tc>
      </w:tr>
      <w:tr>
        <w:trPr>
          <w:trHeight w:val="189"/>
        </w:trPr>
        <w:tc>
          <w:tcPr>
            <w:tcW w:w="10640" w:type="dxa"/>
            <w:vAlign w:val="bottom"/>
          </w:tcPr>
          <w:p>
            <w:pPr>
              <w:spacing w:after="0"/>
              <w:rPr>
                <w:rFonts w:ascii="Arial" w:cs="Arial" w:eastAsia="Arial" w:hAnsi="Arial"/>
                <w:sz w:val="16"/>
                <w:szCs w:val="16"/>
                <w:color w:val="auto"/>
              </w:rPr>
            </w:pPr>
            <w:hyperlink w:anchor="page31">
              <w:r>
                <w:rPr>
                  <w:rFonts w:ascii="Arial" w:cs="Arial" w:eastAsia="Arial" w:hAnsi="Arial"/>
                  <w:sz w:val="16"/>
                  <w:szCs w:val="16"/>
                  <w:color w:val="auto"/>
                </w:rPr>
                <w:t>Board and Committee Oversight of Risk</w:t>
              </w:r>
            </w:hyperlink>
          </w:p>
        </w:tc>
        <w:tc>
          <w:tcPr>
            <w:tcW w:w="660" w:type="dxa"/>
            <w:vAlign w:val="bottom"/>
          </w:tcPr>
          <w:p>
            <w:pPr>
              <w:jc w:val="right"/>
              <w:spacing w:after="0"/>
              <w:rPr>
                <w:rFonts w:ascii="Arial" w:cs="Arial" w:eastAsia="Arial" w:hAnsi="Arial"/>
                <w:sz w:val="16"/>
                <w:szCs w:val="16"/>
                <w:color w:val="auto"/>
              </w:rPr>
            </w:pPr>
            <w:hyperlink w:anchor="page31">
              <w:r>
                <w:rPr>
                  <w:rFonts w:ascii="Arial" w:cs="Arial" w:eastAsia="Arial" w:hAnsi="Arial"/>
                  <w:sz w:val="16"/>
                  <w:szCs w:val="16"/>
                  <w:color w:val="auto"/>
                </w:rPr>
                <w:t>27</w:t>
              </w:r>
            </w:hyperlink>
          </w:p>
        </w:tc>
        <w:tc>
          <w:tcPr>
            <w:tcW w:w="0" w:type="dxa"/>
            <w:vAlign w:val="bottom"/>
          </w:tcPr>
          <w:p>
            <w:pPr>
              <w:spacing w:after="0"/>
              <w:rPr>
                <w:sz w:val="1"/>
                <w:szCs w:val="1"/>
                <w:color w:val="auto"/>
              </w:rPr>
            </w:pPr>
          </w:p>
        </w:tc>
      </w:tr>
      <w:tr>
        <w:trPr>
          <w:trHeight w:val="189"/>
        </w:trPr>
        <w:tc>
          <w:tcPr>
            <w:tcW w:w="10640" w:type="dxa"/>
            <w:vAlign w:val="bottom"/>
          </w:tcPr>
          <w:p>
            <w:pPr>
              <w:spacing w:after="0"/>
              <w:rPr>
                <w:rFonts w:ascii="Arial" w:cs="Arial" w:eastAsia="Arial" w:hAnsi="Arial"/>
                <w:sz w:val="16"/>
                <w:szCs w:val="16"/>
                <w:color w:val="auto"/>
              </w:rPr>
            </w:pPr>
            <w:hyperlink w:anchor="page32">
              <w:r>
                <w:rPr>
                  <w:rFonts w:ascii="Arial" w:cs="Arial" w:eastAsia="Arial" w:hAnsi="Arial"/>
                  <w:sz w:val="16"/>
                  <w:szCs w:val="16"/>
                  <w:color w:val="auto"/>
                </w:rPr>
                <w:t>Succession Planning and Leadership Development</w:t>
              </w:r>
            </w:hyperlink>
          </w:p>
        </w:tc>
        <w:tc>
          <w:tcPr>
            <w:tcW w:w="660" w:type="dxa"/>
            <w:vAlign w:val="bottom"/>
          </w:tcPr>
          <w:p>
            <w:pPr>
              <w:jc w:val="right"/>
              <w:spacing w:after="0"/>
              <w:rPr>
                <w:rFonts w:ascii="Arial" w:cs="Arial" w:eastAsia="Arial" w:hAnsi="Arial"/>
                <w:sz w:val="16"/>
                <w:szCs w:val="16"/>
                <w:color w:val="auto"/>
              </w:rPr>
            </w:pPr>
            <w:hyperlink w:anchor="page32">
              <w:r>
                <w:rPr>
                  <w:rFonts w:ascii="Arial" w:cs="Arial" w:eastAsia="Arial" w:hAnsi="Arial"/>
                  <w:sz w:val="16"/>
                  <w:szCs w:val="16"/>
                  <w:color w:val="auto"/>
                </w:rPr>
                <w:t>28</w:t>
              </w:r>
            </w:hyperlink>
          </w:p>
        </w:tc>
        <w:tc>
          <w:tcPr>
            <w:tcW w:w="0" w:type="dxa"/>
            <w:vAlign w:val="bottom"/>
          </w:tcPr>
          <w:p>
            <w:pPr>
              <w:spacing w:after="0"/>
              <w:rPr>
                <w:sz w:val="1"/>
                <w:szCs w:val="1"/>
                <w:color w:val="auto"/>
              </w:rPr>
            </w:pPr>
          </w:p>
        </w:tc>
      </w:tr>
      <w:tr>
        <w:trPr>
          <w:trHeight w:val="189"/>
        </w:trPr>
        <w:tc>
          <w:tcPr>
            <w:tcW w:w="10640" w:type="dxa"/>
            <w:vAlign w:val="bottom"/>
          </w:tcPr>
          <w:p>
            <w:pPr>
              <w:spacing w:after="0"/>
              <w:rPr>
                <w:rFonts w:ascii="Arial" w:cs="Arial" w:eastAsia="Arial" w:hAnsi="Arial"/>
                <w:sz w:val="16"/>
                <w:szCs w:val="16"/>
                <w:color w:val="auto"/>
              </w:rPr>
            </w:pPr>
            <w:hyperlink w:anchor="page33">
              <w:r>
                <w:rPr>
                  <w:rFonts w:ascii="Arial" w:cs="Arial" w:eastAsia="Arial" w:hAnsi="Arial"/>
                  <w:sz w:val="16"/>
                  <w:szCs w:val="16"/>
                  <w:color w:val="auto"/>
                </w:rPr>
                <w:t>Board and Committee Evaluations</w:t>
              </w:r>
            </w:hyperlink>
          </w:p>
        </w:tc>
        <w:tc>
          <w:tcPr>
            <w:tcW w:w="660" w:type="dxa"/>
            <w:vAlign w:val="bottom"/>
          </w:tcPr>
          <w:p>
            <w:pPr>
              <w:jc w:val="right"/>
              <w:spacing w:after="0"/>
              <w:rPr>
                <w:rFonts w:ascii="Arial" w:cs="Arial" w:eastAsia="Arial" w:hAnsi="Arial"/>
                <w:sz w:val="16"/>
                <w:szCs w:val="16"/>
                <w:color w:val="auto"/>
              </w:rPr>
            </w:pPr>
            <w:hyperlink w:anchor="page33">
              <w:r>
                <w:rPr>
                  <w:rFonts w:ascii="Arial" w:cs="Arial" w:eastAsia="Arial" w:hAnsi="Arial"/>
                  <w:sz w:val="16"/>
                  <w:szCs w:val="16"/>
                  <w:color w:val="auto"/>
                </w:rPr>
                <w:t>29</w:t>
              </w:r>
            </w:hyperlink>
          </w:p>
        </w:tc>
        <w:tc>
          <w:tcPr>
            <w:tcW w:w="0" w:type="dxa"/>
            <w:vAlign w:val="bottom"/>
          </w:tcPr>
          <w:p>
            <w:pPr>
              <w:spacing w:after="0"/>
              <w:rPr>
                <w:sz w:val="1"/>
                <w:szCs w:val="1"/>
                <w:color w:val="auto"/>
              </w:rPr>
            </w:pPr>
          </w:p>
        </w:tc>
      </w:tr>
      <w:tr>
        <w:trPr>
          <w:trHeight w:val="189"/>
        </w:trPr>
        <w:tc>
          <w:tcPr>
            <w:tcW w:w="10640" w:type="dxa"/>
            <w:vAlign w:val="bottom"/>
          </w:tcPr>
          <w:p>
            <w:pPr>
              <w:spacing w:after="0"/>
              <w:rPr>
                <w:rFonts w:ascii="Arial" w:cs="Arial" w:eastAsia="Arial" w:hAnsi="Arial"/>
                <w:sz w:val="16"/>
                <w:szCs w:val="16"/>
                <w:color w:val="auto"/>
              </w:rPr>
            </w:pPr>
            <w:hyperlink w:anchor="page33">
              <w:r>
                <w:rPr>
                  <w:rFonts w:ascii="Arial" w:cs="Arial" w:eastAsia="Arial" w:hAnsi="Arial"/>
                  <w:sz w:val="16"/>
                  <w:szCs w:val="16"/>
                  <w:color w:val="auto"/>
                </w:rPr>
                <w:t>Annual Evaluation of CEO</w:t>
              </w:r>
            </w:hyperlink>
          </w:p>
        </w:tc>
        <w:tc>
          <w:tcPr>
            <w:tcW w:w="660" w:type="dxa"/>
            <w:vAlign w:val="bottom"/>
          </w:tcPr>
          <w:p>
            <w:pPr>
              <w:jc w:val="right"/>
              <w:spacing w:after="0"/>
              <w:rPr>
                <w:rFonts w:ascii="Arial" w:cs="Arial" w:eastAsia="Arial" w:hAnsi="Arial"/>
                <w:sz w:val="16"/>
                <w:szCs w:val="16"/>
                <w:color w:val="auto"/>
              </w:rPr>
            </w:pPr>
            <w:hyperlink w:anchor="page33">
              <w:r>
                <w:rPr>
                  <w:rFonts w:ascii="Arial" w:cs="Arial" w:eastAsia="Arial" w:hAnsi="Arial"/>
                  <w:sz w:val="16"/>
                  <w:szCs w:val="16"/>
                  <w:color w:val="auto"/>
                </w:rPr>
                <w:t>29</w:t>
              </w:r>
            </w:hyperlink>
          </w:p>
        </w:tc>
        <w:tc>
          <w:tcPr>
            <w:tcW w:w="0" w:type="dxa"/>
            <w:vAlign w:val="bottom"/>
          </w:tcPr>
          <w:p>
            <w:pPr>
              <w:spacing w:after="0"/>
              <w:rPr>
                <w:sz w:val="1"/>
                <w:szCs w:val="1"/>
                <w:color w:val="auto"/>
              </w:rPr>
            </w:pPr>
          </w:p>
        </w:tc>
      </w:tr>
      <w:tr>
        <w:trPr>
          <w:trHeight w:val="189"/>
        </w:trPr>
        <w:tc>
          <w:tcPr>
            <w:tcW w:w="10640" w:type="dxa"/>
            <w:vAlign w:val="bottom"/>
          </w:tcPr>
          <w:p>
            <w:pPr>
              <w:spacing w:after="0"/>
              <w:rPr>
                <w:rFonts w:ascii="Arial" w:cs="Arial" w:eastAsia="Arial" w:hAnsi="Arial"/>
                <w:sz w:val="16"/>
                <w:szCs w:val="16"/>
                <w:color w:val="auto"/>
              </w:rPr>
            </w:pPr>
            <w:hyperlink w:anchor="page33">
              <w:r>
                <w:rPr>
                  <w:rFonts w:ascii="Arial" w:cs="Arial" w:eastAsia="Arial" w:hAnsi="Arial"/>
                  <w:sz w:val="16"/>
                  <w:szCs w:val="16"/>
                  <w:color w:val="auto"/>
                </w:rPr>
                <w:t>Director Orientation and Continuing Education</w:t>
              </w:r>
            </w:hyperlink>
          </w:p>
        </w:tc>
        <w:tc>
          <w:tcPr>
            <w:tcW w:w="660" w:type="dxa"/>
            <w:vAlign w:val="bottom"/>
          </w:tcPr>
          <w:p>
            <w:pPr>
              <w:jc w:val="right"/>
              <w:spacing w:after="0"/>
              <w:rPr>
                <w:rFonts w:ascii="Arial" w:cs="Arial" w:eastAsia="Arial" w:hAnsi="Arial"/>
                <w:sz w:val="16"/>
                <w:szCs w:val="16"/>
                <w:color w:val="auto"/>
              </w:rPr>
            </w:pPr>
            <w:hyperlink w:anchor="page33">
              <w:r>
                <w:rPr>
                  <w:rFonts w:ascii="Arial" w:cs="Arial" w:eastAsia="Arial" w:hAnsi="Arial"/>
                  <w:sz w:val="16"/>
                  <w:szCs w:val="16"/>
                  <w:color w:val="auto"/>
                </w:rPr>
                <w:t>29</w:t>
              </w:r>
            </w:hyperlink>
          </w:p>
        </w:tc>
        <w:tc>
          <w:tcPr>
            <w:tcW w:w="0" w:type="dxa"/>
            <w:vAlign w:val="bottom"/>
          </w:tcPr>
          <w:p>
            <w:pPr>
              <w:spacing w:after="0"/>
              <w:rPr>
                <w:sz w:val="1"/>
                <w:szCs w:val="1"/>
                <w:color w:val="auto"/>
              </w:rPr>
            </w:pPr>
          </w:p>
        </w:tc>
      </w:tr>
      <w:tr>
        <w:trPr>
          <w:trHeight w:val="189"/>
        </w:trPr>
        <w:tc>
          <w:tcPr>
            <w:tcW w:w="10640" w:type="dxa"/>
            <w:vAlign w:val="bottom"/>
          </w:tcPr>
          <w:p>
            <w:pPr>
              <w:spacing w:after="0"/>
              <w:rPr>
                <w:rFonts w:ascii="Arial" w:cs="Arial" w:eastAsia="Arial" w:hAnsi="Arial"/>
                <w:sz w:val="16"/>
                <w:szCs w:val="16"/>
                <w:color w:val="auto"/>
              </w:rPr>
            </w:pPr>
            <w:hyperlink w:anchor="page34">
              <w:r>
                <w:rPr>
                  <w:rFonts w:ascii="Arial" w:cs="Arial" w:eastAsia="Arial" w:hAnsi="Arial"/>
                  <w:sz w:val="16"/>
                  <w:szCs w:val="16"/>
                  <w:color w:val="auto"/>
                </w:rPr>
                <w:t>Service on Other Public Company Boards</w:t>
              </w:r>
            </w:hyperlink>
          </w:p>
        </w:tc>
        <w:tc>
          <w:tcPr>
            <w:tcW w:w="660" w:type="dxa"/>
            <w:vAlign w:val="bottom"/>
          </w:tcPr>
          <w:p>
            <w:pPr>
              <w:jc w:val="right"/>
              <w:spacing w:after="0"/>
              <w:rPr>
                <w:rFonts w:ascii="Arial" w:cs="Arial" w:eastAsia="Arial" w:hAnsi="Arial"/>
                <w:sz w:val="16"/>
                <w:szCs w:val="16"/>
                <w:color w:val="auto"/>
              </w:rPr>
            </w:pPr>
            <w:hyperlink w:anchor="page34">
              <w:r>
                <w:rPr>
                  <w:rFonts w:ascii="Arial" w:cs="Arial" w:eastAsia="Arial" w:hAnsi="Arial"/>
                  <w:sz w:val="16"/>
                  <w:szCs w:val="16"/>
                  <w:color w:val="auto"/>
                </w:rPr>
                <w:t>30</w:t>
              </w:r>
            </w:hyperlink>
          </w:p>
        </w:tc>
        <w:tc>
          <w:tcPr>
            <w:tcW w:w="0" w:type="dxa"/>
            <w:vAlign w:val="bottom"/>
          </w:tcPr>
          <w:p>
            <w:pPr>
              <w:spacing w:after="0"/>
              <w:rPr>
                <w:sz w:val="1"/>
                <w:szCs w:val="1"/>
                <w:color w:val="auto"/>
              </w:rPr>
            </w:pPr>
          </w:p>
        </w:tc>
      </w:tr>
      <w:tr>
        <w:trPr>
          <w:trHeight w:val="189"/>
        </w:trPr>
        <w:tc>
          <w:tcPr>
            <w:tcW w:w="10640" w:type="dxa"/>
            <w:vAlign w:val="bottom"/>
          </w:tcPr>
          <w:p>
            <w:pPr>
              <w:spacing w:after="0"/>
              <w:rPr>
                <w:rFonts w:ascii="Arial" w:cs="Arial" w:eastAsia="Arial" w:hAnsi="Arial"/>
                <w:sz w:val="16"/>
                <w:szCs w:val="16"/>
                <w:color w:val="auto"/>
              </w:rPr>
            </w:pPr>
            <w:hyperlink w:anchor="page34">
              <w:r>
                <w:rPr>
                  <w:rFonts w:ascii="Arial" w:cs="Arial" w:eastAsia="Arial" w:hAnsi="Arial"/>
                  <w:sz w:val="16"/>
                  <w:szCs w:val="16"/>
                  <w:color w:val="auto"/>
                </w:rPr>
                <w:t>Compensation Committee Interlocks and Insider Participation</w:t>
              </w:r>
            </w:hyperlink>
          </w:p>
        </w:tc>
        <w:tc>
          <w:tcPr>
            <w:tcW w:w="660" w:type="dxa"/>
            <w:vAlign w:val="bottom"/>
          </w:tcPr>
          <w:p>
            <w:pPr>
              <w:jc w:val="right"/>
              <w:spacing w:after="0"/>
              <w:rPr>
                <w:rFonts w:ascii="Arial" w:cs="Arial" w:eastAsia="Arial" w:hAnsi="Arial"/>
                <w:sz w:val="16"/>
                <w:szCs w:val="16"/>
                <w:color w:val="auto"/>
              </w:rPr>
            </w:pPr>
            <w:hyperlink w:anchor="page34">
              <w:r>
                <w:rPr>
                  <w:rFonts w:ascii="Arial" w:cs="Arial" w:eastAsia="Arial" w:hAnsi="Arial"/>
                  <w:sz w:val="16"/>
                  <w:szCs w:val="16"/>
                  <w:color w:val="auto"/>
                </w:rPr>
                <w:t>30</w:t>
              </w:r>
            </w:hyperlink>
          </w:p>
        </w:tc>
        <w:tc>
          <w:tcPr>
            <w:tcW w:w="0" w:type="dxa"/>
            <w:vAlign w:val="bottom"/>
          </w:tcPr>
          <w:p>
            <w:pPr>
              <w:spacing w:after="0"/>
              <w:rPr>
                <w:sz w:val="1"/>
                <w:szCs w:val="1"/>
                <w:color w:val="auto"/>
              </w:rPr>
            </w:pPr>
          </w:p>
        </w:tc>
      </w:tr>
      <w:tr>
        <w:trPr>
          <w:trHeight w:val="189"/>
        </w:trPr>
        <w:tc>
          <w:tcPr>
            <w:tcW w:w="10640" w:type="dxa"/>
            <w:vAlign w:val="bottom"/>
          </w:tcPr>
          <w:p>
            <w:pPr>
              <w:spacing w:after="0"/>
              <w:rPr>
                <w:rFonts w:ascii="Arial" w:cs="Arial" w:eastAsia="Arial" w:hAnsi="Arial"/>
                <w:sz w:val="16"/>
                <w:szCs w:val="16"/>
                <w:color w:val="auto"/>
              </w:rPr>
            </w:pPr>
            <w:hyperlink w:anchor="page34">
              <w:r>
                <w:rPr>
                  <w:rFonts w:ascii="Arial" w:cs="Arial" w:eastAsia="Arial" w:hAnsi="Arial"/>
                  <w:sz w:val="16"/>
                  <w:szCs w:val="16"/>
                  <w:color w:val="auto"/>
                </w:rPr>
                <w:t>Shareholder Protections</w:t>
              </w:r>
            </w:hyperlink>
          </w:p>
        </w:tc>
        <w:tc>
          <w:tcPr>
            <w:tcW w:w="660" w:type="dxa"/>
            <w:vAlign w:val="bottom"/>
          </w:tcPr>
          <w:p>
            <w:pPr>
              <w:jc w:val="right"/>
              <w:spacing w:after="0"/>
              <w:rPr>
                <w:rFonts w:ascii="Arial" w:cs="Arial" w:eastAsia="Arial" w:hAnsi="Arial"/>
                <w:sz w:val="16"/>
                <w:szCs w:val="16"/>
                <w:color w:val="auto"/>
              </w:rPr>
            </w:pPr>
            <w:hyperlink w:anchor="page34">
              <w:r>
                <w:rPr>
                  <w:rFonts w:ascii="Arial" w:cs="Arial" w:eastAsia="Arial" w:hAnsi="Arial"/>
                  <w:sz w:val="16"/>
                  <w:szCs w:val="16"/>
                  <w:color w:val="auto"/>
                </w:rPr>
                <w:t>30</w:t>
              </w:r>
            </w:hyperlink>
          </w:p>
        </w:tc>
        <w:tc>
          <w:tcPr>
            <w:tcW w:w="0" w:type="dxa"/>
            <w:vAlign w:val="bottom"/>
          </w:tcPr>
          <w:p>
            <w:pPr>
              <w:spacing w:after="0"/>
              <w:rPr>
                <w:sz w:val="1"/>
                <w:szCs w:val="1"/>
                <w:color w:val="auto"/>
              </w:rPr>
            </w:pPr>
          </w:p>
        </w:tc>
      </w:tr>
      <w:tr>
        <w:trPr>
          <w:trHeight w:val="189"/>
        </w:trPr>
        <w:tc>
          <w:tcPr>
            <w:tcW w:w="10640" w:type="dxa"/>
            <w:vAlign w:val="bottom"/>
          </w:tcPr>
          <w:p>
            <w:pPr>
              <w:spacing w:after="0"/>
              <w:rPr>
                <w:rFonts w:ascii="Arial" w:cs="Arial" w:eastAsia="Arial" w:hAnsi="Arial"/>
                <w:sz w:val="16"/>
                <w:szCs w:val="16"/>
                <w:color w:val="auto"/>
              </w:rPr>
            </w:pPr>
            <w:hyperlink w:anchor="page34">
              <w:r>
                <w:rPr>
                  <w:rFonts w:ascii="Arial" w:cs="Arial" w:eastAsia="Arial" w:hAnsi="Arial"/>
                  <w:sz w:val="16"/>
                  <w:szCs w:val="16"/>
                  <w:color w:val="auto"/>
                </w:rPr>
                <w:t>Shareholder Communication With the Board</w:t>
              </w:r>
            </w:hyperlink>
          </w:p>
        </w:tc>
        <w:tc>
          <w:tcPr>
            <w:tcW w:w="660" w:type="dxa"/>
            <w:vAlign w:val="bottom"/>
          </w:tcPr>
          <w:p>
            <w:pPr>
              <w:jc w:val="right"/>
              <w:spacing w:after="0"/>
              <w:rPr>
                <w:rFonts w:ascii="Arial" w:cs="Arial" w:eastAsia="Arial" w:hAnsi="Arial"/>
                <w:sz w:val="16"/>
                <w:szCs w:val="16"/>
                <w:color w:val="auto"/>
              </w:rPr>
            </w:pPr>
            <w:hyperlink w:anchor="page34">
              <w:r>
                <w:rPr>
                  <w:rFonts w:ascii="Arial" w:cs="Arial" w:eastAsia="Arial" w:hAnsi="Arial"/>
                  <w:sz w:val="16"/>
                  <w:szCs w:val="16"/>
                  <w:color w:val="auto"/>
                </w:rPr>
                <w:t>30</w:t>
              </w:r>
            </w:hyperlink>
          </w:p>
        </w:tc>
        <w:tc>
          <w:tcPr>
            <w:tcW w:w="0" w:type="dxa"/>
            <w:vAlign w:val="bottom"/>
          </w:tcPr>
          <w:p>
            <w:pPr>
              <w:spacing w:after="0"/>
              <w:rPr>
                <w:sz w:val="1"/>
                <w:szCs w:val="1"/>
                <w:color w:val="auto"/>
              </w:rPr>
            </w:pPr>
          </w:p>
        </w:tc>
      </w:tr>
      <w:tr>
        <w:trPr>
          <w:trHeight w:val="189"/>
        </w:trPr>
        <w:tc>
          <w:tcPr>
            <w:tcW w:w="10640" w:type="dxa"/>
            <w:vAlign w:val="bottom"/>
          </w:tcPr>
          <w:p>
            <w:pPr>
              <w:spacing w:after="0"/>
              <w:rPr>
                <w:rFonts w:ascii="Arial" w:cs="Arial" w:eastAsia="Arial" w:hAnsi="Arial"/>
                <w:sz w:val="16"/>
                <w:szCs w:val="16"/>
                <w:color w:val="auto"/>
              </w:rPr>
            </w:pPr>
            <w:hyperlink w:anchor="page35">
              <w:r>
                <w:rPr>
                  <w:rFonts w:ascii="Arial" w:cs="Arial" w:eastAsia="Arial" w:hAnsi="Arial"/>
                  <w:sz w:val="16"/>
                  <w:szCs w:val="16"/>
                  <w:color w:val="auto"/>
                </w:rPr>
                <w:t>Certain Relationships and Related Party Transactions</w:t>
              </w:r>
            </w:hyperlink>
          </w:p>
        </w:tc>
        <w:tc>
          <w:tcPr>
            <w:tcW w:w="660" w:type="dxa"/>
            <w:vAlign w:val="bottom"/>
          </w:tcPr>
          <w:p>
            <w:pPr>
              <w:jc w:val="right"/>
              <w:spacing w:after="0"/>
              <w:rPr>
                <w:rFonts w:ascii="Arial" w:cs="Arial" w:eastAsia="Arial" w:hAnsi="Arial"/>
                <w:sz w:val="16"/>
                <w:szCs w:val="16"/>
                <w:color w:val="auto"/>
              </w:rPr>
            </w:pPr>
            <w:hyperlink w:anchor="page35">
              <w:r>
                <w:rPr>
                  <w:rFonts w:ascii="Arial" w:cs="Arial" w:eastAsia="Arial" w:hAnsi="Arial"/>
                  <w:sz w:val="16"/>
                  <w:szCs w:val="16"/>
                  <w:color w:val="auto"/>
                </w:rPr>
                <w:t>31</w:t>
              </w:r>
            </w:hyperlink>
          </w:p>
        </w:tc>
        <w:tc>
          <w:tcPr>
            <w:tcW w:w="0" w:type="dxa"/>
            <w:vAlign w:val="bottom"/>
          </w:tcPr>
          <w:p>
            <w:pPr>
              <w:spacing w:after="0"/>
              <w:rPr>
                <w:sz w:val="1"/>
                <w:szCs w:val="1"/>
                <w:color w:val="auto"/>
              </w:rPr>
            </w:pPr>
          </w:p>
        </w:tc>
      </w:tr>
      <w:tr>
        <w:trPr>
          <w:trHeight w:val="189"/>
        </w:trPr>
        <w:tc>
          <w:tcPr>
            <w:tcW w:w="10640" w:type="dxa"/>
            <w:vAlign w:val="bottom"/>
          </w:tcPr>
          <w:p>
            <w:pPr>
              <w:spacing w:after="0"/>
              <w:rPr>
                <w:rFonts w:ascii="Arial" w:cs="Arial" w:eastAsia="Arial" w:hAnsi="Arial"/>
                <w:sz w:val="16"/>
                <w:szCs w:val="16"/>
                <w:color w:val="auto"/>
              </w:rPr>
            </w:pPr>
            <w:hyperlink w:anchor="page35">
              <w:r>
                <w:rPr>
                  <w:rFonts w:ascii="Arial" w:cs="Arial" w:eastAsia="Arial" w:hAnsi="Arial"/>
                  <w:sz w:val="16"/>
                  <w:szCs w:val="16"/>
                  <w:color w:val="auto"/>
                </w:rPr>
                <w:t>Engagement Program</w:t>
              </w:r>
            </w:hyperlink>
          </w:p>
        </w:tc>
        <w:tc>
          <w:tcPr>
            <w:tcW w:w="660" w:type="dxa"/>
            <w:vAlign w:val="bottom"/>
          </w:tcPr>
          <w:p>
            <w:pPr>
              <w:jc w:val="right"/>
              <w:spacing w:after="0"/>
              <w:rPr>
                <w:rFonts w:ascii="Arial" w:cs="Arial" w:eastAsia="Arial" w:hAnsi="Arial"/>
                <w:sz w:val="16"/>
                <w:szCs w:val="16"/>
                <w:color w:val="auto"/>
              </w:rPr>
            </w:pPr>
            <w:hyperlink w:anchor="page35">
              <w:r>
                <w:rPr>
                  <w:rFonts w:ascii="Arial" w:cs="Arial" w:eastAsia="Arial" w:hAnsi="Arial"/>
                  <w:sz w:val="16"/>
                  <w:szCs w:val="16"/>
                  <w:color w:val="auto"/>
                </w:rPr>
                <w:t>31</w:t>
              </w:r>
            </w:hyperlink>
          </w:p>
        </w:tc>
        <w:tc>
          <w:tcPr>
            <w:tcW w:w="0" w:type="dxa"/>
            <w:vAlign w:val="bottom"/>
          </w:tcPr>
          <w:p>
            <w:pPr>
              <w:spacing w:after="0"/>
              <w:rPr>
                <w:sz w:val="1"/>
                <w:szCs w:val="1"/>
                <w:color w:val="auto"/>
              </w:rPr>
            </w:pPr>
          </w:p>
        </w:tc>
      </w:tr>
      <w:tr>
        <w:trPr>
          <w:trHeight w:val="189"/>
        </w:trPr>
        <w:tc>
          <w:tcPr>
            <w:tcW w:w="10640" w:type="dxa"/>
            <w:vAlign w:val="bottom"/>
          </w:tcPr>
          <w:p>
            <w:pPr>
              <w:spacing w:after="0"/>
              <w:rPr>
                <w:rFonts w:ascii="Arial" w:cs="Arial" w:eastAsia="Arial" w:hAnsi="Arial"/>
                <w:sz w:val="16"/>
                <w:szCs w:val="16"/>
                <w:color w:val="auto"/>
              </w:rPr>
            </w:pPr>
            <w:hyperlink w:anchor="page36">
              <w:r>
                <w:rPr>
                  <w:rFonts w:ascii="Arial" w:cs="Arial" w:eastAsia="Arial" w:hAnsi="Arial"/>
                  <w:sz w:val="16"/>
                  <w:szCs w:val="16"/>
                  <w:color w:val="auto"/>
                </w:rPr>
                <w:t>Sustainability</w:t>
              </w:r>
            </w:hyperlink>
          </w:p>
        </w:tc>
        <w:tc>
          <w:tcPr>
            <w:tcW w:w="660" w:type="dxa"/>
            <w:vAlign w:val="bottom"/>
          </w:tcPr>
          <w:p>
            <w:pPr>
              <w:jc w:val="right"/>
              <w:spacing w:after="0"/>
              <w:rPr>
                <w:rFonts w:ascii="Arial" w:cs="Arial" w:eastAsia="Arial" w:hAnsi="Arial"/>
                <w:sz w:val="16"/>
                <w:szCs w:val="16"/>
                <w:color w:val="auto"/>
              </w:rPr>
            </w:pPr>
            <w:hyperlink w:anchor="page36">
              <w:r>
                <w:rPr>
                  <w:rFonts w:ascii="Arial" w:cs="Arial" w:eastAsia="Arial" w:hAnsi="Arial"/>
                  <w:sz w:val="16"/>
                  <w:szCs w:val="16"/>
                  <w:color w:val="auto"/>
                </w:rPr>
                <w:t>32</w:t>
              </w:r>
            </w:hyperlink>
          </w:p>
        </w:tc>
        <w:tc>
          <w:tcPr>
            <w:tcW w:w="0" w:type="dxa"/>
            <w:vAlign w:val="bottom"/>
          </w:tcPr>
          <w:p>
            <w:pPr>
              <w:spacing w:after="0"/>
              <w:rPr>
                <w:sz w:val="1"/>
                <w:szCs w:val="1"/>
                <w:color w:val="auto"/>
              </w:rPr>
            </w:pPr>
          </w:p>
        </w:tc>
      </w:tr>
      <w:tr>
        <w:trPr>
          <w:trHeight w:val="195"/>
        </w:trPr>
        <w:tc>
          <w:tcPr>
            <w:tcW w:w="10640" w:type="dxa"/>
            <w:vAlign w:val="bottom"/>
          </w:tcPr>
          <w:p>
            <w:pPr>
              <w:spacing w:after="0"/>
              <w:rPr>
                <w:rFonts w:ascii="Arial" w:cs="Arial" w:eastAsia="Arial" w:hAnsi="Arial"/>
                <w:sz w:val="16"/>
                <w:szCs w:val="16"/>
                <w:color w:val="auto"/>
              </w:rPr>
            </w:pPr>
            <w:hyperlink w:anchor="page36">
              <w:r>
                <w:rPr>
                  <w:rFonts w:ascii="Arial" w:cs="Arial" w:eastAsia="Arial" w:hAnsi="Arial"/>
                  <w:sz w:val="16"/>
                  <w:szCs w:val="16"/>
                  <w:color w:val="auto"/>
                </w:rPr>
                <w:t>Public Policy Engagement</w:t>
              </w:r>
            </w:hyperlink>
          </w:p>
        </w:tc>
        <w:tc>
          <w:tcPr>
            <w:tcW w:w="660" w:type="dxa"/>
            <w:vAlign w:val="bottom"/>
          </w:tcPr>
          <w:p>
            <w:pPr>
              <w:jc w:val="right"/>
              <w:spacing w:after="0"/>
              <w:rPr>
                <w:rFonts w:ascii="Arial" w:cs="Arial" w:eastAsia="Arial" w:hAnsi="Arial"/>
                <w:sz w:val="16"/>
                <w:szCs w:val="16"/>
                <w:color w:val="auto"/>
              </w:rPr>
            </w:pPr>
            <w:hyperlink w:anchor="page36">
              <w:r>
                <w:rPr>
                  <w:rFonts w:ascii="Arial" w:cs="Arial" w:eastAsia="Arial" w:hAnsi="Arial"/>
                  <w:sz w:val="16"/>
                  <w:szCs w:val="16"/>
                  <w:color w:val="auto"/>
                </w:rPr>
                <w:t>32</w:t>
              </w:r>
            </w:hyperlink>
          </w:p>
        </w:tc>
        <w:tc>
          <w:tcPr>
            <w:tcW w:w="0" w:type="dxa"/>
            <w:vAlign w:val="bottom"/>
          </w:tcPr>
          <w:p>
            <w:pPr>
              <w:spacing w:after="0"/>
              <w:rPr>
                <w:sz w:val="1"/>
                <w:szCs w:val="1"/>
                <w:color w:val="auto"/>
              </w:rPr>
            </w:pPr>
          </w:p>
        </w:tc>
      </w:tr>
      <w:tr>
        <w:trPr>
          <w:trHeight w:val="546"/>
        </w:trPr>
        <w:tc>
          <w:tcPr>
            <w:tcW w:w="10640" w:type="dxa"/>
            <w:vAlign w:val="bottom"/>
            <w:tcBorders>
              <w:bottom w:val="single" w:sz="8" w:color="58585A"/>
            </w:tcBorders>
          </w:tcPr>
          <w:p>
            <w:pPr>
              <w:spacing w:after="0"/>
              <w:rPr>
                <w:rFonts w:ascii="Arial" w:cs="Arial" w:eastAsia="Arial" w:hAnsi="Arial"/>
                <w:sz w:val="22"/>
                <w:szCs w:val="22"/>
                <w:b w:val="1"/>
                <w:bCs w:val="1"/>
                <w:color w:val="1C90D3"/>
              </w:rPr>
            </w:pPr>
            <w:hyperlink w:anchor="page37">
              <w:r>
                <w:rPr>
                  <w:rFonts w:ascii="Arial" w:cs="Arial" w:eastAsia="Arial" w:hAnsi="Arial"/>
                  <w:sz w:val="22"/>
                  <w:szCs w:val="22"/>
                  <w:b w:val="1"/>
                  <w:bCs w:val="1"/>
                  <w:color w:val="1C90D3"/>
                </w:rPr>
                <w:t>SECURITY OWNERSHIP INFORMATION</w:t>
              </w:r>
            </w:hyperlink>
          </w:p>
        </w:tc>
        <w:tc>
          <w:tcPr>
            <w:tcW w:w="660" w:type="dxa"/>
            <w:vAlign w:val="bottom"/>
            <w:tcBorders>
              <w:bottom w:val="single" w:sz="8" w:color="58585A"/>
            </w:tcBorders>
          </w:tcPr>
          <w:p>
            <w:pPr>
              <w:jc w:val="right"/>
              <w:spacing w:after="0"/>
              <w:rPr>
                <w:rFonts w:ascii="Arial" w:cs="Arial" w:eastAsia="Arial" w:hAnsi="Arial"/>
                <w:sz w:val="22"/>
                <w:szCs w:val="22"/>
                <w:b w:val="1"/>
                <w:bCs w:val="1"/>
                <w:color w:val="1C90D3"/>
              </w:rPr>
            </w:pPr>
            <w:hyperlink w:anchor="page37">
              <w:r>
                <w:rPr>
                  <w:rFonts w:ascii="Arial" w:cs="Arial" w:eastAsia="Arial" w:hAnsi="Arial"/>
                  <w:sz w:val="22"/>
                  <w:szCs w:val="22"/>
                  <w:b w:val="1"/>
                  <w:bCs w:val="1"/>
                  <w:color w:val="1C90D3"/>
                </w:rPr>
                <w:t>33</w:t>
              </w:r>
            </w:hyperlink>
          </w:p>
        </w:tc>
        <w:tc>
          <w:tcPr>
            <w:tcW w:w="0" w:type="dxa"/>
            <w:vAlign w:val="bottom"/>
          </w:tcPr>
          <w:p>
            <w:pPr>
              <w:spacing w:after="0"/>
              <w:rPr>
                <w:sz w:val="1"/>
                <w:szCs w:val="1"/>
                <w:color w:val="auto"/>
              </w:rPr>
            </w:pPr>
          </w:p>
        </w:tc>
      </w:tr>
      <w:tr>
        <w:trPr>
          <w:trHeight w:val="387"/>
        </w:trPr>
        <w:tc>
          <w:tcPr>
            <w:tcW w:w="10640" w:type="dxa"/>
            <w:vAlign w:val="bottom"/>
          </w:tcPr>
          <w:p>
            <w:pPr>
              <w:spacing w:after="0"/>
              <w:rPr>
                <w:rFonts w:ascii="Arial" w:cs="Arial" w:eastAsia="Arial" w:hAnsi="Arial"/>
                <w:sz w:val="16"/>
                <w:szCs w:val="16"/>
                <w:color w:val="auto"/>
              </w:rPr>
            </w:pPr>
            <w:hyperlink w:anchor="page37">
              <w:r>
                <w:rPr>
                  <w:rFonts w:ascii="Arial" w:cs="Arial" w:eastAsia="Arial" w:hAnsi="Arial"/>
                  <w:sz w:val="16"/>
                  <w:szCs w:val="16"/>
                  <w:color w:val="auto"/>
                </w:rPr>
                <w:t>Security Ownership of Directors, Named Executive Officers, and Certain Other Beneficial Owners</w:t>
              </w:r>
            </w:hyperlink>
          </w:p>
        </w:tc>
        <w:tc>
          <w:tcPr>
            <w:tcW w:w="660" w:type="dxa"/>
            <w:vAlign w:val="bottom"/>
          </w:tcPr>
          <w:p>
            <w:pPr>
              <w:jc w:val="right"/>
              <w:spacing w:after="0"/>
              <w:rPr>
                <w:rFonts w:ascii="Arial" w:cs="Arial" w:eastAsia="Arial" w:hAnsi="Arial"/>
                <w:sz w:val="16"/>
                <w:szCs w:val="16"/>
                <w:color w:val="auto"/>
              </w:rPr>
            </w:pPr>
            <w:hyperlink w:anchor="page36">
              <w:r>
                <w:rPr>
                  <w:rFonts w:ascii="Arial" w:cs="Arial" w:eastAsia="Arial" w:hAnsi="Arial"/>
                  <w:sz w:val="16"/>
                  <w:szCs w:val="16"/>
                  <w:color w:val="auto"/>
                </w:rPr>
                <w:t>33</w:t>
              </w:r>
            </w:hyperlink>
          </w:p>
        </w:tc>
        <w:tc>
          <w:tcPr>
            <w:tcW w:w="0" w:type="dxa"/>
            <w:vAlign w:val="bottom"/>
          </w:tcPr>
          <w:p>
            <w:pPr>
              <w:spacing w:after="0"/>
              <w:rPr>
                <w:sz w:val="1"/>
                <w:szCs w:val="1"/>
                <w:color w:val="auto"/>
              </w:rPr>
            </w:pPr>
          </w:p>
        </w:tc>
      </w:tr>
      <w:tr>
        <w:trPr>
          <w:trHeight w:val="189"/>
        </w:trPr>
        <w:tc>
          <w:tcPr>
            <w:tcW w:w="10640" w:type="dxa"/>
            <w:vAlign w:val="bottom"/>
          </w:tcPr>
          <w:p>
            <w:pPr>
              <w:spacing w:after="0"/>
              <w:rPr>
                <w:rFonts w:ascii="Arial" w:cs="Arial" w:eastAsia="Arial" w:hAnsi="Arial"/>
                <w:sz w:val="16"/>
                <w:szCs w:val="16"/>
                <w:color w:val="auto"/>
              </w:rPr>
            </w:pPr>
            <w:hyperlink w:anchor="page38">
              <w:r>
                <w:rPr>
                  <w:rFonts w:ascii="Arial" w:cs="Arial" w:eastAsia="Arial" w:hAnsi="Arial"/>
                  <w:sz w:val="16"/>
                  <w:szCs w:val="16"/>
                  <w:color w:val="auto"/>
                </w:rPr>
                <w:t>Stockholders Agreement</w:t>
              </w:r>
            </w:hyperlink>
          </w:p>
        </w:tc>
        <w:tc>
          <w:tcPr>
            <w:tcW w:w="660" w:type="dxa"/>
            <w:vAlign w:val="bottom"/>
          </w:tcPr>
          <w:p>
            <w:pPr>
              <w:jc w:val="right"/>
              <w:spacing w:after="0"/>
              <w:rPr>
                <w:rFonts w:ascii="Arial" w:cs="Arial" w:eastAsia="Arial" w:hAnsi="Arial"/>
                <w:sz w:val="16"/>
                <w:szCs w:val="16"/>
                <w:color w:val="auto"/>
              </w:rPr>
            </w:pPr>
            <w:hyperlink w:anchor="page38">
              <w:r>
                <w:rPr>
                  <w:rFonts w:ascii="Arial" w:cs="Arial" w:eastAsia="Arial" w:hAnsi="Arial"/>
                  <w:sz w:val="16"/>
                  <w:szCs w:val="16"/>
                  <w:color w:val="auto"/>
                </w:rPr>
                <w:t>34</w:t>
              </w:r>
            </w:hyperlink>
          </w:p>
        </w:tc>
        <w:tc>
          <w:tcPr>
            <w:tcW w:w="0" w:type="dxa"/>
            <w:vAlign w:val="bottom"/>
          </w:tcPr>
          <w:p>
            <w:pPr>
              <w:spacing w:after="0"/>
              <w:rPr>
                <w:sz w:val="1"/>
                <w:szCs w:val="1"/>
                <w:color w:val="auto"/>
              </w:rPr>
            </w:pPr>
          </w:p>
        </w:tc>
      </w:tr>
      <w:tr>
        <w:trPr>
          <w:trHeight w:val="195"/>
        </w:trPr>
        <w:tc>
          <w:tcPr>
            <w:tcW w:w="10640" w:type="dxa"/>
            <w:vAlign w:val="bottom"/>
          </w:tcPr>
          <w:p>
            <w:pPr>
              <w:spacing w:after="0"/>
              <w:rPr>
                <w:rFonts w:ascii="Arial" w:cs="Arial" w:eastAsia="Arial" w:hAnsi="Arial"/>
                <w:sz w:val="16"/>
                <w:szCs w:val="16"/>
                <w:color w:val="auto"/>
              </w:rPr>
            </w:pPr>
            <w:hyperlink w:anchor="page38">
              <w:r>
                <w:rPr>
                  <w:rFonts w:ascii="Arial" w:cs="Arial" w:eastAsia="Arial" w:hAnsi="Arial"/>
                  <w:sz w:val="16"/>
                  <w:szCs w:val="16"/>
                  <w:color w:val="auto"/>
                </w:rPr>
                <w:t>Section 16(a) Beneficial Ownership Reporting Compliance</w:t>
              </w:r>
            </w:hyperlink>
          </w:p>
        </w:tc>
        <w:tc>
          <w:tcPr>
            <w:tcW w:w="660" w:type="dxa"/>
            <w:vAlign w:val="bottom"/>
          </w:tcPr>
          <w:p>
            <w:pPr>
              <w:jc w:val="right"/>
              <w:spacing w:after="0"/>
              <w:rPr>
                <w:rFonts w:ascii="Arial" w:cs="Arial" w:eastAsia="Arial" w:hAnsi="Arial"/>
                <w:sz w:val="16"/>
                <w:szCs w:val="16"/>
                <w:color w:val="auto"/>
              </w:rPr>
            </w:pPr>
            <w:hyperlink w:anchor="page38">
              <w:r>
                <w:rPr>
                  <w:rFonts w:ascii="Arial" w:cs="Arial" w:eastAsia="Arial" w:hAnsi="Arial"/>
                  <w:sz w:val="16"/>
                  <w:szCs w:val="16"/>
                  <w:color w:val="auto"/>
                </w:rPr>
                <w:t>34</w:t>
              </w:r>
            </w:hyperlink>
          </w:p>
        </w:tc>
        <w:tc>
          <w:tcPr>
            <w:tcW w:w="0" w:type="dxa"/>
            <w:vAlign w:val="bottom"/>
          </w:tcPr>
          <w:p>
            <w:pPr>
              <w:spacing w:after="0"/>
              <w:rPr>
                <w:sz w:val="1"/>
                <w:szCs w:val="1"/>
                <w:color w:val="auto"/>
              </w:rPr>
            </w:pPr>
          </w:p>
        </w:tc>
      </w:tr>
      <w:tr>
        <w:trPr>
          <w:trHeight w:val="546"/>
        </w:trPr>
        <w:tc>
          <w:tcPr>
            <w:tcW w:w="10640" w:type="dxa"/>
            <w:vAlign w:val="bottom"/>
            <w:tcBorders>
              <w:bottom w:val="single" w:sz="8" w:color="58585A"/>
            </w:tcBorders>
          </w:tcPr>
          <w:p>
            <w:pPr>
              <w:spacing w:after="0"/>
              <w:rPr>
                <w:rFonts w:ascii="Arial" w:cs="Arial" w:eastAsia="Arial" w:hAnsi="Arial"/>
                <w:sz w:val="22"/>
                <w:szCs w:val="22"/>
                <w:b w:val="1"/>
                <w:bCs w:val="1"/>
                <w:color w:val="1C90D3"/>
              </w:rPr>
            </w:pPr>
            <w:hyperlink w:anchor="page39">
              <w:r>
                <w:rPr>
                  <w:rFonts w:ascii="Arial" w:cs="Arial" w:eastAsia="Arial" w:hAnsi="Arial"/>
                  <w:sz w:val="22"/>
                  <w:szCs w:val="22"/>
                  <w:b w:val="1"/>
                  <w:bCs w:val="1"/>
                  <w:color w:val="1C90D3"/>
                </w:rPr>
                <w:t>EXECUTIVE COMPENSATION</w:t>
              </w:r>
            </w:hyperlink>
          </w:p>
        </w:tc>
        <w:tc>
          <w:tcPr>
            <w:tcW w:w="660" w:type="dxa"/>
            <w:vAlign w:val="bottom"/>
            <w:tcBorders>
              <w:bottom w:val="single" w:sz="8" w:color="58585A"/>
            </w:tcBorders>
          </w:tcPr>
          <w:p>
            <w:pPr>
              <w:jc w:val="right"/>
              <w:spacing w:after="0"/>
              <w:rPr>
                <w:rFonts w:ascii="Arial" w:cs="Arial" w:eastAsia="Arial" w:hAnsi="Arial"/>
                <w:sz w:val="22"/>
                <w:szCs w:val="22"/>
                <w:b w:val="1"/>
                <w:bCs w:val="1"/>
                <w:color w:val="1C90D3"/>
              </w:rPr>
            </w:pPr>
            <w:hyperlink w:anchor="page39">
              <w:r>
                <w:rPr>
                  <w:rFonts w:ascii="Arial" w:cs="Arial" w:eastAsia="Arial" w:hAnsi="Arial"/>
                  <w:sz w:val="22"/>
                  <w:szCs w:val="22"/>
                  <w:b w:val="1"/>
                  <w:bCs w:val="1"/>
                  <w:color w:val="1C90D3"/>
                </w:rPr>
                <w:t>35</w:t>
              </w:r>
            </w:hyperlink>
          </w:p>
        </w:tc>
        <w:tc>
          <w:tcPr>
            <w:tcW w:w="0" w:type="dxa"/>
            <w:vAlign w:val="bottom"/>
          </w:tcPr>
          <w:p>
            <w:pPr>
              <w:spacing w:after="0"/>
              <w:rPr>
                <w:sz w:val="1"/>
                <w:szCs w:val="1"/>
                <w:color w:val="auto"/>
              </w:rPr>
            </w:pPr>
          </w:p>
        </w:tc>
      </w:tr>
      <w:tr>
        <w:trPr>
          <w:trHeight w:val="387"/>
        </w:trPr>
        <w:tc>
          <w:tcPr>
            <w:tcW w:w="10640" w:type="dxa"/>
            <w:vAlign w:val="bottom"/>
          </w:tcPr>
          <w:p>
            <w:pPr>
              <w:spacing w:after="0"/>
              <w:rPr>
                <w:rFonts w:ascii="Arial" w:cs="Arial" w:eastAsia="Arial" w:hAnsi="Arial"/>
                <w:sz w:val="16"/>
                <w:szCs w:val="16"/>
                <w:color w:val="auto"/>
              </w:rPr>
            </w:pPr>
            <w:hyperlink w:anchor="page39">
              <w:r>
                <w:rPr>
                  <w:rFonts w:ascii="Arial" w:cs="Arial" w:eastAsia="Arial" w:hAnsi="Arial"/>
                  <w:sz w:val="16"/>
                  <w:szCs w:val="16"/>
                  <w:color w:val="auto"/>
                </w:rPr>
                <w:t>Compensation Discussion and Analysis</w:t>
              </w:r>
            </w:hyperlink>
          </w:p>
        </w:tc>
        <w:tc>
          <w:tcPr>
            <w:tcW w:w="660" w:type="dxa"/>
            <w:vAlign w:val="bottom"/>
          </w:tcPr>
          <w:p>
            <w:pPr>
              <w:jc w:val="right"/>
              <w:spacing w:after="0"/>
              <w:rPr>
                <w:rFonts w:ascii="Arial" w:cs="Arial" w:eastAsia="Arial" w:hAnsi="Arial"/>
                <w:sz w:val="16"/>
                <w:szCs w:val="16"/>
                <w:color w:val="auto"/>
              </w:rPr>
            </w:pPr>
            <w:hyperlink w:anchor="page39">
              <w:r>
                <w:rPr>
                  <w:rFonts w:ascii="Arial" w:cs="Arial" w:eastAsia="Arial" w:hAnsi="Arial"/>
                  <w:sz w:val="16"/>
                  <w:szCs w:val="16"/>
                  <w:color w:val="auto"/>
                </w:rPr>
                <w:t>35</w:t>
              </w:r>
            </w:hyperlink>
          </w:p>
        </w:tc>
        <w:tc>
          <w:tcPr>
            <w:tcW w:w="0" w:type="dxa"/>
            <w:vAlign w:val="bottom"/>
          </w:tcPr>
          <w:p>
            <w:pPr>
              <w:spacing w:after="0"/>
              <w:rPr>
                <w:sz w:val="1"/>
                <w:szCs w:val="1"/>
                <w:color w:val="auto"/>
              </w:rPr>
            </w:pPr>
          </w:p>
        </w:tc>
      </w:tr>
      <w:tr>
        <w:trPr>
          <w:trHeight w:val="189"/>
        </w:trPr>
        <w:tc>
          <w:tcPr>
            <w:tcW w:w="10640" w:type="dxa"/>
            <w:vAlign w:val="bottom"/>
          </w:tcPr>
          <w:p>
            <w:pPr>
              <w:spacing w:after="0"/>
              <w:rPr>
                <w:rFonts w:ascii="Arial" w:cs="Arial" w:eastAsia="Arial" w:hAnsi="Arial"/>
                <w:sz w:val="16"/>
                <w:szCs w:val="16"/>
                <w:color w:val="auto"/>
              </w:rPr>
            </w:pPr>
            <w:hyperlink w:anchor="page40">
              <w:r>
                <w:rPr>
                  <w:rFonts w:ascii="Arial" w:cs="Arial" w:eastAsia="Arial" w:hAnsi="Arial"/>
                  <w:sz w:val="16"/>
                  <w:szCs w:val="16"/>
                  <w:color w:val="auto"/>
                </w:rPr>
                <w:t>Compensation Overview</w:t>
              </w:r>
            </w:hyperlink>
          </w:p>
        </w:tc>
        <w:tc>
          <w:tcPr>
            <w:tcW w:w="660" w:type="dxa"/>
            <w:vAlign w:val="bottom"/>
          </w:tcPr>
          <w:p>
            <w:pPr>
              <w:jc w:val="right"/>
              <w:spacing w:after="0"/>
              <w:rPr>
                <w:rFonts w:ascii="Arial" w:cs="Arial" w:eastAsia="Arial" w:hAnsi="Arial"/>
                <w:sz w:val="16"/>
                <w:szCs w:val="16"/>
                <w:color w:val="auto"/>
              </w:rPr>
            </w:pPr>
            <w:hyperlink w:anchor="page40">
              <w:r>
                <w:rPr>
                  <w:rFonts w:ascii="Arial" w:cs="Arial" w:eastAsia="Arial" w:hAnsi="Arial"/>
                  <w:sz w:val="16"/>
                  <w:szCs w:val="16"/>
                  <w:color w:val="auto"/>
                </w:rPr>
                <w:t>36</w:t>
              </w:r>
            </w:hyperlink>
          </w:p>
        </w:tc>
        <w:tc>
          <w:tcPr>
            <w:tcW w:w="0" w:type="dxa"/>
            <w:vAlign w:val="bottom"/>
          </w:tcPr>
          <w:p>
            <w:pPr>
              <w:spacing w:after="0"/>
              <w:rPr>
                <w:sz w:val="1"/>
                <w:szCs w:val="1"/>
                <w:color w:val="auto"/>
              </w:rPr>
            </w:pPr>
          </w:p>
        </w:tc>
      </w:tr>
      <w:tr>
        <w:trPr>
          <w:trHeight w:val="189"/>
        </w:trPr>
        <w:tc>
          <w:tcPr>
            <w:tcW w:w="10640" w:type="dxa"/>
            <w:vAlign w:val="bottom"/>
          </w:tcPr>
          <w:p>
            <w:pPr>
              <w:spacing w:after="0"/>
              <w:rPr>
                <w:rFonts w:ascii="Arial" w:cs="Arial" w:eastAsia="Arial" w:hAnsi="Arial"/>
                <w:sz w:val="16"/>
                <w:szCs w:val="16"/>
                <w:color w:val="auto"/>
              </w:rPr>
            </w:pPr>
            <w:hyperlink w:anchor="page45">
              <w:r>
                <w:rPr>
                  <w:rFonts w:ascii="Arial" w:cs="Arial" w:eastAsia="Arial" w:hAnsi="Arial"/>
                  <w:sz w:val="16"/>
                  <w:szCs w:val="16"/>
                  <w:color w:val="auto"/>
                </w:rPr>
                <w:t>2015 Compensation Elements</w:t>
              </w:r>
            </w:hyperlink>
          </w:p>
        </w:tc>
        <w:tc>
          <w:tcPr>
            <w:tcW w:w="660" w:type="dxa"/>
            <w:vAlign w:val="bottom"/>
          </w:tcPr>
          <w:p>
            <w:pPr>
              <w:jc w:val="right"/>
              <w:spacing w:after="0"/>
              <w:rPr>
                <w:rFonts w:ascii="Arial" w:cs="Arial" w:eastAsia="Arial" w:hAnsi="Arial"/>
                <w:sz w:val="16"/>
                <w:szCs w:val="16"/>
                <w:color w:val="auto"/>
              </w:rPr>
            </w:pPr>
            <w:hyperlink w:anchor="page45">
              <w:r>
                <w:rPr>
                  <w:rFonts w:ascii="Arial" w:cs="Arial" w:eastAsia="Arial" w:hAnsi="Arial"/>
                  <w:sz w:val="16"/>
                  <w:szCs w:val="16"/>
                  <w:color w:val="auto"/>
                </w:rPr>
                <w:t>41</w:t>
              </w:r>
            </w:hyperlink>
          </w:p>
        </w:tc>
        <w:tc>
          <w:tcPr>
            <w:tcW w:w="0" w:type="dxa"/>
            <w:vAlign w:val="bottom"/>
          </w:tcPr>
          <w:p>
            <w:pPr>
              <w:spacing w:after="0"/>
              <w:rPr>
                <w:sz w:val="1"/>
                <w:szCs w:val="1"/>
                <w:color w:val="auto"/>
              </w:rPr>
            </w:pPr>
          </w:p>
        </w:tc>
      </w:tr>
      <w:tr>
        <w:trPr>
          <w:trHeight w:val="189"/>
        </w:trPr>
        <w:tc>
          <w:tcPr>
            <w:tcW w:w="10640" w:type="dxa"/>
            <w:vAlign w:val="bottom"/>
          </w:tcPr>
          <w:p>
            <w:pPr>
              <w:spacing w:after="0"/>
              <w:rPr>
                <w:rFonts w:ascii="Arial" w:cs="Arial" w:eastAsia="Arial" w:hAnsi="Arial"/>
                <w:sz w:val="16"/>
                <w:szCs w:val="16"/>
                <w:color w:val="auto"/>
              </w:rPr>
            </w:pPr>
            <w:hyperlink w:anchor="page46">
              <w:r>
                <w:rPr>
                  <w:rFonts w:ascii="Arial" w:cs="Arial" w:eastAsia="Arial" w:hAnsi="Arial"/>
                  <w:sz w:val="16"/>
                  <w:szCs w:val="16"/>
                  <w:color w:val="auto"/>
                </w:rPr>
                <w:t>Performance Measures for 2015</w:t>
              </w:r>
            </w:hyperlink>
          </w:p>
        </w:tc>
        <w:tc>
          <w:tcPr>
            <w:tcW w:w="660" w:type="dxa"/>
            <w:vAlign w:val="bottom"/>
          </w:tcPr>
          <w:p>
            <w:pPr>
              <w:jc w:val="right"/>
              <w:spacing w:after="0"/>
              <w:rPr>
                <w:rFonts w:ascii="Arial" w:cs="Arial" w:eastAsia="Arial" w:hAnsi="Arial"/>
                <w:sz w:val="16"/>
                <w:szCs w:val="16"/>
                <w:color w:val="auto"/>
              </w:rPr>
            </w:pPr>
            <w:hyperlink w:anchor="page46">
              <w:r>
                <w:rPr>
                  <w:rFonts w:ascii="Arial" w:cs="Arial" w:eastAsia="Arial" w:hAnsi="Arial"/>
                  <w:sz w:val="16"/>
                  <w:szCs w:val="16"/>
                  <w:color w:val="auto"/>
                </w:rPr>
                <w:t>42</w:t>
              </w:r>
            </w:hyperlink>
          </w:p>
        </w:tc>
        <w:tc>
          <w:tcPr>
            <w:tcW w:w="0" w:type="dxa"/>
            <w:vAlign w:val="bottom"/>
          </w:tcPr>
          <w:p>
            <w:pPr>
              <w:spacing w:after="0"/>
              <w:rPr>
                <w:sz w:val="1"/>
                <w:szCs w:val="1"/>
                <w:color w:val="auto"/>
              </w:rPr>
            </w:pPr>
          </w:p>
        </w:tc>
      </w:tr>
      <w:tr>
        <w:trPr>
          <w:trHeight w:val="189"/>
        </w:trPr>
        <w:tc>
          <w:tcPr>
            <w:tcW w:w="10640" w:type="dxa"/>
            <w:vAlign w:val="bottom"/>
          </w:tcPr>
          <w:p>
            <w:pPr>
              <w:spacing w:after="0"/>
              <w:rPr>
                <w:rFonts w:ascii="Arial" w:cs="Arial" w:eastAsia="Arial" w:hAnsi="Arial"/>
                <w:sz w:val="16"/>
                <w:szCs w:val="16"/>
                <w:color w:val="auto"/>
              </w:rPr>
            </w:pPr>
            <w:hyperlink w:anchor="page50">
              <w:r>
                <w:rPr>
                  <w:rFonts w:ascii="Arial" w:cs="Arial" w:eastAsia="Arial" w:hAnsi="Arial"/>
                  <w:sz w:val="16"/>
                  <w:szCs w:val="16"/>
                  <w:color w:val="auto"/>
                </w:rPr>
                <w:t>2015 Performance Results and Compensation Decisions</w:t>
              </w:r>
            </w:hyperlink>
          </w:p>
        </w:tc>
        <w:tc>
          <w:tcPr>
            <w:tcW w:w="660" w:type="dxa"/>
            <w:vAlign w:val="bottom"/>
          </w:tcPr>
          <w:p>
            <w:pPr>
              <w:jc w:val="right"/>
              <w:spacing w:after="0"/>
              <w:rPr>
                <w:rFonts w:ascii="Arial" w:cs="Arial" w:eastAsia="Arial" w:hAnsi="Arial"/>
                <w:sz w:val="16"/>
                <w:szCs w:val="16"/>
                <w:color w:val="auto"/>
              </w:rPr>
            </w:pPr>
            <w:hyperlink w:anchor="page50">
              <w:r>
                <w:rPr>
                  <w:rFonts w:ascii="Arial" w:cs="Arial" w:eastAsia="Arial" w:hAnsi="Arial"/>
                  <w:sz w:val="16"/>
                  <w:szCs w:val="16"/>
                  <w:color w:val="auto"/>
                </w:rPr>
                <w:t>46</w:t>
              </w:r>
            </w:hyperlink>
          </w:p>
        </w:tc>
        <w:tc>
          <w:tcPr>
            <w:tcW w:w="0" w:type="dxa"/>
            <w:vAlign w:val="bottom"/>
          </w:tcPr>
          <w:p>
            <w:pPr>
              <w:spacing w:after="0"/>
              <w:rPr>
                <w:sz w:val="1"/>
                <w:szCs w:val="1"/>
                <w:color w:val="auto"/>
              </w:rPr>
            </w:pPr>
          </w:p>
        </w:tc>
      </w:tr>
      <w:tr>
        <w:trPr>
          <w:trHeight w:val="189"/>
        </w:trPr>
        <w:tc>
          <w:tcPr>
            <w:tcW w:w="10640" w:type="dxa"/>
            <w:vAlign w:val="bottom"/>
          </w:tcPr>
          <w:p>
            <w:pPr>
              <w:spacing w:after="0"/>
              <w:rPr>
                <w:rFonts w:ascii="Arial" w:cs="Arial" w:eastAsia="Arial" w:hAnsi="Arial"/>
                <w:sz w:val="16"/>
                <w:szCs w:val="16"/>
                <w:color w:val="auto"/>
              </w:rPr>
            </w:pPr>
            <w:hyperlink w:anchor="page56">
              <w:r>
                <w:rPr>
                  <w:rFonts w:ascii="Arial" w:cs="Arial" w:eastAsia="Arial" w:hAnsi="Arial"/>
                  <w:sz w:val="16"/>
                  <w:szCs w:val="16"/>
                  <w:color w:val="auto"/>
                </w:rPr>
                <w:t>Compensation Policies and Governance Practices</w:t>
              </w:r>
            </w:hyperlink>
          </w:p>
        </w:tc>
        <w:tc>
          <w:tcPr>
            <w:tcW w:w="660" w:type="dxa"/>
            <w:vAlign w:val="bottom"/>
          </w:tcPr>
          <w:p>
            <w:pPr>
              <w:jc w:val="right"/>
              <w:spacing w:after="0"/>
              <w:rPr>
                <w:rFonts w:ascii="Arial" w:cs="Arial" w:eastAsia="Arial" w:hAnsi="Arial"/>
                <w:sz w:val="16"/>
                <w:szCs w:val="16"/>
                <w:color w:val="auto"/>
              </w:rPr>
            </w:pPr>
            <w:hyperlink w:anchor="page56">
              <w:r>
                <w:rPr>
                  <w:rFonts w:ascii="Arial" w:cs="Arial" w:eastAsia="Arial" w:hAnsi="Arial"/>
                  <w:sz w:val="16"/>
                  <w:szCs w:val="16"/>
                  <w:color w:val="auto"/>
                </w:rPr>
                <w:t>52</w:t>
              </w:r>
            </w:hyperlink>
          </w:p>
        </w:tc>
        <w:tc>
          <w:tcPr>
            <w:tcW w:w="0" w:type="dxa"/>
            <w:vAlign w:val="bottom"/>
          </w:tcPr>
          <w:p>
            <w:pPr>
              <w:spacing w:after="0"/>
              <w:rPr>
                <w:sz w:val="1"/>
                <w:szCs w:val="1"/>
                <w:color w:val="auto"/>
              </w:rPr>
            </w:pPr>
          </w:p>
        </w:tc>
      </w:tr>
      <w:tr>
        <w:trPr>
          <w:trHeight w:val="189"/>
        </w:trPr>
        <w:tc>
          <w:tcPr>
            <w:tcW w:w="10640" w:type="dxa"/>
            <w:vAlign w:val="bottom"/>
          </w:tcPr>
          <w:p>
            <w:pPr>
              <w:spacing w:after="0"/>
              <w:rPr>
                <w:rFonts w:ascii="Arial" w:cs="Arial" w:eastAsia="Arial" w:hAnsi="Arial"/>
                <w:sz w:val="16"/>
                <w:szCs w:val="16"/>
                <w:color w:val="auto"/>
              </w:rPr>
            </w:pPr>
            <w:hyperlink w:anchor="page57">
              <w:r>
                <w:rPr>
                  <w:rFonts w:ascii="Arial" w:cs="Arial" w:eastAsia="Arial" w:hAnsi="Arial"/>
                  <w:sz w:val="16"/>
                  <w:szCs w:val="16"/>
                  <w:color w:val="auto"/>
                </w:rPr>
                <w:t>Compensation Committee Report</w:t>
              </w:r>
            </w:hyperlink>
          </w:p>
        </w:tc>
        <w:tc>
          <w:tcPr>
            <w:tcW w:w="660" w:type="dxa"/>
            <w:vAlign w:val="bottom"/>
          </w:tcPr>
          <w:p>
            <w:pPr>
              <w:jc w:val="right"/>
              <w:spacing w:after="0"/>
              <w:rPr>
                <w:rFonts w:ascii="Arial" w:cs="Arial" w:eastAsia="Arial" w:hAnsi="Arial"/>
                <w:sz w:val="16"/>
                <w:szCs w:val="16"/>
                <w:color w:val="auto"/>
              </w:rPr>
            </w:pPr>
            <w:hyperlink w:anchor="page57">
              <w:r>
                <w:rPr>
                  <w:rFonts w:ascii="Arial" w:cs="Arial" w:eastAsia="Arial" w:hAnsi="Arial"/>
                  <w:sz w:val="16"/>
                  <w:szCs w:val="16"/>
                  <w:color w:val="auto"/>
                </w:rPr>
                <w:t>53</w:t>
              </w:r>
            </w:hyperlink>
          </w:p>
        </w:tc>
        <w:tc>
          <w:tcPr>
            <w:tcW w:w="0" w:type="dxa"/>
            <w:vAlign w:val="bottom"/>
          </w:tcPr>
          <w:p>
            <w:pPr>
              <w:spacing w:after="0"/>
              <w:rPr>
                <w:sz w:val="1"/>
                <w:szCs w:val="1"/>
                <w:color w:val="auto"/>
              </w:rPr>
            </w:pPr>
          </w:p>
        </w:tc>
      </w:tr>
      <w:tr>
        <w:trPr>
          <w:trHeight w:val="189"/>
        </w:trPr>
        <w:tc>
          <w:tcPr>
            <w:tcW w:w="10640" w:type="dxa"/>
            <w:vAlign w:val="bottom"/>
          </w:tcPr>
          <w:p>
            <w:pPr>
              <w:spacing w:after="0"/>
              <w:rPr>
                <w:rFonts w:ascii="Arial" w:cs="Arial" w:eastAsia="Arial" w:hAnsi="Arial"/>
                <w:sz w:val="16"/>
                <w:szCs w:val="16"/>
                <w:color w:val="auto"/>
              </w:rPr>
            </w:pPr>
            <w:hyperlink w:anchor="page58">
              <w:r>
                <w:rPr>
                  <w:rFonts w:ascii="Arial" w:cs="Arial" w:eastAsia="Arial" w:hAnsi="Arial"/>
                  <w:sz w:val="16"/>
                  <w:szCs w:val="16"/>
                  <w:color w:val="auto"/>
                </w:rPr>
                <w:t>Executive Compensation Tables</w:t>
              </w:r>
            </w:hyperlink>
          </w:p>
        </w:tc>
        <w:tc>
          <w:tcPr>
            <w:tcW w:w="660" w:type="dxa"/>
            <w:vAlign w:val="bottom"/>
          </w:tcPr>
          <w:p>
            <w:pPr>
              <w:jc w:val="right"/>
              <w:spacing w:after="0"/>
              <w:rPr>
                <w:rFonts w:ascii="Arial" w:cs="Arial" w:eastAsia="Arial" w:hAnsi="Arial"/>
                <w:sz w:val="16"/>
                <w:szCs w:val="16"/>
                <w:color w:val="auto"/>
              </w:rPr>
            </w:pPr>
            <w:hyperlink w:anchor="page58">
              <w:r>
                <w:rPr>
                  <w:rFonts w:ascii="Arial" w:cs="Arial" w:eastAsia="Arial" w:hAnsi="Arial"/>
                  <w:sz w:val="16"/>
                  <w:szCs w:val="16"/>
                  <w:color w:val="auto"/>
                </w:rPr>
                <w:t>54</w:t>
              </w:r>
            </w:hyperlink>
          </w:p>
        </w:tc>
        <w:tc>
          <w:tcPr>
            <w:tcW w:w="0" w:type="dxa"/>
            <w:vAlign w:val="bottom"/>
          </w:tcPr>
          <w:p>
            <w:pPr>
              <w:spacing w:after="0"/>
              <w:rPr>
                <w:sz w:val="1"/>
                <w:szCs w:val="1"/>
                <w:color w:val="auto"/>
              </w:rPr>
            </w:pPr>
          </w:p>
        </w:tc>
      </w:tr>
      <w:tr>
        <w:trPr>
          <w:trHeight w:val="195"/>
        </w:trPr>
        <w:tc>
          <w:tcPr>
            <w:tcW w:w="10640" w:type="dxa"/>
            <w:vAlign w:val="bottom"/>
          </w:tcPr>
          <w:p>
            <w:pPr>
              <w:spacing w:after="0"/>
              <w:rPr>
                <w:rFonts w:ascii="Arial" w:cs="Arial" w:eastAsia="Arial" w:hAnsi="Arial"/>
                <w:sz w:val="16"/>
                <w:szCs w:val="16"/>
                <w:color w:val="auto"/>
              </w:rPr>
            </w:pPr>
            <w:hyperlink w:anchor="page66">
              <w:r>
                <w:rPr>
                  <w:rFonts w:ascii="Arial" w:cs="Arial" w:eastAsia="Arial" w:hAnsi="Arial"/>
                  <w:sz w:val="16"/>
                  <w:szCs w:val="16"/>
                  <w:color w:val="auto"/>
                </w:rPr>
                <w:t>Equity Compensation Plan Information</w:t>
              </w:r>
            </w:hyperlink>
          </w:p>
        </w:tc>
        <w:tc>
          <w:tcPr>
            <w:tcW w:w="660" w:type="dxa"/>
            <w:vAlign w:val="bottom"/>
          </w:tcPr>
          <w:p>
            <w:pPr>
              <w:jc w:val="right"/>
              <w:spacing w:after="0"/>
              <w:rPr>
                <w:rFonts w:ascii="Arial" w:cs="Arial" w:eastAsia="Arial" w:hAnsi="Arial"/>
                <w:sz w:val="16"/>
                <w:szCs w:val="16"/>
                <w:color w:val="auto"/>
              </w:rPr>
            </w:pPr>
            <w:hyperlink w:anchor="page66">
              <w:r>
                <w:rPr>
                  <w:rFonts w:ascii="Arial" w:cs="Arial" w:eastAsia="Arial" w:hAnsi="Arial"/>
                  <w:sz w:val="16"/>
                  <w:szCs w:val="16"/>
                  <w:color w:val="auto"/>
                </w:rPr>
                <w:t>62</w:t>
              </w:r>
            </w:hyperlink>
          </w:p>
        </w:tc>
        <w:tc>
          <w:tcPr>
            <w:tcW w:w="0" w:type="dxa"/>
            <w:vAlign w:val="bottom"/>
          </w:tcPr>
          <w:p>
            <w:pPr>
              <w:spacing w:after="0"/>
              <w:rPr>
                <w:sz w:val="1"/>
                <w:szCs w:val="1"/>
                <w:color w:val="auto"/>
              </w:rPr>
            </w:pPr>
          </w:p>
        </w:tc>
      </w:tr>
      <w:tr>
        <w:trPr>
          <w:trHeight w:val="546"/>
        </w:trPr>
        <w:tc>
          <w:tcPr>
            <w:tcW w:w="10640" w:type="dxa"/>
            <w:vAlign w:val="bottom"/>
            <w:tcBorders>
              <w:bottom w:val="single" w:sz="8" w:color="58585A"/>
            </w:tcBorders>
          </w:tcPr>
          <w:p>
            <w:pPr>
              <w:spacing w:after="0"/>
              <w:rPr>
                <w:rFonts w:ascii="Arial" w:cs="Arial" w:eastAsia="Arial" w:hAnsi="Arial"/>
                <w:sz w:val="22"/>
                <w:szCs w:val="22"/>
                <w:b w:val="1"/>
                <w:bCs w:val="1"/>
                <w:color w:val="1C90D3"/>
              </w:rPr>
            </w:pPr>
            <w:hyperlink w:anchor="page67">
              <w:r>
                <w:rPr>
                  <w:rFonts w:ascii="Arial" w:cs="Arial" w:eastAsia="Arial" w:hAnsi="Arial"/>
                  <w:sz w:val="22"/>
                  <w:szCs w:val="22"/>
                  <w:b w:val="1"/>
                  <w:bCs w:val="1"/>
                  <w:color w:val="1C90D3"/>
                </w:rPr>
                <w:t xml:space="preserve">ITEM NO. 2 — </w:t>
              </w:r>
              <w:r>
                <w:rPr>
                  <w:rFonts w:ascii="Arial" w:cs="Arial" w:eastAsia="Arial" w:hAnsi="Arial"/>
                  <w:sz w:val="22"/>
                  <w:szCs w:val="22"/>
                  <w:color w:val="08228B"/>
                </w:rPr>
                <w:t>Approve, on an Advisory Basis, Named Executive Officer Compensation</w:t>
              </w:r>
            </w:hyperlink>
          </w:p>
        </w:tc>
        <w:tc>
          <w:tcPr>
            <w:tcW w:w="660" w:type="dxa"/>
            <w:vAlign w:val="bottom"/>
            <w:tcBorders>
              <w:bottom w:val="single" w:sz="8" w:color="58585A"/>
            </w:tcBorders>
          </w:tcPr>
          <w:p>
            <w:pPr>
              <w:jc w:val="right"/>
              <w:spacing w:after="0"/>
              <w:rPr>
                <w:rFonts w:ascii="Arial" w:cs="Arial" w:eastAsia="Arial" w:hAnsi="Arial"/>
                <w:sz w:val="22"/>
                <w:szCs w:val="22"/>
                <w:b w:val="1"/>
                <w:bCs w:val="1"/>
                <w:color w:val="1C90D3"/>
              </w:rPr>
            </w:pPr>
            <w:hyperlink w:anchor="page67">
              <w:r>
                <w:rPr>
                  <w:rFonts w:ascii="Arial" w:cs="Arial" w:eastAsia="Arial" w:hAnsi="Arial"/>
                  <w:sz w:val="22"/>
                  <w:szCs w:val="22"/>
                  <w:b w:val="1"/>
                  <w:bCs w:val="1"/>
                  <w:color w:val="1C90D3"/>
                </w:rPr>
                <w:t>63</w:t>
              </w:r>
            </w:hyperlink>
          </w:p>
        </w:tc>
        <w:tc>
          <w:tcPr>
            <w:tcW w:w="0" w:type="dxa"/>
            <w:vAlign w:val="bottom"/>
          </w:tcPr>
          <w:p>
            <w:pPr>
              <w:spacing w:after="0"/>
              <w:rPr>
                <w:sz w:val="1"/>
                <w:szCs w:val="1"/>
                <w:color w:val="auto"/>
              </w:rPr>
            </w:pPr>
          </w:p>
        </w:tc>
      </w:tr>
      <w:tr>
        <w:trPr>
          <w:trHeight w:val="541"/>
        </w:trPr>
        <w:tc>
          <w:tcPr>
            <w:tcW w:w="10640" w:type="dxa"/>
            <w:vAlign w:val="bottom"/>
          </w:tcPr>
          <w:p>
            <w:pPr>
              <w:spacing w:after="0"/>
              <w:rPr>
                <w:rFonts w:ascii="Arial" w:cs="Arial" w:eastAsia="Arial" w:hAnsi="Arial"/>
                <w:sz w:val="22"/>
                <w:szCs w:val="22"/>
                <w:b w:val="1"/>
                <w:bCs w:val="1"/>
                <w:color w:val="1C90D3"/>
              </w:rPr>
            </w:pPr>
            <w:hyperlink w:anchor="page68">
              <w:r>
                <w:rPr>
                  <w:rFonts w:ascii="Arial" w:cs="Arial" w:eastAsia="Arial" w:hAnsi="Arial"/>
                  <w:sz w:val="22"/>
                  <w:szCs w:val="22"/>
                  <w:b w:val="1"/>
                  <w:bCs w:val="1"/>
                  <w:color w:val="1C90D3"/>
                </w:rPr>
                <w:t xml:space="preserve">ITEM NO. 3 — </w:t>
              </w:r>
              <w:r>
                <w:rPr>
                  <w:rFonts w:ascii="Arial" w:cs="Arial" w:eastAsia="Arial" w:hAnsi="Arial"/>
                  <w:sz w:val="22"/>
                  <w:szCs w:val="22"/>
                  <w:color w:val="08228B"/>
                </w:rPr>
                <w:t>Ratification of the Selection of Deloitte &amp; Touche LLP as the Company’s Independent</w:t>
              </w:r>
            </w:hyperlink>
          </w:p>
        </w:tc>
        <w:tc>
          <w:tcPr>
            <w:tcW w:w="660" w:type="dxa"/>
            <w:vAlign w:val="bottom"/>
            <w:vMerge w:val="restart"/>
          </w:tcPr>
          <w:p>
            <w:pPr>
              <w:jc w:val="right"/>
              <w:spacing w:after="0"/>
              <w:rPr>
                <w:rFonts w:ascii="Arial" w:cs="Arial" w:eastAsia="Arial" w:hAnsi="Arial"/>
                <w:sz w:val="22"/>
                <w:szCs w:val="22"/>
                <w:b w:val="1"/>
                <w:bCs w:val="1"/>
                <w:color w:val="1C90D3"/>
              </w:rPr>
            </w:pPr>
            <w:hyperlink w:anchor="page68">
              <w:r>
                <w:rPr>
                  <w:rFonts w:ascii="Arial" w:cs="Arial" w:eastAsia="Arial" w:hAnsi="Arial"/>
                  <w:sz w:val="22"/>
                  <w:szCs w:val="22"/>
                  <w:b w:val="1"/>
                  <w:bCs w:val="1"/>
                  <w:color w:val="1C90D3"/>
                </w:rPr>
                <w:t>64</w:t>
              </w:r>
            </w:hyperlink>
          </w:p>
        </w:tc>
        <w:tc>
          <w:tcPr>
            <w:tcW w:w="0" w:type="dxa"/>
            <w:vAlign w:val="bottom"/>
          </w:tcPr>
          <w:p>
            <w:pPr>
              <w:spacing w:after="0"/>
              <w:rPr>
                <w:sz w:val="1"/>
                <w:szCs w:val="1"/>
                <w:color w:val="auto"/>
              </w:rPr>
            </w:pPr>
          </w:p>
        </w:tc>
      </w:tr>
      <w:tr>
        <w:trPr>
          <w:trHeight w:val="250"/>
        </w:trPr>
        <w:tc>
          <w:tcPr>
            <w:tcW w:w="10640" w:type="dxa"/>
            <w:vAlign w:val="bottom"/>
            <w:tcBorders>
              <w:bottom w:val="single" w:sz="8" w:color="58585A"/>
            </w:tcBorders>
          </w:tcPr>
          <w:p>
            <w:pPr>
              <w:ind w:left="1500"/>
              <w:spacing w:after="0" w:line="249" w:lineRule="exact"/>
              <w:rPr>
                <w:rFonts w:ascii="Arial" w:cs="Arial" w:eastAsia="Arial" w:hAnsi="Arial"/>
                <w:sz w:val="22"/>
                <w:szCs w:val="22"/>
                <w:color w:val="08228B"/>
              </w:rPr>
            </w:pPr>
            <w:hyperlink w:anchor="page68">
              <w:r>
                <w:rPr>
                  <w:rFonts w:ascii="Arial" w:cs="Arial" w:eastAsia="Arial" w:hAnsi="Arial"/>
                  <w:sz w:val="22"/>
                  <w:szCs w:val="22"/>
                  <w:color w:val="08228B"/>
                </w:rPr>
                <w:t>Registered Public Accounting Firm for 2016</w:t>
              </w:r>
            </w:hyperlink>
          </w:p>
        </w:tc>
        <w:tc>
          <w:tcPr>
            <w:tcW w:w="660" w:type="dxa"/>
            <w:vAlign w:val="bottom"/>
            <w:tcBorders>
              <w:bottom w:val="single" w:sz="8" w:color="58585A"/>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87"/>
        </w:trPr>
        <w:tc>
          <w:tcPr>
            <w:tcW w:w="10640" w:type="dxa"/>
            <w:vAlign w:val="bottom"/>
          </w:tcPr>
          <w:p>
            <w:pPr>
              <w:spacing w:after="0"/>
              <w:rPr>
                <w:rFonts w:ascii="Arial" w:cs="Arial" w:eastAsia="Arial" w:hAnsi="Arial"/>
                <w:sz w:val="16"/>
                <w:szCs w:val="16"/>
                <w:color w:val="auto"/>
              </w:rPr>
            </w:pPr>
            <w:hyperlink w:anchor="page69">
              <w:r>
                <w:rPr>
                  <w:rFonts w:ascii="Arial" w:cs="Arial" w:eastAsia="Arial" w:hAnsi="Arial"/>
                  <w:sz w:val="16"/>
                  <w:szCs w:val="16"/>
                  <w:color w:val="auto"/>
                </w:rPr>
                <w:t>Audit Committee Report</w:t>
              </w:r>
            </w:hyperlink>
          </w:p>
        </w:tc>
        <w:tc>
          <w:tcPr>
            <w:tcW w:w="660" w:type="dxa"/>
            <w:vAlign w:val="bottom"/>
          </w:tcPr>
          <w:p>
            <w:pPr>
              <w:jc w:val="right"/>
              <w:spacing w:after="0"/>
              <w:rPr>
                <w:rFonts w:ascii="Arial" w:cs="Arial" w:eastAsia="Arial" w:hAnsi="Arial"/>
                <w:sz w:val="16"/>
                <w:szCs w:val="16"/>
                <w:color w:val="auto"/>
              </w:rPr>
            </w:pPr>
            <w:hyperlink w:anchor="page69">
              <w:r>
                <w:rPr>
                  <w:rFonts w:ascii="Arial" w:cs="Arial" w:eastAsia="Arial" w:hAnsi="Arial"/>
                  <w:sz w:val="16"/>
                  <w:szCs w:val="16"/>
                  <w:color w:val="auto"/>
                </w:rPr>
                <w:t>65</w:t>
              </w:r>
            </w:hyperlink>
          </w:p>
        </w:tc>
        <w:tc>
          <w:tcPr>
            <w:tcW w:w="0" w:type="dxa"/>
            <w:vAlign w:val="bottom"/>
          </w:tcPr>
          <w:p>
            <w:pPr>
              <w:spacing w:after="0"/>
              <w:rPr>
                <w:sz w:val="1"/>
                <w:szCs w:val="1"/>
                <w:color w:val="auto"/>
              </w:rPr>
            </w:pPr>
          </w:p>
        </w:tc>
      </w:tr>
      <w:tr>
        <w:trPr>
          <w:trHeight w:val="195"/>
        </w:trPr>
        <w:tc>
          <w:tcPr>
            <w:tcW w:w="10640" w:type="dxa"/>
            <w:vAlign w:val="bottom"/>
          </w:tcPr>
          <w:p>
            <w:pPr>
              <w:spacing w:after="0"/>
              <w:rPr>
                <w:rFonts w:ascii="Arial" w:cs="Arial" w:eastAsia="Arial" w:hAnsi="Arial"/>
                <w:sz w:val="16"/>
                <w:szCs w:val="16"/>
                <w:color w:val="auto"/>
              </w:rPr>
            </w:pPr>
            <w:hyperlink w:anchor="page70">
              <w:r>
                <w:rPr>
                  <w:rFonts w:ascii="Arial" w:cs="Arial" w:eastAsia="Arial" w:hAnsi="Arial"/>
                  <w:sz w:val="16"/>
                  <w:szCs w:val="16"/>
                  <w:color w:val="auto"/>
                </w:rPr>
                <w:t>Fees Paid to Independent Registered Public Accounting Firm</w:t>
              </w:r>
            </w:hyperlink>
          </w:p>
        </w:tc>
        <w:tc>
          <w:tcPr>
            <w:tcW w:w="660" w:type="dxa"/>
            <w:vAlign w:val="bottom"/>
          </w:tcPr>
          <w:p>
            <w:pPr>
              <w:jc w:val="right"/>
              <w:spacing w:after="0"/>
              <w:rPr>
                <w:rFonts w:ascii="Arial" w:cs="Arial" w:eastAsia="Arial" w:hAnsi="Arial"/>
                <w:sz w:val="16"/>
                <w:szCs w:val="16"/>
                <w:color w:val="auto"/>
              </w:rPr>
            </w:pPr>
            <w:hyperlink w:anchor="page70">
              <w:r>
                <w:rPr>
                  <w:rFonts w:ascii="Arial" w:cs="Arial" w:eastAsia="Arial" w:hAnsi="Arial"/>
                  <w:sz w:val="16"/>
                  <w:szCs w:val="16"/>
                  <w:color w:val="auto"/>
                </w:rPr>
                <w:t>66</w:t>
              </w:r>
            </w:hyperlink>
          </w:p>
        </w:tc>
        <w:tc>
          <w:tcPr>
            <w:tcW w:w="0" w:type="dxa"/>
            <w:vAlign w:val="bottom"/>
          </w:tcPr>
          <w:p>
            <w:pPr>
              <w:spacing w:after="0"/>
              <w:rPr>
                <w:sz w:val="1"/>
                <w:szCs w:val="1"/>
                <w:color w:val="auto"/>
              </w:rPr>
            </w:pPr>
          </w:p>
        </w:tc>
      </w:tr>
      <w:tr>
        <w:trPr>
          <w:trHeight w:val="540"/>
        </w:trPr>
        <w:tc>
          <w:tcPr>
            <w:tcW w:w="10640" w:type="dxa"/>
            <w:vAlign w:val="bottom"/>
          </w:tcPr>
          <w:p>
            <w:pPr>
              <w:spacing w:after="0"/>
              <w:rPr>
                <w:rFonts w:ascii="Arial" w:cs="Arial" w:eastAsia="Arial" w:hAnsi="Arial"/>
                <w:sz w:val="22"/>
                <w:szCs w:val="22"/>
                <w:b w:val="1"/>
                <w:bCs w:val="1"/>
                <w:color w:val="1C90D3"/>
              </w:rPr>
            </w:pPr>
            <w:hyperlink w:anchor="page71">
              <w:r>
                <w:rPr>
                  <w:rFonts w:ascii="Arial" w:cs="Arial" w:eastAsia="Arial" w:hAnsi="Arial"/>
                  <w:sz w:val="22"/>
                  <w:szCs w:val="22"/>
                  <w:b w:val="1"/>
                  <w:bCs w:val="1"/>
                  <w:color w:val="1C90D3"/>
                </w:rPr>
                <w:t xml:space="preserve">ITEM NO. 4 — </w:t>
              </w:r>
              <w:r>
                <w:rPr>
                  <w:rFonts w:ascii="Arial" w:cs="Arial" w:eastAsia="Arial" w:hAnsi="Arial"/>
                  <w:sz w:val="22"/>
                  <w:szCs w:val="22"/>
                  <w:color w:val="08228B"/>
                </w:rPr>
                <w:t>Shareholder Proposal Regarding Implementation of Holy Land Principles for Employment in</w:t>
              </w:r>
            </w:hyperlink>
          </w:p>
        </w:tc>
        <w:tc>
          <w:tcPr>
            <w:tcW w:w="660" w:type="dxa"/>
            <w:vAlign w:val="bottom"/>
            <w:vMerge w:val="restart"/>
          </w:tcPr>
          <w:p>
            <w:pPr>
              <w:jc w:val="right"/>
              <w:spacing w:after="0"/>
              <w:rPr>
                <w:rFonts w:ascii="Arial" w:cs="Arial" w:eastAsia="Arial" w:hAnsi="Arial"/>
                <w:sz w:val="22"/>
                <w:szCs w:val="22"/>
                <w:b w:val="1"/>
                <w:bCs w:val="1"/>
                <w:color w:val="1C90D3"/>
              </w:rPr>
            </w:pPr>
            <w:hyperlink w:anchor="page71">
              <w:r>
                <w:rPr>
                  <w:rFonts w:ascii="Arial" w:cs="Arial" w:eastAsia="Arial" w:hAnsi="Arial"/>
                  <w:sz w:val="22"/>
                  <w:szCs w:val="22"/>
                  <w:b w:val="1"/>
                  <w:bCs w:val="1"/>
                  <w:color w:val="1C90D3"/>
                </w:rPr>
                <w:t>67</w:t>
              </w:r>
            </w:hyperlink>
          </w:p>
        </w:tc>
        <w:tc>
          <w:tcPr>
            <w:tcW w:w="0" w:type="dxa"/>
            <w:vAlign w:val="bottom"/>
          </w:tcPr>
          <w:p>
            <w:pPr>
              <w:spacing w:after="0"/>
              <w:rPr>
                <w:sz w:val="1"/>
                <w:szCs w:val="1"/>
                <w:color w:val="auto"/>
              </w:rPr>
            </w:pPr>
          </w:p>
        </w:tc>
      </w:tr>
      <w:tr>
        <w:trPr>
          <w:trHeight w:val="250"/>
        </w:trPr>
        <w:tc>
          <w:tcPr>
            <w:tcW w:w="10640" w:type="dxa"/>
            <w:vAlign w:val="bottom"/>
            <w:tcBorders>
              <w:bottom w:val="single" w:sz="8" w:color="58585A"/>
            </w:tcBorders>
          </w:tcPr>
          <w:p>
            <w:pPr>
              <w:ind w:left="1500"/>
              <w:spacing w:after="0" w:line="249" w:lineRule="exact"/>
              <w:rPr>
                <w:rFonts w:ascii="Arial" w:cs="Arial" w:eastAsia="Arial" w:hAnsi="Arial"/>
                <w:sz w:val="22"/>
                <w:szCs w:val="22"/>
                <w:color w:val="08228B"/>
              </w:rPr>
            </w:pPr>
            <w:hyperlink w:anchor="page71">
              <w:r>
                <w:rPr>
                  <w:rFonts w:ascii="Arial" w:cs="Arial" w:eastAsia="Arial" w:hAnsi="Arial"/>
                  <w:sz w:val="22"/>
                  <w:szCs w:val="22"/>
                  <w:color w:val="08228B"/>
                </w:rPr>
                <w:t>Palestine-Israel</w:t>
              </w:r>
            </w:hyperlink>
          </w:p>
        </w:tc>
        <w:tc>
          <w:tcPr>
            <w:tcW w:w="660" w:type="dxa"/>
            <w:vAlign w:val="bottom"/>
            <w:tcBorders>
              <w:bottom w:val="single" w:sz="8" w:color="58585A"/>
            </w:tcBorders>
            <w:vMerge w:val="continue"/>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40" w:top="506" w:right="359" w:bottom="76"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7320" w:type="dxa"/>
            <w:vAlign w:val="bottom"/>
            <w:tcBorders>
              <w:bottom w:val="single" w:sz="8" w:color="58585A"/>
            </w:tcBorders>
          </w:tcPr>
          <w:p>
            <w:pPr>
              <w:spacing w:after="0"/>
              <w:rPr>
                <w:rFonts w:ascii="Arial" w:cs="Arial" w:eastAsia="Arial" w:hAnsi="Arial"/>
                <w:sz w:val="22"/>
                <w:szCs w:val="22"/>
                <w:b w:val="1"/>
                <w:bCs w:val="1"/>
                <w:color w:val="1C90D3"/>
              </w:rPr>
            </w:pPr>
            <w:hyperlink w:anchor="page73">
              <w:r>
                <w:rPr>
                  <w:rFonts w:ascii="Arial" w:cs="Arial" w:eastAsia="Arial" w:hAnsi="Arial"/>
                  <w:sz w:val="22"/>
                  <w:szCs w:val="22"/>
                  <w:b w:val="1"/>
                  <w:bCs w:val="1"/>
                  <w:color w:val="1C90D3"/>
                </w:rPr>
                <w:t>Questions and Answers</w:t>
              </w:r>
            </w:hyperlink>
          </w:p>
        </w:tc>
        <w:tc>
          <w:tcPr>
            <w:tcW w:w="3980" w:type="dxa"/>
            <w:vAlign w:val="bottom"/>
            <w:tcBorders>
              <w:bottom w:val="single" w:sz="8" w:color="58585A"/>
            </w:tcBorders>
          </w:tcPr>
          <w:p>
            <w:pPr>
              <w:jc w:val="right"/>
              <w:spacing w:after="0"/>
              <w:rPr>
                <w:rFonts w:ascii="Arial" w:cs="Arial" w:eastAsia="Arial" w:hAnsi="Arial"/>
                <w:sz w:val="22"/>
                <w:szCs w:val="22"/>
                <w:b w:val="1"/>
                <w:bCs w:val="1"/>
                <w:color w:val="1C90D3"/>
              </w:rPr>
            </w:pPr>
            <w:hyperlink w:anchor="page73">
              <w:r>
                <w:rPr>
                  <w:rFonts w:ascii="Arial" w:cs="Arial" w:eastAsia="Arial" w:hAnsi="Arial"/>
                  <w:sz w:val="22"/>
                  <w:szCs w:val="22"/>
                  <w:b w:val="1"/>
                  <w:bCs w:val="1"/>
                  <w:color w:val="1C90D3"/>
                </w:rPr>
                <w:t>69</w:t>
              </w:r>
            </w:hyperlink>
          </w:p>
        </w:tc>
        <w:tc>
          <w:tcPr>
            <w:tcW w:w="120" w:type="dxa"/>
            <w:vAlign w:val="bottom"/>
          </w:tcPr>
          <w:p>
            <w:pPr>
              <w:spacing w:after="0"/>
              <w:rPr>
                <w:sz w:val="24"/>
                <w:szCs w:val="24"/>
                <w:color w:val="auto"/>
              </w:rPr>
            </w:pPr>
          </w:p>
        </w:tc>
      </w:tr>
      <w:tr>
        <w:trPr>
          <w:trHeight w:val="387"/>
        </w:trPr>
        <w:tc>
          <w:tcPr>
            <w:tcW w:w="7320" w:type="dxa"/>
            <w:vAlign w:val="bottom"/>
          </w:tcPr>
          <w:p>
            <w:pPr>
              <w:spacing w:after="0"/>
              <w:rPr>
                <w:rFonts w:ascii="Arial" w:cs="Arial" w:eastAsia="Arial" w:hAnsi="Arial"/>
                <w:sz w:val="16"/>
                <w:szCs w:val="16"/>
                <w:color w:val="auto"/>
              </w:rPr>
            </w:pPr>
            <w:hyperlink w:anchor="page73">
              <w:r>
                <w:rPr>
                  <w:rFonts w:ascii="Arial" w:cs="Arial" w:eastAsia="Arial" w:hAnsi="Arial"/>
                  <w:sz w:val="16"/>
                  <w:szCs w:val="16"/>
                  <w:color w:val="auto"/>
                </w:rPr>
                <w:t>Proxy Materials and Voting Information</w:t>
              </w:r>
            </w:hyperlink>
          </w:p>
        </w:tc>
        <w:tc>
          <w:tcPr>
            <w:tcW w:w="3980" w:type="dxa"/>
            <w:vAlign w:val="bottom"/>
          </w:tcPr>
          <w:p>
            <w:pPr>
              <w:jc w:val="right"/>
              <w:spacing w:after="0"/>
              <w:rPr>
                <w:rFonts w:ascii="Arial" w:cs="Arial" w:eastAsia="Arial" w:hAnsi="Arial"/>
                <w:sz w:val="16"/>
                <w:szCs w:val="16"/>
                <w:color w:val="auto"/>
              </w:rPr>
            </w:pPr>
            <w:hyperlink w:anchor="page73">
              <w:r>
                <w:rPr>
                  <w:rFonts w:ascii="Arial" w:cs="Arial" w:eastAsia="Arial" w:hAnsi="Arial"/>
                  <w:sz w:val="16"/>
                  <w:szCs w:val="16"/>
                  <w:color w:val="auto"/>
                </w:rPr>
                <w:t>69</w:t>
              </w:r>
            </w:hyperlink>
          </w:p>
        </w:tc>
        <w:tc>
          <w:tcPr>
            <w:tcW w:w="120" w:type="dxa"/>
            <w:vAlign w:val="bottom"/>
          </w:tcPr>
          <w:p>
            <w:pPr>
              <w:spacing w:after="0"/>
              <w:rPr>
                <w:sz w:val="24"/>
                <w:szCs w:val="24"/>
                <w:color w:val="auto"/>
              </w:rPr>
            </w:pPr>
          </w:p>
        </w:tc>
      </w:tr>
      <w:tr>
        <w:trPr>
          <w:trHeight w:val="189"/>
        </w:trPr>
        <w:tc>
          <w:tcPr>
            <w:tcW w:w="7320" w:type="dxa"/>
            <w:vAlign w:val="bottom"/>
          </w:tcPr>
          <w:p>
            <w:pPr>
              <w:spacing w:after="0"/>
              <w:rPr>
                <w:rFonts w:ascii="Arial" w:cs="Arial" w:eastAsia="Arial" w:hAnsi="Arial"/>
                <w:sz w:val="16"/>
                <w:szCs w:val="16"/>
                <w:color w:val="auto"/>
              </w:rPr>
            </w:pPr>
            <w:hyperlink w:anchor="page76">
              <w:r>
                <w:rPr>
                  <w:rFonts w:ascii="Arial" w:cs="Arial" w:eastAsia="Arial" w:hAnsi="Arial"/>
                  <w:sz w:val="16"/>
                  <w:szCs w:val="16"/>
                  <w:color w:val="auto"/>
                </w:rPr>
                <w:t>Annual Meeting Information</w:t>
              </w:r>
            </w:hyperlink>
          </w:p>
        </w:tc>
        <w:tc>
          <w:tcPr>
            <w:tcW w:w="3980" w:type="dxa"/>
            <w:vAlign w:val="bottom"/>
          </w:tcPr>
          <w:p>
            <w:pPr>
              <w:jc w:val="right"/>
              <w:spacing w:after="0"/>
              <w:rPr>
                <w:rFonts w:ascii="Arial" w:cs="Arial" w:eastAsia="Arial" w:hAnsi="Arial"/>
                <w:sz w:val="16"/>
                <w:szCs w:val="16"/>
                <w:color w:val="auto"/>
              </w:rPr>
            </w:pPr>
            <w:hyperlink w:anchor="page76">
              <w:r>
                <w:rPr>
                  <w:rFonts w:ascii="Arial" w:cs="Arial" w:eastAsia="Arial" w:hAnsi="Arial"/>
                  <w:sz w:val="16"/>
                  <w:szCs w:val="16"/>
                  <w:color w:val="auto"/>
                </w:rPr>
                <w:t>72</w:t>
              </w:r>
            </w:hyperlink>
          </w:p>
        </w:tc>
        <w:tc>
          <w:tcPr>
            <w:tcW w:w="120" w:type="dxa"/>
            <w:vAlign w:val="bottom"/>
          </w:tcPr>
          <w:p>
            <w:pPr>
              <w:spacing w:after="0"/>
              <w:rPr>
                <w:sz w:val="16"/>
                <w:szCs w:val="16"/>
                <w:color w:val="auto"/>
              </w:rPr>
            </w:pPr>
          </w:p>
        </w:tc>
      </w:tr>
      <w:tr>
        <w:trPr>
          <w:trHeight w:val="195"/>
        </w:trPr>
        <w:tc>
          <w:tcPr>
            <w:tcW w:w="7320" w:type="dxa"/>
            <w:vAlign w:val="bottom"/>
          </w:tcPr>
          <w:p>
            <w:pPr>
              <w:spacing w:after="0"/>
              <w:rPr>
                <w:rFonts w:ascii="Arial" w:cs="Arial" w:eastAsia="Arial" w:hAnsi="Arial"/>
                <w:sz w:val="16"/>
                <w:szCs w:val="16"/>
                <w:color w:val="auto"/>
              </w:rPr>
            </w:pPr>
            <w:hyperlink w:anchor="page78">
              <w:r>
                <w:rPr>
                  <w:rFonts w:ascii="Arial" w:cs="Arial" w:eastAsia="Arial" w:hAnsi="Arial"/>
                  <w:sz w:val="16"/>
                  <w:szCs w:val="16"/>
                  <w:color w:val="auto"/>
                </w:rPr>
                <w:t>Shareholder Proposals and Company Information</w:t>
              </w:r>
            </w:hyperlink>
          </w:p>
        </w:tc>
        <w:tc>
          <w:tcPr>
            <w:tcW w:w="3980" w:type="dxa"/>
            <w:vAlign w:val="bottom"/>
          </w:tcPr>
          <w:p>
            <w:pPr>
              <w:jc w:val="right"/>
              <w:spacing w:after="0"/>
              <w:rPr>
                <w:rFonts w:ascii="Arial" w:cs="Arial" w:eastAsia="Arial" w:hAnsi="Arial"/>
                <w:sz w:val="16"/>
                <w:szCs w:val="16"/>
                <w:color w:val="auto"/>
              </w:rPr>
            </w:pPr>
            <w:hyperlink w:anchor="page78">
              <w:r>
                <w:rPr>
                  <w:rFonts w:ascii="Arial" w:cs="Arial" w:eastAsia="Arial" w:hAnsi="Arial"/>
                  <w:sz w:val="16"/>
                  <w:szCs w:val="16"/>
                  <w:color w:val="auto"/>
                </w:rPr>
                <w:t>74</w:t>
              </w:r>
            </w:hyperlink>
          </w:p>
        </w:tc>
        <w:tc>
          <w:tcPr>
            <w:tcW w:w="120" w:type="dxa"/>
            <w:vAlign w:val="bottom"/>
          </w:tcPr>
          <w:p>
            <w:pPr>
              <w:spacing w:after="0"/>
              <w:rPr>
                <w:sz w:val="16"/>
                <w:szCs w:val="16"/>
                <w:color w:val="auto"/>
              </w:rPr>
            </w:pPr>
          </w:p>
        </w:tc>
      </w:tr>
      <w:tr>
        <w:trPr>
          <w:trHeight w:val="270"/>
        </w:trPr>
        <w:tc>
          <w:tcPr>
            <w:tcW w:w="7320" w:type="dxa"/>
            <w:vAlign w:val="bottom"/>
            <w:tcBorders>
              <w:bottom w:val="single" w:sz="8" w:color="C0C0C0"/>
            </w:tcBorders>
          </w:tcPr>
          <w:p>
            <w:pPr>
              <w:spacing w:after="0"/>
              <w:rPr>
                <w:sz w:val="23"/>
                <w:szCs w:val="23"/>
                <w:color w:val="auto"/>
              </w:rPr>
            </w:pPr>
          </w:p>
        </w:tc>
        <w:tc>
          <w:tcPr>
            <w:tcW w:w="3980" w:type="dxa"/>
            <w:vAlign w:val="bottom"/>
            <w:tcBorders>
              <w:bottom w:val="single" w:sz="8" w:color="C0C0C0"/>
            </w:tcBorders>
          </w:tcPr>
          <w:p>
            <w:pPr>
              <w:spacing w:after="0"/>
              <w:rPr>
                <w:sz w:val="23"/>
                <w:szCs w:val="23"/>
                <w:color w:val="auto"/>
              </w:rPr>
            </w:pPr>
          </w:p>
        </w:tc>
        <w:tc>
          <w:tcPr>
            <w:tcW w:w="120" w:type="dxa"/>
            <w:vAlign w:val="bottom"/>
            <w:tcBorders>
              <w:bottom w:val="single" w:sz="8" w:color="C0C0C0"/>
            </w:tcBorders>
          </w:tcPr>
          <w:p>
            <w:pPr>
              <w:spacing w:after="0"/>
              <w:rPr>
                <w:sz w:val="23"/>
                <w:szCs w:val="23"/>
                <w:color w:val="auto"/>
              </w:rPr>
            </w:pPr>
          </w:p>
        </w:tc>
      </w:tr>
    </w:tbl>
    <w:p>
      <w:pPr>
        <w:sectPr>
          <w:pgSz w:w="11900" w:h="16838" w:orient="portrait"/>
          <w:cols w:equalWidth="0" w:num="1">
            <w:col w:w="11420"/>
          </w:cols>
          <w:pgMar w:left="240" w:top="105"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86295" cy="584009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86295" cy="584009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0"/>
        <w:spacing w:after="0"/>
        <w:rPr>
          <w:sz w:val="20"/>
          <w:szCs w:val="20"/>
          <w:color w:val="auto"/>
        </w:rPr>
      </w:pPr>
      <w:r>
        <w:rPr>
          <w:rFonts w:ascii="Arial" w:cs="Arial" w:eastAsia="Arial" w:hAnsi="Arial"/>
          <w:sz w:val="32"/>
          <w:szCs w:val="32"/>
          <w:color w:val="1C90D3"/>
        </w:rPr>
        <w:t>Proxy Statement Summary</w:t>
      </w:r>
    </w:p>
    <w:p>
      <w:pPr>
        <w:spacing w:after="0" w:line="181" w:lineRule="exact"/>
        <w:rPr>
          <w:sz w:val="20"/>
          <w:szCs w:val="20"/>
          <w:color w:val="auto"/>
        </w:rPr>
      </w:pPr>
    </w:p>
    <w:p>
      <w:pPr>
        <w:ind w:left="300" w:right="1220"/>
        <w:spacing w:after="0" w:line="281" w:lineRule="auto"/>
        <w:rPr>
          <w:sz w:val="20"/>
          <w:szCs w:val="20"/>
          <w:color w:val="auto"/>
        </w:rPr>
      </w:pPr>
      <w:r>
        <w:rPr>
          <w:rFonts w:ascii="Arial" w:cs="Arial" w:eastAsia="Arial" w:hAnsi="Arial"/>
          <w:sz w:val="16"/>
          <w:szCs w:val="16"/>
          <w:i w:val="1"/>
          <w:iCs w:val="1"/>
          <w:color w:val="auto"/>
        </w:rPr>
        <w:t>This summary highlights information contained elsewhere in this Proxy Statement. It does not contain all of the information that you should consider. Please read the entire Proxy Statement carefully before voting.</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25"/>
          <w:szCs w:val="25"/>
          <w:color w:val="auto"/>
        </w:rPr>
        <w:t>Voting Recommendations</w:t>
      </w:r>
    </w:p>
    <w:p>
      <w:pPr>
        <w:spacing w:after="0" w:line="177" w:lineRule="exact"/>
        <w:rPr>
          <w:sz w:val="20"/>
          <w:szCs w:val="20"/>
          <w:color w:val="auto"/>
        </w:rPr>
      </w:pPr>
    </w:p>
    <w:tbl>
      <w:tblPr>
        <w:tblLayout w:type="fixed"/>
        <w:tblInd w:w="300" w:type="dxa"/>
        <w:tblCellMar>
          <w:top w:w="0" w:type="dxa"/>
          <w:left w:w="0" w:type="dxa"/>
          <w:bottom w:w="0" w:type="dxa"/>
          <w:right w:w="0" w:type="dxa"/>
        </w:tblCellMar>
      </w:tblPr>
      <w:tr>
        <w:trPr>
          <w:trHeight w:val="211"/>
        </w:trPr>
        <w:tc>
          <w:tcPr>
            <w:tcW w:w="280" w:type="dxa"/>
            <w:vAlign w:val="bottom"/>
            <w:tcBorders>
              <w:top w:val="single" w:sz="8" w:color="1C90D3"/>
            </w:tcBorders>
          </w:tcPr>
          <w:p>
            <w:pPr>
              <w:spacing w:after="0"/>
              <w:rPr>
                <w:sz w:val="18"/>
                <w:szCs w:val="18"/>
                <w:color w:val="auto"/>
              </w:rPr>
            </w:pPr>
          </w:p>
        </w:tc>
        <w:tc>
          <w:tcPr>
            <w:tcW w:w="7160" w:type="dxa"/>
            <w:vAlign w:val="bottom"/>
            <w:tcBorders>
              <w:top w:val="single" w:sz="8" w:color="1C90D3"/>
            </w:tcBorders>
          </w:tcPr>
          <w:p>
            <w:pPr>
              <w:spacing w:after="0"/>
              <w:rPr>
                <w:sz w:val="18"/>
                <w:szCs w:val="18"/>
                <w:color w:val="auto"/>
              </w:rPr>
            </w:pPr>
          </w:p>
        </w:tc>
        <w:tc>
          <w:tcPr>
            <w:tcW w:w="2120" w:type="dxa"/>
            <w:vAlign w:val="bottom"/>
            <w:tcBorders>
              <w:top w:val="single" w:sz="8" w:color="1C90D3"/>
            </w:tcBorders>
          </w:tcPr>
          <w:p>
            <w:pPr>
              <w:jc w:val="right"/>
              <w:ind w:right="819"/>
              <w:spacing w:after="0"/>
              <w:rPr>
                <w:sz w:val="20"/>
                <w:szCs w:val="20"/>
                <w:color w:val="auto"/>
              </w:rPr>
            </w:pPr>
            <w:r>
              <w:rPr>
                <w:rFonts w:ascii="Arial" w:cs="Arial" w:eastAsia="Arial" w:hAnsi="Arial"/>
                <w:sz w:val="16"/>
                <w:szCs w:val="16"/>
                <w:b w:val="1"/>
                <w:bCs w:val="1"/>
                <w:color w:val="1C90D3"/>
              </w:rPr>
              <w:t>Board</w:t>
            </w:r>
          </w:p>
        </w:tc>
        <w:tc>
          <w:tcPr>
            <w:tcW w:w="840" w:type="dxa"/>
            <w:vAlign w:val="bottom"/>
            <w:tcBorders>
              <w:top w:val="single" w:sz="8" w:color="1C90D3"/>
            </w:tcBorders>
          </w:tcPr>
          <w:p>
            <w:pPr>
              <w:spacing w:after="0"/>
              <w:rPr>
                <w:sz w:val="18"/>
                <w:szCs w:val="18"/>
                <w:color w:val="auto"/>
              </w:rPr>
            </w:pPr>
          </w:p>
        </w:tc>
      </w:tr>
      <w:tr>
        <w:trPr>
          <w:trHeight w:val="214"/>
        </w:trPr>
        <w:tc>
          <w:tcPr>
            <w:tcW w:w="7440" w:type="dxa"/>
            <w:vAlign w:val="bottom"/>
            <w:tcBorders>
              <w:bottom w:val="single" w:sz="8" w:color="1C90D3"/>
            </w:tcBorders>
            <w:gridSpan w:val="2"/>
          </w:tcPr>
          <w:p>
            <w:pPr>
              <w:ind w:left="40"/>
              <w:spacing w:after="0"/>
              <w:rPr>
                <w:sz w:val="20"/>
                <w:szCs w:val="20"/>
                <w:color w:val="auto"/>
              </w:rPr>
            </w:pPr>
            <w:r>
              <w:rPr>
                <w:rFonts w:ascii="Arial" w:cs="Arial" w:eastAsia="Arial" w:hAnsi="Arial"/>
                <w:sz w:val="16"/>
                <w:szCs w:val="16"/>
                <w:b w:val="1"/>
                <w:bCs w:val="1"/>
                <w:color w:val="1C90D3"/>
              </w:rPr>
              <w:t>Proposals:</w:t>
            </w:r>
          </w:p>
        </w:tc>
        <w:tc>
          <w:tcPr>
            <w:tcW w:w="2120" w:type="dxa"/>
            <w:vAlign w:val="bottom"/>
            <w:tcBorders>
              <w:bottom w:val="single" w:sz="8" w:color="1C90D3"/>
            </w:tcBorders>
          </w:tcPr>
          <w:p>
            <w:pPr>
              <w:jc w:val="right"/>
              <w:ind w:right="359"/>
              <w:spacing w:after="0"/>
              <w:rPr>
                <w:sz w:val="20"/>
                <w:szCs w:val="20"/>
                <w:color w:val="auto"/>
              </w:rPr>
            </w:pPr>
            <w:r>
              <w:rPr>
                <w:rFonts w:ascii="Arial" w:cs="Arial" w:eastAsia="Arial" w:hAnsi="Arial"/>
                <w:sz w:val="16"/>
                <w:szCs w:val="16"/>
                <w:b w:val="1"/>
                <w:bCs w:val="1"/>
                <w:color w:val="1C90D3"/>
              </w:rPr>
              <w:t>Recommendation</w:t>
            </w:r>
          </w:p>
        </w:tc>
        <w:tc>
          <w:tcPr>
            <w:tcW w:w="840" w:type="dxa"/>
            <w:vAlign w:val="bottom"/>
            <w:tcBorders>
              <w:bottom w:val="single" w:sz="8" w:color="1C90D3"/>
            </w:tcBorders>
          </w:tcPr>
          <w:p>
            <w:pPr>
              <w:jc w:val="right"/>
              <w:spacing w:after="0"/>
              <w:rPr>
                <w:sz w:val="20"/>
                <w:szCs w:val="20"/>
                <w:color w:val="auto"/>
              </w:rPr>
            </w:pPr>
            <w:r>
              <w:rPr>
                <w:rFonts w:ascii="Arial" w:cs="Arial" w:eastAsia="Arial" w:hAnsi="Arial"/>
                <w:sz w:val="16"/>
                <w:szCs w:val="16"/>
                <w:color w:val="1C90D3"/>
              </w:rPr>
              <w:t>Page</w:t>
            </w:r>
          </w:p>
        </w:tc>
      </w:tr>
      <w:tr>
        <w:trPr>
          <w:trHeight w:val="189"/>
        </w:trPr>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1C90D3"/>
              </w:rPr>
              <w:t>1.</w:t>
            </w:r>
          </w:p>
        </w:tc>
        <w:tc>
          <w:tcPr>
            <w:tcW w:w="71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Election of directors</w:t>
            </w:r>
          </w:p>
        </w:tc>
        <w:tc>
          <w:tcPr>
            <w:tcW w:w="21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1C90D3"/>
              </w:rPr>
              <w:t>FOR ALL</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r>
      <w:tr>
        <w:trPr>
          <w:trHeight w:val="183"/>
        </w:trPr>
        <w:tc>
          <w:tcPr>
            <w:tcW w:w="2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1C90D3"/>
              </w:rPr>
              <w:t>2.</w:t>
            </w:r>
          </w:p>
        </w:tc>
        <w:tc>
          <w:tcPr>
            <w:tcW w:w="7160" w:type="dxa"/>
            <w:vAlign w:val="bottom"/>
            <w:tcBorders>
              <w:bottom w:val="single" w:sz="8" w:color="auto"/>
            </w:tcBorders>
          </w:tcPr>
          <w:p>
            <w:pPr>
              <w:ind w:left="40"/>
              <w:spacing w:after="0" w:line="183" w:lineRule="exact"/>
              <w:rPr>
                <w:sz w:val="20"/>
                <w:szCs w:val="20"/>
                <w:color w:val="auto"/>
              </w:rPr>
            </w:pPr>
            <w:r>
              <w:rPr>
                <w:rFonts w:ascii="Arial" w:cs="Arial" w:eastAsia="Arial" w:hAnsi="Arial"/>
                <w:sz w:val="16"/>
                <w:szCs w:val="16"/>
                <w:color w:val="auto"/>
              </w:rPr>
              <w:t>Approve, on an advisory basis, NEO compensation</w:t>
            </w:r>
          </w:p>
        </w:tc>
        <w:tc>
          <w:tcPr>
            <w:tcW w:w="2120" w:type="dxa"/>
            <w:vAlign w:val="bottom"/>
            <w:tcBorders>
              <w:bottom w:val="single" w:sz="8" w:color="auto"/>
            </w:tcBorders>
          </w:tcPr>
          <w:p>
            <w:pPr>
              <w:jc w:val="right"/>
              <w:ind w:right="379"/>
              <w:spacing w:after="0" w:line="183" w:lineRule="exact"/>
              <w:rPr>
                <w:sz w:val="20"/>
                <w:szCs w:val="20"/>
                <w:color w:val="auto"/>
              </w:rPr>
            </w:pPr>
            <w:r>
              <w:rPr>
                <w:rFonts w:ascii="Arial" w:cs="Arial" w:eastAsia="Arial" w:hAnsi="Arial"/>
                <w:sz w:val="16"/>
                <w:szCs w:val="16"/>
                <w:b w:val="1"/>
                <w:bCs w:val="1"/>
                <w:color w:val="1C90D3"/>
              </w:rPr>
              <w:t>FOR</w:t>
            </w:r>
          </w:p>
        </w:tc>
        <w:tc>
          <w:tcPr>
            <w:tcW w:w="8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63</w:t>
            </w:r>
          </w:p>
        </w:tc>
      </w:tr>
      <w:tr>
        <w:trPr>
          <w:trHeight w:val="184"/>
        </w:trPr>
        <w:tc>
          <w:tcPr>
            <w:tcW w:w="280" w:type="dxa"/>
            <w:vAlign w:val="bottom"/>
          </w:tcPr>
          <w:p>
            <w:pPr>
              <w:jc w:val="right"/>
              <w:spacing w:after="0"/>
              <w:rPr>
                <w:sz w:val="20"/>
                <w:szCs w:val="20"/>
                <w:color w:val="auto"/>
              </w:rPr>
            </w:pPr>
            <w:r>
              <w:rPr>
                <w:rFonts w:ascii="Arial" w:cs="Arial" w:eastAsia="Arial" w:hAnsi="Arial"/>
                <w:sz w:val="16"/>
                <w:szCs w:val="16"/>
                <w:color w:val="1C90D3"/>
              </w:rPr>
              <w:t>3.</w:t>
            </w:r>
          </w:p>
        </w:tc>
        <w:tc>
          <w:tcPr>
            <w:tcW w:w="7160" w:type="dxa"/>
            <w:vAlign w:val="bottom"/>
          </w:tcPr>
          <w:p>
            <w:pPr>
              <w:ind w:left="40"/>
              <w:spacing w:after="0"/>
              <w:rPr>
                <w:sz w:val="20"/>
                <w:szCs w:val="20"/>
                <w:color w:val="auto"/>
              </w:rPr>
            </w:pPr>
            <w:r>
              <w:rPr>
                <w:rFonts w:ascii="Arial" w:cs="Arial" w:eastAsia="Arial" w:hAnsi="Arial"/>
                <w:sz w:val="16"/>
                <w:szCs w:val="16"/>
                <w:color w:val="auto"/>
              </w:rPr>
              <w:t>Ratification of the selection of Deloitte &amp; Touche LLP as the Company’s independent registered</w:t>
            </w:r>
          </w:p>
        </w:tc>
        <w:tc>
          <w:tcPr>
            <w:tcW w:w="2120" w:type="dxa"/>
            <w:vAlign w:val="bottom"/>
          </w:tcPr>
          <w:p>
            <w:pPr>
              <w:jc w:val="right"/>
              <w:ind w:right="379"/>
              <w:spacing w:after="0"/>
              <w:rPr>
                <w:sz w:val="20"/>
                <w:szCs w:val="20"/>
                <w:color w:val="auto"/>
              </w:rPr>
            </w:pPr>
            <w:r>
              <w:rPr>
                <w:rFonts w:ascii="Arial" w:cs="Arial" w:eastAsia="Arial" w:hAnsi="Arial"/>
                <w:sz w:val="16"/>
                <w:szCs w:val="16"/>
                <w:b w:val="1"/>
                <w:bCs w:val="1"/>
                <w:color w:val="1C90D3"/>
              </w:rPr>
              <w:t>FOR</w:t>
            </w:r>
          </w:p>
        </w:tc>
        <w:tc>
          <w:tcPr>
            <w:tcW w:w="840" w:type="dxa"/>
            <w:vAlign w:val="bottom"/>
          </w:tcPr>
          <w:p>
            <w:pPr>
              <w:jc w:val="right"/>
              <w:spacing w:after="0"/>
              <w:rPr>
                <w:sz w:val="20"/>
                <w:szCs w:val="20"/>
                <w:color w:val="auto"/>
              </w:rPr>
            </w:pPr>
            <w:r>
              <w:rPr>
                <w:rFonts w:ascii="Arial" w:cs="Arial" w:eastAsia="Arial" w:hAnsi="Arial"/>
                <w:sz w:val="16"/>
                <w:szCs w:val="16"/>
                <w:color w:val="auto"/>
              </w:rPr>
              <w:t>64</w:t>
            </w:r>
          </w:p>
        </w:tc>
      </w:tr>
      <w:tr>
        <w:trPr>
          <w:trHeight w:val="187"/>
        </w:trPr>
        <w:tc>
          <w:tcPr>
            <w:tcW w:w="280" w:type="dxa"/>
            <w:vAlign w:val="bottom"/>
            <w:tcBorders>
              <w:bottom w:val="single" w:sz="8" w:color="auto"/>
            </w:tcBorders>
          </w:tcPr>
          <w:p>
            <w:pPr>
              <w:spacing w:after="0"/>
              <w:rPr>
                <w:sz w:val="16"/>
                <w:szCs w:val="16"/>
                <w:color w:val="auto"/>
              </w:rPr>
            </w:pPr>
          </w:p>
        </w:tc>
        <w:tc>
          <w:tcPr>
            <w:tcW w:w="71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public accounting firm for 2016</w:t>
            </w:r>
          </w:p>
        </w:tc>
        <w:tc>
          <w:tcPr>
            <w:tcW w:w="2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r>
      <w:tr>
        <w:trPr>
          <w:trHeight w:val="184"/>
        </w:trPr>
        <w:tc>
          <w:tcPr>
            <w:tcW w:w="280" w:type="dxa"/>
            <w:vAlign w:val="bottom"/>
          </w:tcPr>
          <w:p>
            <w:pPr>
              <w:jc w:val="right"/>
              <w:spacing w:after="0"/>
              <w:rPr>
                <w:sz w:val="20"/>
                <w:szCs w:val="20"/>
                <w:color w:val="auto"/>
              </w:rPr>
            </w:pPr>
            <w:r>
              <w:rPr>
                <w:rFonts w:ascii="Arial" w:cs="Arial" w:eastAsia="Arial" w:hAnsi="Arial"/>
                <w:sz w:val="16"/>
                <w:szCs w:val="16"/>
                <w:color w:val="1C90D3"/>
              </w:rPr>
              <w:t>4.</w:t>
            </w:r>
          </w:p>
        </w:tc>
        <w:tc>
          <w:tcPr>
            <w:tcW w:w="7160" w:type="dxa"/>
            <w:vAlign w:val="bottom"/>
          </w:tcPr>
          <w:p>
            <w:pPr>
              <w:ind w:left="40"/>
              <w:spacing w:after="0"/>
              <w:rPr>
                <w:sz w:val="20"/>
                <w:szCs w:val="20"/>
                <w:color w:val="auto"/>
              </w:rPr>
            </w:pPr>
            <w:r>
              <w:rPr>
                <w:rFonts w:ascii="Arial" w:cs="Arial" w:eastAsia="Arial" w:hAnsi="Arial"/>
                <w:sz w:val="16"/>
                <w:szCs w:val="16"/>
                <w:color w:val="auto"/>
              </w:rPr>
              <w:t>Shareholder proposal regarding Implementation of Holy Land Principles for Employment in</w:t>
            </w:r>
          </w:p>
        </w:tc>
        <w:tc>
          <w:tcPr>
            <w:tcW w:w="2120" w:type="dxa"/>
            <w:vAlign w:val="bottom"/>
          </w:tcPr>
          <w:p>
            <w:pPr>
              <w:jc w:val="right"/>
              <w:ind w:right="379"/>
              <w:spacing w:after="0"/>
              <w:rPr>
                <w:sz w:val="20"/>
                <w:szCs w:val="20"/>
                <w:color w:val="auto"/>
              </w:rPr>
            </w:pPr>
            <w:r>
              <w:rPr>
                <w:rFonts w:ascii="Arial" w:cs="Arial" w:eastAsia="Arial" w:hAnsi="Arial"/>
                <w:sz w:val="16"/>
                <w:szCs w:val="16"/>
                <w:b w:val="1"/>
                <w:bCs w:val="1"/>
                <w:color w:val="1C90D3"/>
              </w:rPr>
              <w:t>AGAINST</w:t>
            </w:r>
          </w:p>
        </w:tc>
        <w:tc>
          <w:tcPr>
            <w:tcW w:w="840" w:type="dxa"/>
            <w:vAlign w:val="bottom"/>
          </w:tcPr>
          <w:p>
            <w:pPr>
              <w:jc w:val="right"/>
              <w:spacing w:after="0"/>
              <w:rPr>
                <w:sz w:val="20"/>
                <w:szCs w:val="20"/>
                <w:color w:val="auto"/>
              </w:rPr>
            </w:pPr>
            <w:r>
              <w:rPr>
                <w:rFonts w:ascii="Arial" w:cs="Arial" w:eastAsia="Arial" w:hAnsi="Arial"/>
                <w:sz w:val="16"/>
                <w:szCs w:val="16"/>
                <w:color w:val="auto"/>
              </w:rPr>
              <w:t>67</w:t>
            </w:r>
          </w:p>
        </w:tc>
      </w:tr>
      <w:tr>
        <w:trPr>
          <w:trHeight w:val="194"/>
        </w:trPr>
        <w:tc>
          <w:tcPr>
            <w:tcW w:w="280" w:type="dxa"/>
            <w:vAlign w:val="bottom"/>
            <w:tcBorders>
              <w:bottom w:val="single" w:sz="8" w:color="08228B"/>
            </w:tcBorders>
          </w:tcPr>
          <w:p>
            <w:pPr>
              <w:spacing w:after="0"/>
              <w:rPr>
                <w:sz w:val="16"/>
                <w:szCs w:val="16"/>
                <w:color w:val="auto"/>
              </w:rPr>
            </w:pPr>
          </w:p>
        </w:tc>
        <w:tc>
          <w:tcPr>
            <w:tcW w:w="7160" w:type="dxa"/>
            <w:vAlign w:val="bottom"/>
            <w:tcBorders>
              <w:bottom w:val="single" w:sz="8" w:color="08228B"/>
            </w:tcBorders>
          </w:tcPr>
          <w:p>
            <w:pPr>
              <w:ind w:left="40"/>
              <w:spacing w:after="0"/>
              <w:rPr>
                <w:sz w:val="20"/>
                <w:szCs w:val="20"/>
                <w:color w:val="auto"/>
              </w:rPr>
            </w:pPr>
            <w:r>
              <w:rPr>
                <w:rFonts w:ascii="Arial" w:cs="Arial" w:eastAsia="Arial" w:hAnsi="Arial"/>
                <w:sz w:val="16"/>
                <w:szCs w:val="16"/>
                <w:color w:val="auto"/>
              </w:rPr>
              <w:t>Palestine-Israel</w:t>
            </w:r>
          </w:p>
        </w:tc>
        <w:tc>
          <w:tcPr>
            <w:tcW w:w="2120" w:type="dxa"/>
            <w:vAlign w:val="bottom"/>
            <w:tcBorders>
              <w:bottom w:val="single" w:sz="8" w:color="08228B"/>
            </w:tcBorders>
          </w:tcPr>
          <w:p>
            <w:pPr>
              <w:spacing w:after="0"/>
              <w:rPr>
                <w:sz w:val="16"/>
                <w:szCs w:val="16"/>
                <w:color w:val="auto"/>
              </w:rPr>
            </w:pPr>
          </w:p>
        </w:tc>
        <w:tc>
          <w:tcPr>
            <w:tcW w:w="840" w:type="dxa"/>
            <w:vAlign w:val="bottom"/>
            <w:tcBorders>
              <w:bottom w:val="single" w:sz="8" w:color="08228B"/>
            </w:tcBorders>
          </w:tcPr>
          <w:p>
            <w:pPr>
              <w:spacing w:after="0"/>
              <w:rPr>
                <w:sz w:val="16"/>
                <w:szCs w:val="16"/>
                <w:color w:val="auto"/>
              </w:rPr>
            </w:pPr>
          </w:p>
        </w:tc>
      </w:tr>
    </w:tbl>
    <w:p>
      <w:pPr>
        <w:spacing w:after="0" w:line="200" w:lineRule="exact"/>
        <w:rPr>
          <w:sz w:val="20"/>
          <w:szCs w:val="20"/>
          <w:color w:val="auto"/>
        </w:rPr>
      </w:pPr>
    </w:p>
    <w:p>
      <w:pPr>
        <w:sectPr>
          <w:pgSz w:w="11900" w:h="16838" w:orient="portrait"/>
          <w:cols w:equalWidth="0" w:num="1">
            <w:col w:w="11420"/>
          </w:cols>
          <w:pgMar w:left="240" w:top="225" w:right="239" w:bottom="1440" w:gutter="0" w:footer="0" w:header="0"/>
        </w:sectPr>
      </w:pPr>
    </w:p>
    <w:p>
      <w:pPr>
        <w:spacing w:after="0" w:line="112" w:lineRule="exact"/>
        <w:rPr>
          <w:sz w:val="20"/>
          <w:szCs w:val="20"/>
          <w:color w:val="auto"/>
        </w:rPr>
      </w:pPr>
    </w:p>
    <w:p>
      <w:pPr>
        <w:ind w:left="300"/>
        <w:spacing w:after="0"/>
        <w:rPr>
          <w:sz w:val="20"/>
          <w:szCs w:val="20"/>
          <w:color w:val="auto"/>
        </w:rPr>
      </w:pPr>
      <w:r>
        <w:rPr>
          <w:rFonts w:ascii="Arial" w:cs="Arial" w:eastAsia="Arial" w:hAnsi="Arial"/>
          <w:sz w:val="25"/>
          <w:szCs w:val="25"/>
          <w:color w:val="auto"/>
        </w:rPr>
        <w:t>Governance Highlights</w:t>
      </w:r>
    </w:p>
    <w:p>
      <w:pPr>
        <w:spacing w:after="0" w:line="118" w:lineRule="exact"/>
        <w:rPr>
          <w:sz w:val="20"/>
          <w:szCs w:val="20"/>
          <w:color w:val="auto"/>
        </w:rPr>
      </w:pPr>
    </w:p>
    <w:p>
      <w:pPr>
        <w:ind w:left="840"/>
        <w:spacing w:after="0"/>
        <w:rPr>
          <w:sz w:val="20"/>
          <w:szCs w:val="20"/>
          <w:color w:val="auto"/>
        </w:rPr>
      </w:pPr>
      <w:r>
        <w:rPr>
          <w:rFonts w:ascii="Arial" w:cs="Arial" w:eastAsia="Arial" w:hAnsi="Arial"/>
          <w:sz w:val="16"/>
          <w:szCs w:val="16"/>
          <w:color w:val="auto"/>
        </w:rPr>
        <w:t>At least two-thirds of Board independent</w:t>
      </w:r>
    </w:p>
    <w:p>
      <w:pPr>
        <w:spacing w:after="0" w:line="235" w:lineRule="exact"/>
        <w:rPr>
          <w:sz w:val="20"/>
          <w:szCs w:val="20"/>
          <w:color w:val="auto"/>
        </w:rPr>
      </w:pPr>
    </w:p>
    <w:p>
      <w:pPr>
        <w:ind w:left="840"/>
        <w:spacing w:after="0"/>
        <w:rPr>
          <w:sz w:val="20"/>
          <w:szCs w:val="20"/>
          <w:color w:val="auto"/>
        </w:rPr>
      </w:pPr>
      <w:r>
        <w:rPr>
          <w:rFonts w:ascii="Arial" w:cs="Arial" w:eastAsia="Arial" w:hAnsi="Arial"/>
          <w:sz w:val="16"/>
          <w:szCs w:val="16"/>
          <w:color w:val="auto"/>
        </w:rPr>
        <w:t>Annual election of all directors</w:t>
      </w:r>
    </w:p>
    <w:p>
      <w:pPr>
        <w:spacing w:after="0" w:line="262" w:lineRule="exact"/>
        <w:rPr>
          <w:sz w:val="20"/>
          <w:szCs w:val="20"/>
          <w:color w:val="auto"/>
        </w:rPr>
      </w:pPr>
    </w:p>
    <w:p>
      <w:pPr>
        <w:ind w:left="840"/>
        <w:spacing w:after="0"/>
        <w:rPr>
          <w:sz w:val="20"/>
          <w:szCs w:val="20"/>
          <w:color w:val="auto"/>
        </w:rPr>
      </w:pPr>
      <w:r>
        <w:rPr>
          <w:rFonts w:ascii="Arial" w:cs="Arial" w:eastAsia="Arial" w:hAnsi="Arial"/>
          <w:sz w:val="16"/>
          <w:szCs w:val="16"/>
          <w:color w:val="auto"/>
        </w:rPr>
        <w:t>Majority voting with director resignation policy</w:t>
      </w:r>
    </w:p>
    <w:p>
      <w:pPr>
        <w:spacing w:after="0" w:line="221" w:lineRule="exact"/>
        <w:rPr>
          <w:sz w:val="20"/>
          <w:szCs w:val="20"/>
          <w:color w:val="auto"/>
        </w:rPr>
      </w:pPr>
    </w:p>
    <w:p>
      <w:pPr>
        <w:ind w:left="840"/>
        <w:spacing w:after="0"/>
        <w:rPr>
          <w:sz w:val="20"/>
          <w:szCs w:val="20"/>
          <w:color w:val="auto"/>
        </w:rPr>
      </w:pPr>
      <w:r>
        <w:rPr>
          <w:rFonts w:ascii="Arial" w:cs="Arial" w:eastAsia="Arial" w:hAnsi="Arial"/>
          <w:sz w:val="16"/>
          <w:szCs w:val="16"/>
          <w:color w:val="auto"/>
        </w:rPr>
        <w:t>Annual evaluation of CEO by Board</w:t>
      </w:r>
    </w:p>
    <w:p>
      <w:pPr>
        <w:spacing w:after="0" w:line="140" w:lineRule="exact"/>
        <w:rPr>
          <w:sz w:val="20"/>
          <w:szCs w:val="20"/>
          <w:color w:val="auto"/>
        </w:rPr>
      </w:pPr>
    </w:p>
    <w:p>
      <w:pPr>
        <w:ind w:left="840" w:right="140"/>
        <w:spacing w:after="0" w:line="260" w:lineRule="auto"/>
        <w:rPr>
          <w:sz w:val="20"/>
          <w:szCs w:val="20"/>
          <w:color w:val="auto"/>
        </w:rPr>
      </w:pPr>
      <w:r>
        <w:rPr>
          <w:rFonts w:ascii="Arial" w:cs="Arial" w:eastAsia="Arial" w:hAnsi="Arial"/>
          <w:sz w:val="16"/>
          <w:szCs w:val="16"/>
          <w:color w:val="auto"/>
        </w:rPr>
        <w:t>Annual Board and Committee self-evaluations and extensive individual Board member evaluations every five years</w:t>
      </w:r>
    </w:p>
    <w:p>
      <w:pPr>
        <w:spacing w:after="0" w:line="47" w:lineRule="exact"/>
        <w:rPr>
          <w:sz w:val="20"/>
          <w:szCs w:val="20"/>
          <w:color w:val="auto"/>
        </w:rPr>
      </w:pPr>
    </w:p>
    <w:p>
      <w:pPr>
        <w:ind w:left="840" w:right="240"/>
        <w:spacing w:after="0" w:line="253" w:lineRule="auto"/>
        <w:rPr>
          <w:sz w:val="20"/>
          <w:szCs w:val="20"/>
          <w:color w:val="auto"/>
        </w:rPr>
      </w:pPr>
      <w:r>
        <w:rPr>
          <w:rFonts w:ascii="Arial" w:cs="Arial" w:eastAsia="Arial" w:hAnsi="Arial"/>
          <w:sz w:val="16"/>
          <w:szCs w:val="16"/>
          <w:color w:val="auto"/>
        </w:rPr>
        <w:t>Audit, Governance and Corporate Responsibility, and Executive Compensation Committees composed entirely of independent directors</w:t>
      </w:r>
    </w:p>
    <w:p>
      <w:pPr>
        <w:spacing w:after="0" w:line="107" w:lineRule="exact"/>
        <w:rPr>
          <w:sz w:val="20"/>
          <w:szCs w:val="20"/>
          <w:color w:val="auto"/>
        </w:rPr>
      </w:pPr>
    </w:p>
    <w:p>
      <w:pPr>
        <w:ind w:left="840"/>
        <w:spacing w:after="0"/>
        <w:rPr>
          <w:sz w:val="20"/>
          <w:szCs w:val="20"/>
          <w:color w:val="auto"/>
        </w:rPr>
      </w:pPr>
      <w:r>
        <w:rPr>
          <w:rFonts w:ascii="Arial" w:cs="Arial" w:eastAsia="Arial" w:hAnsi="Arial"/>
          <w:sz w:val="16"/>
          <w:szCs w:val="16"/>
          <w:color w:val="auto"/>
        </w:rPr>
        <w:t>“Overboarding” limits</w:t>
      </w:r>
    </w:p>
    <w:p>
      <w:pPr>
        <w:spacing w:after="0" w:line="140" w:lineRule="exact"/>
        <w:rPr>
          <w:sz w:val="20"/>
          <w:szCs w:val="20"/>
          <w:color w:val="auto"/>
        </w:rPr>
      </w:pPr>
    </w:p>
    <w:p>
      <w:pPr>
        <w:ind w:left="840" w:right="500"/>
        <w:spacing w:after="0" w:line="260" w:lineRule="auto"/>
        <w:rPr>
          <w:sz w:val="20"/>
          <w:szCs w:val="20"/>
          <w:color w:val="auto"/>
        </w:rPr>
      </w:pPr>
      <w:r>
        <w:rPr>
          <w:rFonts w:ascii="Arial" w:cs="Arial" w:eastAsia="Arial" w:hAnsi="Arial"/>
          <w:sz w:val="16"/>
          <w:szCs w:val="16"/>
          <w:color w:val="auto"/>
        </w:rPr>
        <w:t>Diverse Board in terms of gender, ethnicity, and specific skills and qualifications</w:t>
      </w:r>
    </w:p>
    <w:p>
      <w:pPr>
        <w:spacing w:after="0" w:line="142" w:lineRule="exact"/>
        <w:rPr>
          <w:sz w:val="20"/>
          <w:szCs w:val="20"/>
          <w:color w:val="auto"/>
        </w:rPr>
      </w:pPr>
    </w:p>
    <w:p>
      <w:pPr>
        <w:ind w:left="840"/>
        <w:spacing w:after="0"/>
        <w:rPr>
          <w:sz w:val="20"/>
          <w:szCs w:val="20"/>
          <w:color w:val="auto"/>
        </w:rPr>
      </w:pPr>
      <w:r>
        <w:rPr>
          <w:rFonts w:ascii="Arial" w:cs="Arial" w:eastAsia="Arial" w:hAnsi="Arial"/>
          <w:sz w:val="16"/>
          <w:szCs w:val="16"/>
          <w:color w:val="auto"/>
        </w:rPr>
        <w:t>Director-Shareholder Engagement Policy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6"/>
          <w:szCs w:val="16"/>
          <w:color w:val="auto"/>
        </w:rPr>
        <w:t>Regular executive session of non-management directors</w:t>
      </w:r>
    </w:p>
    <w:p>
      <w:pPr>
        <w:spacing w:after="0" w:line="140" w:lineRule="exact"/>
        <w:rPr>
          <w:sz w:val="20"/>
          <w:szCs w:val="20"/>
          <w:color w:val="auto"/>
        </w:rPr>
      </w:pPr>
    </w:p>
    <w:p>
      <w:pPr>
        <w:ind w:right="860"/>
        <w:spacing w:after="0" w:line="260" w:lineRule="auto"/>
        <w:rPr>
          <w:sz w:val="20"/>
          <w:szCs w:val="20"/>
          <w:color w:val="auto"/>
        </w:rPr>
      </w:pPr>
      <w:r>
        <w:rPr>
          <w:rFonts w:ascii="Arial" w:cs="Arial" w:eastAsia="Arial" w:hAnsi="Arial"/>
          <w:sz w:val="16"/>
          <w:szCs w:val="16"/>
          <w:color w:val="auto"/>
        </w:rPr>
        <w:t>Orientation program for new directors and continuing education for all directors</w:t>
      </w:r>
    </w:p>
    <w:p>
      <w:pPr>
        <w:spacing w:after="0" w:line="47" w:lineRule="exact"/>
        <w:rPr>
          <w:sz w:val="20"/>
          <w:szCs w:val="20"/>
          <w:color w:val="auto"/>
        </w:rPr>
      </w:pPr>
    </w:p>
    <w:p>
      <w:pPr>
        <w:ind w:right="760"/>
        <w:spacing w:after="0" w:line="260" w:lineRule="auto"/>
        <w:rPr>
          <w:sz w:val="20"/>
          <w:szCs w:val="20"/>
          <w:color w:val="auto"/>
        </w:rPr>
      </w:pPr>
      <w:r>
        <w:rPr>
          <w:rFonts w:ascii="Arial" w:cs="Arial" w:eastAsia="Arial" w:hAnsi="Arial"/>
          <w:sz w:val="16"/>
          <w:szCs w:val="16"/>
          <w:color w:val="auto"/>
        </w:rPr>
        <w:t>Robust stock ownership for executive officers and non-employee directors</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Risk oversight by full Board and Committees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Shareholder right to call special meetings</w:t>
      </w:r>
    </w:p>
    <w:p>
      <w:pPr>
        <w:spacing w:after="0" w:line="262" w:lineRule="exact"/>
        <w:rPr>
          <w:sz w:val="20"/>
          <w:szCs w:val="20"/>
          <w:color w:val="auto"/>
        </w:rPr>
      </w:pPr>
    </w:p>
    <w:p>
      <w:pPr>
        <w:ind w:right="800"/>
        <w:spacing w:after="0" w:line="260" w:lineRule="auto"/>
        <w:rPr>
          <w:sz w:val="20"/>
          <w:szCs w:val="20"/>
          <w:color w:val="auto"/>
        </w:rPr>
      </w:pPr>
      <w:r>
        <w:rPr>
          <w:rFonts w:ascii="Arial" w:cs="Arial" w:eastAsia="Arial" w:hAnsi="Arial"/>
          <w:sz w:val="16"/>
          <w:szCs w:val="16"/>
          <w:color w:val="auto"/>
        </w:rPr>
        <w:t>Board and Committees may hire outside advisors independently of management</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Proxy access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Strong Independent Lead Director with clearly delineated duties</w:t>
      </w:r>
    </w:p>
    <w:p>
      <w:pPr>
        <w:spacing w:after="0" w:line="167" w:lineRule="exact"/>
        <w:rPr>
          <w:sz w:val="20"/>
          <w:szCs w:val="20"/>
          <w:color w:val="auto"/>
        </w:rPr>
      </w:pPr>
    </w:p>
    <w:p>
      <w:pPr>
        <w:ind w:right="940"/>
        <w:spacing w:after="0" w:line="260" w:lineRule="auto"/>
        <w:rPr>
          <w:sz w:val="20"/>
          <w:szCs w:val="20"/>
          <w:color w:val="auto"/>
        </w:rPr>
      </w:pPr>
      <w:r>
        <w:rPr>
          <w:rFonts w:ascii="Arial" w:cs="Arial" w:eastAsia="Arial" w:hAnsi="Arial"/>
          <w:sz w:val="16"/>
          <w:szCs w:val="16"/>
          <w:color w:val="auto"/>
        </w:rPr>
        <w:t>Advisory vote on executive compensation (“Say-on-Pay”) over 97% each year since implemented</w:t>
      </w:r>
    </w:p>
    <w:p>
      <w:pPr>
        <w:spacing w:after="0" w:line="47" w:lineRule="exact"/>
        <w:rPr>
          <w:sz w:val="20"/>
          <w:szCs w:val="20"/>
          <w:color w:val="auto"/>
        </w:rPr>
      </w:pPr>
    </w:p>
    <w:p>
      <w:pPr>
        <w:ind w:right="980"/>
        <w:spacing w:after="0" w:line="260" w:lineRule="auto"/>
        <w:rPr>
          <w:sz w:val="20"/>
          <w:szCs w:val="20"/>
          <w:color w:val="auto"/>
        </w:rPr>
      </w:pPr>
      <w:r>
        <w:rPr>
          <w:rFonts w:ascii="Arial" w:cs="Arial" w:eastAsia="Arial" w:hAnsi="Arial"/>
          <w:sz w:val="16"/>
          <w:szCs w:val="16"/>
          <w:color w:val="auto"/>
        </w:rPr>
        <w:t>Over 70% of CEO target compensation is performance based and 90% is pay-at-risk</w:t>
      </w:r>
    </w:p>
    <w:p>
      <w:pPr>
        <w:spacing w:after="0" w:line="200" w:lineRule="exact"/>
        <w:rPr>
          <w:sz w:val="20"/>
          <w:szCs w:val="20"/>
          <w:color w:val="auto"/>
        </w:rPr>
      </w:pPr>
    </w:p>
    <w:p>
      <w:pPr>
        <w:sectPr>
          <w:pgSz w:w="11900" w:h="16838" w:orient="portrait"/>
          <w:cols w:equalWidth="0" w:num="2">
            <w:col w:w="5320" w:space="720"/>
            <w:col w:w="5380"/>
          </w:cols>
          <w:pgMar w:left="240" w:top="225" w:right="239" w:bottom="1440" w:gutter="0" w:footer="0" w:header="0"/>
          <w:type w:val="continuous"/>
        </w:sect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13"/>
        </w:trPr>
        <w:tc>
          <w:tcPr>
            <w:tcW w:w="4180" w:type="dxa"/>
            <w:vAlign w:val="bottom"/>
            <w:tcBorders>
              <w:bottom w:val="single" w:sz="8" w:color="08228B"/>
            </w:tcBorders>
          </w:tcPr>
          <w:p>
            <w:pPr>
              <w:spacing w:after="0"/>
              <w:rPr>
                <w:sz w:val="9"/>
                <w:szCs w:val="9"/>
                <w:color w:val="auto"/>
              </w:rPr>
            </w:pPr>
          </w:p>
        </w:tc>
        <w:tc>
          <w:tcPr>
            <w:tcW w:w="2060" w:type="dxa"/>
            <w:vAlign w:val="bottom"/>
            <w:vMerge w:val="restart"/>
          </w:tcPr>
          <w:p>
            <w:pPr>
              <w:ind w:left="40"/>
              <w:spacing w:after="0"/>
              <w:rPr>
                <w:sz w:val="20"/>
                <w:szCs w:val="20"/>
                <w:color w:val="auto"/>
              </w:rPr>
            </w:pPr>
            <w:r>
              <w:rPr>
                <w:rFonts w:ascii="Arial" w:cs="Arial" w:eastAsia="Arial" w:hAnsi="Arial"/>
                <w:sz w:val="16"/>
                <w:szCs w:val="16"/>
                <w:b w:val="1"/>
                <w:bCs w:val="1"/>
                <w:color w:val="1C90D3"/>
              </w:rPr>
              <w:t xml:space="preserve">2016 </w:t>
            </w:r>
            <w:r>
              <w:rPr>
                <w:rFonts w:ascii="Arial" w:cs="Arial" w:eastAsia="Arial" w:hAnsi="Arial"/>
                <w:sz w:val="16"/>
                <w:szCs w:val="16"/>
                <w:color w:val="08228B"/>
              </w:rPr>
              <w:t>PROXY STATEMENT</w:t>
            </w:r>
          </w:p>
        </w:tc>
        <w:tc>
          <w:tcPr>
            <w:tcW w:w="2300" w:type="dxa"/>
            <w:vAlign w:val="bottom"/>
            <w:tcBorders>
              <w:bottom w:val="single" w:sz="8" w:color="08228B"/>
            </w:tcBorders>
          </w:tcPr>
          <w:p>
            <w:pPr>
              <w:spacing w:after="0"/>
              <w:rPr>
                <w:sz w:val="9"/>
                <w:szCs w:val="9"/>
                <w:color w:val="auto"/>
              </w:rPr>
            </w:pPr>
          </w:p>
        </w:tc>
        <w:tc>
          <w:tcPr>
            <w:tcW w:w="2880" w:type="dxa"/>
            <w:vAlign w:val="bottom"/>
            <w:vMerge w:val="restart"/>
          </w:tcPr>
          <w:p>
            <w:pPr>
              <w:jc w:val="right"/>
              <w:ind w:right="39"/>
              <w:spacing w:after="0"/>
              <w:rPr>
                <w:sz w:val="20"/>
                <w:szCs w:val="20"/>
                <w:color w:val="auto"/>
              </w:rPr>
            </w:pPr>
            <w:r>
              <w:rPr>
                <w:rFonts w:ascii="Arial" w:cs="Arial" w:eastAsia="Arial" w:hAnsi="Arial"/>
                <w:sz w:val="16"/>
                <w:szCs w:val="16"/>
                <w:color w:val="08228B"/>
              </w:rPr>
              <w:t>6</w:t>
            </w:r>
          </w:p>
        </w:tc>
        <w:tc>
          <w:tcPr>
            <w:tcW w:w="0" w:type="dxa"/>
            <w:vAlign w:val="bottom"/>
          </w:tcPr>
          <w:p>
            <w:pPr>
              <w:spacing w:after="0"/>
              <w:rPr>
                <w:sz w:val="1"/>
                <w:szCs w:val="1"/>
                <w:color w:val="auto"/>
              </w:rPr>
            </w:pPr>
          </w:p>
        </w:tc>
      </w:tr>
      <w:tr>
        <w:trPr>
          <w:trHeight w:val="82"/>
        </w:trPr>
        <w:tc>
          <w:tcPr>
            <w:tcW w:w="4180" w:type="dxa"/>
            <w:vAlign w:val="bottom"/>
          </w:tcPr>
          <w:p>
            <w:pPr>
              <w:spacing w:after="0"/>
              <w:rPr>
                <w:sz w:val="7"/>
                <w:szCs w:val="7"/>
                <w:color w:val="auto"/>
              </w:rPr>
            </w:pPr>
          </w:p>
        </w:tc>
        <w:tc>
          <w:tcPr>
            <w:tcW w:w="2060" w:type="dxa"/>
            <w:vAlign w:val="bottom"/>
            <w:vMerge w:val="continue"/>
          </w:tcPr>
          <w:p>
            <w:pPr>
              <w:spacing w:after="0"/>
              <w:rPr>
                <w:sz w:val="7"/>
                <w:szCs w:val="7"/>
                <w:color w:val="auto"/>
              </w:rPr>
            </w:pPr>
          </w:p>
        </w:tc>
        <w:tc>
          <w:tcPr>
            <w:tcW w:w="2300" w:type="dxa"/>
            <w:vAlign w:val="bottom"/>
          </w:tcPr>
          <w:p>
            <w:pPr>
              <w:spacing w:after="0"/>
              <w:rPr>
                <w:sz w:val="7"/>
                <w:szCs w:val="7"/>
                <w:color w:val="auto"/>
              </w:rPr>
            </w:pPr>
          </w:p>
        </w:tc>
        <w:tc>
          <w:tcPr>
            <w:tcW w:w="2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7"/>
        </w:trPr>
        <w:tc>
          <w:tcPr>
            <w:tcW w:w="4180" w:type="dxa"/>
            <w:vAlign w:val="bottom"/>
            <w:tcBorders>
              <w:bottom w:val="single" w:sz="8" w:color="C0C0C0"/>
            </w:tcBorders>
          </w:tcPr>
          <w:p>
            <w:pPr>
              <w:spacing w:after="0"/>
              <w:rPr>
                <w:sz w:val="24"/>
                <w:szCs w:val="24"/>
                <w:color w:val="auto"/>
              </w:rPr>
            </w:pPr>
          </w:p>
        </w:tc>
        <w:tc>
          <w:tcPr>
            <w:tcW w:w="2060" w:type="dxa"/>
            <w:vAlign w:val="bottom"/>
            <w:tcBorders>
              <w:bottom w:val="single" w:sz="8" w:color="C0C0C0"/>
            </w:tcBorders>
          </w:tcPr>
          <w:p>
            <w:pPr>
              <w:spacing w:after="0"/>
              <w:rPr>
                <w:sz w:val="24"/>
                <w:szCs w:val="24"/>
                <w:color w:val="auto"/>
              </w:rPr>
            </w:pPr>
          </w:p>
        </w:tc>
        <w:tc>
          <w:tcPr>
            <w:tcW w:w="2300" w:type="dxa"/>
            <w:vAlign w:val="bottom"/>
            <w:tcBorders>
              <w:bottom w:val="single" w:sz="8" w:color="C0C0C0"/>
            </w:tcBorders>
          </w:tcPr>
          <w:p>
            <w:pPr>
              <w:spacing w:after="0"/>
              <w:rPr>
                <w:sz w:val="24"/>
                <w:szCs w:val="24"/>
                <w:color w:val="auto"/>
              </w:rPr>
            </w:pPr>
          </w:p>
        </w:tc>
        <w:tc>
          <w:tcPr>
            <w:tcW w:w="288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5450840</wp:posOffset>
            </wp:positionH>
            <wp:positionV relativeFrom="paragraph">
              <wp:posOffset>-334010</wp:posOffset>
            </wp:positionV>
            <wp:extent cx="1466215" cy="946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466215" cy="9461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86295" cy="89871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86295" cy="898715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300"/>
        <w:spacing w:after="0"/>
        <w:rPr>
          <w:sz w:val="20"/>
          <w:szCs w:val="20"/>
          <w:color w:val="auto"/>
        </w:rPr>
      </w:pPr>
      <w:r>
        <w:rPr>
          <w:rFonts w:ascii="Arial" w:cs="Arial" w:eastAsia="Arial" w:hAnsi="Arial"/>
          <w:sz w:val="25"/>
          <w:szCs w:val="25"/>
          <w:color w:val="auto"/>
        </w:rPr>
        <w:t>The Board’s Nominees for Director</w:t>
      </w:r>
    </w:p>
    <w:p>
      <w:pPr>
        <w:spacing w:after="0" w:line="17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 xml:space="preserve">The Board recommends a vote </w:t>
      </w:r>
      <w:r>
        <w:rPr>
          <w:rFonts w:ascii="Arial" w:cs="Arial" w:eastAsia="Arial" w:hAnsi="Arial"/>
          <w:sz w:val="16"/>
          <w:szCs w:val="16"/>
          <w:b w:val="1"/>
          <w:bCs w:val="1"/>
          <w:color w:val="1C90D3"/>
        </w:rPr>
        <w:t>FOR</w:t>
      </w:r>
      <w:r>
        <w:rPr>
          <w:rFonts w:ascii="Arial" w:cs="Arial" w:eastAsia="Arial" w:hAnsi="Arial"/>
          <w:sz w:val="16"/>
          <w:szCs w:val="16"/>
          <w:color w:val="auto"/>
        </w:rPr>
        <w:t xml:space="preserve"> the election of each of the following nominees for director:</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Borders>
              <w:top w:val="single" w:sz="8" w:color="1C90D3"/>
            </w:tcBorders>
          </w:tcPr>
          <w:p>
            <w:pPr>
              <w:spacing w:after="0"/>
              <w:rPr>
                <w:sz w:val="18"/>
                <w:szCs w:val="18"/>
                <w:color w:val="auto"/>
              </w:rPr>
            </w:pPr>
          </w:p>
        </w:tc>
        <w:tc>
          <w:tcPr>
            <w:tcW w:w="1680" w:type="dxa"/>
            <w:vAlign w:val="bottom"/>
            <w:tcBorders>
              <w:top w:val="single" w:sz="8" w:color="1C90D3"/>
            </w:tcBorders>
          </w:tcPr>
          <w:p>
            <w:pPr>
              <w:spacing w:after="0"/>
              <w:rPr>
                <w:sz w:val="18"/>
                <w:szCs w:val="18"/>
                <w:color w:val="auto"/>
              </w:rPr>
            </w:pPr>
          </w:p>
        </w:tc>
        <w:tc>
          <w:tcPr>
            <w:tcW w:w="1360" w:type="dxa"/>
            <w:vAlign w:val="bottom"/>
            <w:tcBorders>
              <w:top w:val="single" w:sz="8" w:color="1C90D3"/>
            </w:tcBorders>
          </w:tcPr>
          <w:p>
            <w:pPr>
              <w:spacing w:after="0"/>
              <w:rPr>
                <w:sz w:val="18"/>
                <w:szCs w:val="18"/>
                <w:color w:val="auto"/>
              </w:rPr>
            </w:pPr>
          </w:p>
        </w:tc>
        <w:tc>
          <w:tcPr>
            <w:tcW w:w="140" w:type="dxa"/>
            <w:vAlign w:val="bottom"/>
            <w:tcBorders>
              <w:top w:val="single" w:sz="8" w:color="1C90D3"/>
            </w:tcBorders>
          </w:tcPr>
          <w:p>
            <w:pPr>
              <w:spacing w:after="0"/>
              <w:rPr>
                <w:sz w:val="18"/>
                <w:szCs w:val="18"/>
                <w:color w:val="auto"/>
              </w:rPr>
            </w:pPr>
          </w:p>
        </w:tc>
        <w:tc>
          <w:tcPr>
            <w:tcW w:w="980" w:type="dxa"/>
            <w:vAlign w:val="bottom"/>
            <w:tcBorders>
              <w:top w:val="single" w:sz="8" w:color="1C90D3"/>
            </w:tcBorders>
          </w:tcPr>
          <w:p>
            <w:pPr>
              <w:spacing w:after="0"/>
              <w:rPr>
                <w:sz w:val="18"/>
                <w:szCs w:val="18"/>
                <w:color w:val="auto"/>
              </w:rPr>
            </w:pPr>
          </w:p>
        </w:tc>
        <w:tc>
          <w:tcPr>
            <w:tcW w:w="1840" w:type="dxa"/>
            <w:vAlign w:val="bottom"/>
            <w:tcBorders>
              <w:top w:val="single" w:sz="8" w:color="1C90D3"/>
            </w:tcBorders>
            <w:gridSpan w:val="3"/>
          </w:tcPr>
          <w:p>
            <w:pPr>
              <w:jc w:val="center"/>
              <w:ind w:right="948"/>
              <w:spacing w:after="0"/>
              <w:rPr>
                <w:sz w:val="20"/>
                <w:szCs w:val="20"/>
                <w:color w:val="auto"/>
              </w:rPr>
            </w:pPr>
            <w:r>
              <w:rPr>
                <w:rFonts w:ascii="Arial" w:cs="Arial" w:eastAsia="Arial" w:hAnsi="Arial"/>
                <w:sz w:val="16"/>
                <w:szCs w:val="16"/>
                <w:b w:val="1"/>
                <w:bCs w:val="1"/>
                <w:color w:val="1C90D3"/>
              </w:rPr>
              <w:t>Director</w:t>
            </w:r>
          </w:p>
        </w:tc>
        <w:tc>
          <w:tcPr>
            <w:tcW w:w="1320" w:type="dxa"/>
            <w:vAlign w:val="bottom"/>
            <w:tcBorders>
              <w:top w:val="single" w:sz="8" w:color="1C90D3"/>
            </w:tcBorders>
          </w:tcPr>
          <w:p>
            <w:pPr>
              <w:ind w:left="180"/>
              <w:spacing w:after="0"/>
              <w:rPr>
                <w:sz w:val="20"/>
                <w:szCs w:val="20"/>
                <w:color w:val="auto"/>
              </w:rPr>
            </w:pPr>
            <w:r>
              <w:rPr>
                <w:rFonts w:ascii="Arial" w:cs="Arial" w:eastAsia="Arial" w:hAnsi="Arial"/>
                <w:sz w:val="16"/>
                <w:szCs w:val="16"/>
                <w:b w:val="1"/>
                <w:bCs w:val="1"/>
                <w:color w:val="1C90D3"/>
              </w:rPr>
              <w:t>Committee</w:t>
            </w:r>
          </w:p>
        </w:tc>
        <w:tc>
          <w:tcPr>
            <w:tcW w:w="320" w:type="dxa"/>
            <w:vAlign w:val="bottom"/>
            <w:tcBorders>
              <w:top w:val="single" w:sz="8" w:color="1C90D3"/>
            </w:tcBorders>
          </w:tcPr>
          <w:p>
            <w:pPr>
              <w:spacing w:after="0"/>
              <w:rPr>
                <w:sz w:val="18"/>
                <w:szCs w:val="18"/>
                <w:color w:val="auto"/>
              </w:rPr>
            </w:pPr>
          </w:p>
        </w:tc>
        <w:tc>
          <w:tcPr>
            <w:tcW w:w="1880" w:type="dxa"/>
            <w:vAlign w:val="bottom"/>
            <w:tcBorders>
              <w:top w:val="single" w:sz="8" w:color="1C90D3"/>
            </w:tcBorders>
            <w:gridSpan w:val="2"/>
          </w:tcPr>
          <w:p>
            <w:pPr>
              <w:jc w:val="center"/>
              <w:ind w:right="303"/>
              <w:spacing w:after="0"/>
              <w:rPr>
                <w:sz w:val="20"/>
                <w:szCs w:val="20"/>
                <w:color w:val="auto"/>
              </w:rPr>
            </w:pPr>
            <w:r>
              <w:rPr>
                <w:rFonts w:ascii="Arial" w:cs="Arial" w:eastAsia="Arial" w:hAnsi="Arial"/>
                <w:sz w:val="16"/>
                <w:szCs w:val="16"/>
                <w:b w:val="1"/>
                <w:bCs w:val="1"/>
                <w:color w:val="1C90D3"/>
                <w:w w:val="98"/>
              </w:rPr>
              <w:t>Skills and</w:t>
            </w:r>
          </w:p>
        </w:tc>
        <w:tc>
          <w:tcPr>
            <w:tcW w:w="7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80" w:type="dxa"/>
            <w:vAlign w:val="bottom"/>
          </w:tcPr>
          <w:p>
            <w:pPr>
              <w:ind w:left="20"/>
              <w:spacing w:after="0"/>
              <w:rPr>
                <w:sz w:val="20"/>
                <w:szCs w:val="20"/>
                <w:color w:val="auto"/>
              </w:rPr>
            </w:pPr>
            <w:r>
              <w:rPr>
                <w:rFonts w:ascii="Arial" w:cs="Arial" w:eastAsia="Arial" w:hAnsi="Arial"/>
                <w:sz w:val="16"/>
                <w:szCs w:val="16"/>
                <w:b w:val="1"/>
                <w:bCs w:val="1"/>
                <w:color w:val="1C90D3"/>
              </w:rPr>
              <w:t>Name</w:t>
            </w:r>
          </w:p>
        </w:tc>
        <w:tc>
          <w:tcPr>
            <w:tcW w:w="1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center"/>
              <w:ind w:left="399"/>
              <w:spacing w:after="0" w:line="246" w:lineRule="exact"/>
              <w:rPr>
                <w:sz w:val="20"/>
                <w:szCs w:val="20"/>
                <w:color w:val="auto"/>
              </w:rPr>
            </w:pPr>
            <w:r>
              <w:rPr>
                <w:rFonts w:ascii="Arial" w:cs="Arial" w:eastAsia="Arial" w:hAnsi="Arial"/>
                <w:sz w:val="16"/>
                <w:szCs w:val="16"/>
                <w:b w:val="1"/>
                <w:bCs w:val="1"/>
                <w:color w:val="1C90D3"/>
                <w:w w:val="87"/>
              </w:rPr>
              <w:t>Age</w:t>
            </w:r>
            <w:r>
              <w:rPr>
                <w:rFonts w:ascii="Arial" w:cs="Arial" w:eastAsia="Arial" w:hAnsi="Arial"/>
                <w:sz w:val="27"/>
                <w:szCs w:val="27"/>
                <w:b w:val="1"/>
                <w:bCs w:val="1"/>
                <w:color w:val="1C90D3"/>
                <w:w w:val="87"/>
                <w:vertAlign w:val="superscript"/>
              </w:rPr>
              <w:t>(1)</w:t>
            </w:r>
          </w:p>
        </w:tc>
        <w:tc>
          <w:tcPr>
            <w:tcW w:w="660" w:type="dxa"/>
            <w:vAlign w:val="bottom"/>
          </w:tcPr>
          <w:p>
            <w:pPr>
              <w:jc w:val="center"/>
              <w:ind w:left="60"/>
              <w:spacing w:after="0"/>
              <w:rPr>
                <w:sz w:val="20"/>
                <w:szCs w:val="20"/>
                <w:color w:val="auto"/>
              </w:rPr>
            </w:pPr>
            <w:r>
              <w:rPr>
                <w:rFonts w:ascii="Arial" w:cs="Arial" w:eastAsia="Arial" w:hAnsi="Arial"/>
                <w:sz w:val="16"/>
                <w:szCs w:val="16"/>
                <w:b w:val="1"/>
                <w:bCs w:val="1"/>
                <w:color w:val="1C90D3"/>
              </w:rPr>
              <w:t>Since</w:t>
            </w:r>
          </w:p>
        </w:tc>
        <w:tc>
          <w:tcPr>
            <w:tcW w:w="1180" w:type="dxa"/>
            <w:vAlign w:val="bottom"/>
            <w:gridSpan w:val="2"/>
          </w:tcPr>
          <w:p>
            <w:pPr>
              <w:ind w:left="160"/>
              <w:spacing w:after="0"/>
              <w:rPr>
                <w:sz w:val="20"/>
                <w:szCs w:val="20"/>
                <w:color w:val="auto"/>
              </w:rPr>
            </w:pPr>
            <w:r>
              <w:rPr>
                <w:rFonts w:ascii="Arial" w:cs="Arial" w:eastAsia="Arial" w:hAnsi="Arial"/>
                <w:sz w:val="16"/>
                <w:szCs w:val="16"/>
                <w:b w:val="1"/>
                <w:bCs w:val="1"/>
                <w:color w:val="1C90D3"/>
              </w:rPr>
              <w:t>Independent</w:t>
            </w:r>
          </w:p>
        </w:tc>
        <w:tc>
          <w:tcPr>
            <w:tcW w:w="1320" w:type="dxa"/>
            <w:vAlign w:val="bottom"/>
          </w:tcPr>
          <w:p>
            <w:pPr>
              <w:ind w:left="40"/>
              <w:spacing w:after="0" w:line="246" w:lineRule="exact"/>
              <w:rPr>
                <w:sz w:val="20"/>
                <w:szCs w:val="20"/>
                <w:color w:val="auto"/>
              </w:rPr>
            </w:pPr>
            <w:r>
              <w:rPr>
                <w:rFonts w:ascii="Arial" w:cs="Arial" w:eastAsia="Arial" w:hAnsi="Arial"/>
                <w:sz w:val="16"/>
                <w:szCs w:val="16"/>
                <w:b w:val="1"/>
                <w:bCs w:val="1"/>
                <w:color w:val="1C90D3"/>
              </w:rPr>
              <w:t>Membership</w:t>
            </w:r>
            <w:r>
              <w:rPr>
                <w:rFonts w:ascii="Arial" w:cs="Arial" w:eastAsia="Arial" w:hAnsi="Arial"/>
                <w:sz w:val="27"/>
                <w:szCs w:val="27"/>
                <w:b w:val="1"/>
                <w:bCs w:val="1"/>
                <w:color w:val="1C90D3"/>
                <w:vertAlign w:val="superscript"/>
              </w:rPr>
              <w:t>(2)</w:t>
            </w:r>
          </w:p>
        </w:tc>
        <w:tc>
          <w:tcPr>
            <w:tcW w:w="320" w:type="dxa"/>
            <w:vAlign w:val="bottom"/>
          </w:tcPr>
          <w:p>
            <w:pPr>
              <w:spacing w:after="0"/>
              <w:rPr>
                <w:sz w:val="22"/>
                <w:szCs w:val="22"/>
                <w:color w:val="auto"/>
              </w:rPr>
            </w:pPr>
          </w:p>
        </w:tc>
        <w:tc>
          <w:tcPr>
            <w:tcW w:w="2600" w:type="dxa"/>
            <w:vAlign w:val="bottom"/>
            <w:gridSpan w:val="4"/>
          </w:tcPr>
          <w:p>
            <w:pPr>
              <w:jc w:val="center"/>
              <w:ind w:right="1100"/>
              <w:spacing w:after="0"/>
              <w:rPr>
                <w:sz w:val="20"/>
                <w:szCs w:val="20"/>
                <w:color w:val="auto"/>
              </w:rPr>
            </w:pPr>
            <w:r>
              <w:rPr>
                <w:rFonts w:ascii="Arial" w:cs="Arial" w:eastAsia="Arial" w:hAnsi="Arial"/>
                <w:sz w:val="16"/>
                <w:szCs w:val="16"/>
                <w:b w:val="1"/>
                <w:bCs w:val="1"/>
                <w:color w:val="1C90D3"/>
              </w:rPr>
              <w:t>Qualifications</w:t>
            </w:r>
          </w:p>
        </w:tc>
        <w:tc>
          <w:tcPr>
            <w:tcW w:w="0" w:type="dxa"/>
            <w:vAlign w:val="bottom"/>
          </w:tcPr>
          <w:p>
            <w:pPr>
              <w:spacing w:after="0"/>
              <w:rPr>
                <w:sz w:val="1"/>
                <w:szCs w:val="1"/>
                <w:color w:val="auto"/>
              </w:rPr>
            </w:pPr>
          </w:p>
        </w:tc>
      </w:tr>
      <w:tr>
        <w:trPr>
          <w:trHeight w:val="218"/>
        </w:trPr>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Borders>
              <w:top w:val="single" w:sz="8" w:color="1C90D3"/>
            </w:tcBorders>
          </w:tcPr>
          <w:p>
            <w:pPr>
              <w:spacing w:after="0"/>
              <w:rPr>
                <w:sz w:val="18"/>
                <w:szCs w:val="18"/>
                <w:color w:val="auto"/>
              </w:rPr>
            </w:pPr>
          </w:p>
        </w:tc>
        <w:tc>
          <w:tcPr>
            <w:tcW w:w="1680" w:type="dxa"/>
            <w:vAlign w:val="bottom"/>
            <w:tcBorders>
              <w:top w:val="single" w:sz="8" w:color="1C90D3"/>
            </w:tcBorders>
          </w:tcPr>
          <w:p>
            <w:pPr>
              <w:ind w:left="20"/>
              <w:spacing w:after="0"/>
              <w:rPr>
                <w:sz w:val="20"/>
                <w:szCs w:val="20"/>
                <w:color w:val="auto"/>
              </w:rPr>
            </w:pPr>
            <w:r>
              <w:rPr>
                <w:rFonts w:ascii="Arial" w:cs="Arial" w:eastAsia="Arial" w:hAnsi="Arial"/>
                <w:sz w:val="16"/>
                <w:szCs w:val="16"/>
                <w:b w:val="1"/>
                <w:bCs w:val="1"/>
                <w:color w:val="08228B"/>
              </w:rPr>
              <w:t>Mary T. Barra</w:t>
            </w:r>
          </w:p>
        </w:tc>
        <w:tc>
          <w:tcPr>
            <w:tcW w:w="1360" w:type="dxa"/>
            <w:vAlign w:val="bottom"/>
            <w:tcBorders>
              <w:top w:val="single" w:sz="8" w:color="1C90D3"/>
            </w:tcBorders>
          </w:tcPr>
          <w:p>
            <w:pPr>
              <w:spacing w:after="0"/>
              <w:rPr>
                <w:sz w:val="18"/>
                <w:szCs w:val="18"/>
                <w:color w:val="auto"/>
              </w:rPr>
            </w:pPr>
          </w:p>
        </w:tc>
        <w:tc>
          <w:tcPr>
            <w:tcW w:w="1120" w:type="dxa"/>
            <w:vAlign w:val="bottom"/>
            <w:tcBorders>
              <w:top w:val="single" w:sz="8" w:color="1C90D3"/>
            </w:tcBorders>
            <w:gridSpan w:val="2"/>
          </w:tcPr>
          <w:p>
            <w:pPr>
              <w:jc w:val="center"/>
              <w:ind w:left="540"/>
              <w:spacing w:after="0"/>
              <w:rPr>
                <w:sz w:val="20"/>
                <w:szCs w:val="20"/>
                <w:color w:val="auto"/>
              </w:rPr>
            </w:pPr>
            <w:r>
              <w:rPr>
                <w:rFonts w:ascii="Arial" w:cs="Arial" w:eastAsia="Arial" w:hAnsi="Arial"/>
                <w:sz w:val="16"/>
                <w:szCs w:val="16"/>
                <w:color w:val="auto"/>
              </w:rPr>
              <w:t>54</w:t>
            </w:r>
          </w:p>
        </w:tc>
        <w:tc>
          <w:tcPr>
            <w:tcW w:w="660" w:type="dxa"/>
            <w:vAlign w:val="bottom"/>
            <w:tcBorders>
              <w:top w:val="single" w:sz="8" w:color="1C90D3"/>
            </w:tcBorders>
          </w:tcPr>
          <w:p>
            <w:pPr>
              <w:jc w:val="center"/>
              <w:ind w:left="60"/>
              <w:spacing w:after="0"/>
              <w:rPr>
                <w:sz w:val="20"/>
                <w:szCs w:val="20"/>
                <w:color w:val="auto"/>
              </w:rPr>
            </w:pPr>
            <w:r>
              <w:rPr>
                <w:rFonts w:ascii="Arial" w:cs="Arial" w:eastAsia="Arial" w:hAnsi="Arial"/>
                <w:sz w:val="16"/>
                <w:szCs w:val="16"/>
                <w:color w:val="auto"/>
              </w:rPr>
              <w:t>2014</w:t>
            </w:r>
          </w:p>
        </w:tc>
        <w:tc>
          <w:tcPr>
            <w:tcW w:w="420" w:type="dxa"/>
            <w:vAlign w:val="bottom"/>
            <w:tcBorders>
              <w:top w:val="single" w:sz="8" w:color="1C90D3"/>
            </w:tcBorders>
          </w:tcPr>
          <w:p>
            <w:pPr>
              <w:spacing w:after="0"/>
              <w:rPr>
                <w:sz w:val="18"/>
                <w:szCs w:val="18"/>
                <w:color w:val="auto"/>
              </w:rPr>
            </w:pPr>
          </w:p>
        </w:tc>
        <w:tc>
          <w:tcPr>
            <w:tcW w:w="760" w:type="dxa"/>
            <w:vAlign w:val="bottom"/>
            <w:tcBorders>
              <w:top w:val="single" w:sz="8" w:color="1C90D3"/>
            </w:tcBorders>
          </w:tcPr>
          <w:p>
            <w:pPr>
              <w:spacing w:after="0"/>
              <w:rPr>
                <w:sz w:val="18"/>
                <w:szCs w:val="18"/>
                <w:color w:val="auto"/>
              </w:rPr>
            </w:pPr>
          </w:p>
        </w:tc>
        <w:tc>
          <w:tcPr>
            <w:tcW w:w="1320" w:type="dxa"/>
            <w:vAlign w:val="bottom"/>
            <w:tcBorders>
              <w:top w:val="single" w:sz="8" w:color="1C90D3"/>
            </w:tcBorders>
          </w:tcPr>
          <w:p>
            <w:pPr>
              <w:ind w:left="180"/>
              <w:spacing w:after="0"/>
              <w:rPr>
                <w:sz w:val="20"/>
                <w:szCs w:val="20"/>
                <w:color w:val="auto"/>
              </w:rPr>
            </w:pPr>
            <w:r>
              <w:rPr>
                <w:rFonts w:ascii="Arial" w:cs="Arial" w:eastAsia="Arial" w:hAnsi="Arial"/>
                <w:sz w:val="16"/>
                <w:szCs w:val="16"/>
                <w:color w:val="auto"/>
              </w:rPr>
              <w:t>EC (Chair)</w:t>
            </w:r>
          </w:p>
        </w:tc>
        <w:tc>
          <w:tcPr>
            <w:tcW w:w="320" w:type="dxa"/>
            <w:vAlign w:val="bottom"/>
            <w:tcBorders>
              <w:top w:val="single" w:sz="8" w:color="1C90D3"/>
            </w:tcBorders>
          </w:tcPr>
          <w:p>
            <w:pPr>
              <w:spacing w:after="0"/>
              <w:rPr>
                <w:sz w:val="18"/>
                <w:szCs w:val="18"/>
                <w:color w:val="auto"/>
              </w:rPr>
            </w:pPr>
          </w:p>
        </w:tc>
        <w:tc>
          <w:tcPr>
            <w:tcW w:w="760" w:type="dxa"/>
            <w:vAlign w:val="bottom"/>
            <w:tcBorders>
              <w:top w:val="single" w:sz="8" w:color="1C90D3"/>
            </w:tcBorders>
          </w:tcPr>
          <w:p>
            <w:pPr>
              <w:spacing w:after="0"/>
              <w:rPr>
                <w:sz w:val="18"/>
                <w:szCs w:val="18"/>
                <w:color w:val="auto"/>
              </w:rPr>
            </w:pPr>
          </w:p>
        </w:tc>
        <w:tc>
          <w:tcPr>
            <w:tcW w:w="1120" w:type="dxa"/>
            <w:vAlign w:val="bottom"/>
            <w:tcBorders>
              <w:top w:val="single" w:sz="8" w:color="1C90D3"/>
            </w:tcBorders>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160" w:type="dxa"/>
            <w:vAlign w:val="bottom"/>
            <w:gridSpan w:val="4"/>
          </w:tcPr>
          <w:p>
            <w:pPr>
              <w:ind w:left="20"/>
              <w:spacing w:after="0"/>
              <w:rPr>
                <w:sz w:val="20"/>
                <w:szCs w:val="20"/>
                <w:color w:val="auto"/>
              </w:rPr>
            </w:pPr>
            <w:r>
              <w:rPr>
                <w:rFonts w:ascii="Arial" w:cs="Arial" w:eastAsia="Arial" w:hAnsi="Arial"/>
                <w:sz w:val="16"/>
                <w:szCs w:val="16"/>
                <w:color w:val="auto"/>
              </w:rPr>
              <w:t>Chairman &amp; Chief Executive Officer, General</w:t>
            </w:r>
          </w:p>
        </w:tc>
        <w:tc>
          <w:tcPr>
            <w:tcW w:w="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80" w:type="dxa"/>
            <w:vAlign w:val="bottom"/>
          </w:tcPr>
          <w:p>
            <w:pPr>
              <w:ind w:left="20"/>
              <w:spacing w:after="0"/>
              <w:rPr>
                <w:sz w:val="20"/>
                <w:szCs w:val="20"/>
                <w:color w:val="auto"/>
              </w:rPr>
            </w:pPr>
            <w:r>
              <w:rPr>
                <w:rFonts w:ascii="Arial" w:cs="Arial" w:eastAsia="Arial" w:hAnsi="Arial"/>
                <w:sz w:val="16"/>
                <w:szCs w:val="16"/>
                <w:color w:val="auto"/>
              </w:rPr>
              <w:t>Motors Company</w:t>
            </w:r>
          </w:p>
        </w:tc>
        <w:tc>
          <w:tcPr>
            <w:tcW w:w="1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80" w:type="dxa"/>
            <w:vAlign w:val="bottom"/>
          </w:tcPr>
          <w:p>
            <w:pPr>
              <w:ind w:left="20"/>
              <w:spacing w:after="0"/>
              <w:rPr>
                <w:sz w:val="20"/>
                <w:szCs w:val="20"/>
                <w:color w:val="auto"/>
              </w:rPr>
            </w:pPr>
            <w:r>
              <w:rPr>
                <w:rFonts w:ascii="Arial" w:cs="Arial" w:eastAsia="Arial" w:hAnsi="Arial"/>
                <w:sz w:val="16"/>
                <w:szCs w:val="16"/>
                <w:b w:val="1"/>
                <w:bCs w:val="1"/>
                <w:color w:val="08228B"/>
              </w:rPr>
              <w:t>Theodore M. Solso</w:t>
            </w:r>
          </w:p>
        </w:tc>
        <w:tc>
          <w:tcPr>
            <w:tcW w:w="1360" w:type="dxa"/>
            <w:vAlign w:val="bottom"/>
          </w:tcPr>
          <w:p>
            <w:pPr>
              <w:spacing w:after="0"/>
              <w:rPr>
                <w:sz w:val="18"/>
                <w:szCs w:val="18"/>
                <w:color w:val="auto"/>
              </w:rPr>
            </w:pPr>
          </w:p>
        </w:tc>
        <w:tc>
          <w:tcPr>
            <w:tcW w:w="1120" w:type="dxa"/>
            <w:vAlign w:val="bottom"/>
            <w:gridSpan w:val="2"/>
          </w:tcPr>
          <w:p>
            <w:pPr>
              <w:jc w:val="center"/>
              <w:ind w:left="540"/>
              <w:spacing w:after="0"/>
              <w:rPr>
                <w:sz w:val="20"/>
                <w:szCs w:val="20"/>
                <w:color w:val="auto"/>
              </w:rPr>
            </w:pPr>
            <w:r>
              <w:rPr>
                <w:rFonts w:ascii="Arial" w:cs="Arial" w:eastAsia="Arial" w:hAnsi="Arial"/>
                <w:sz w:val="16"/>
                <w:szCs w:val="16"/>
                <w:color w:val="auto"/>
              </w:rPr>
              <w:t>69</w:t>
            </w:r>
          </w:p>
        </w:tc>
        <w:tc>
          <w:tcPr>
            <w:tcW w:w="660" w:type="dxa"/>
            <w:vAlign w:val="bottom"/>
          </w:tcPr>
          <w:p>
            <w:pPr>
              <w:jc w:val="center"/>
              <w:ind w:left="60"/>
              <w:spacing w:after="0"/>
              <w:rPr>
                <w:sz w:val="20"/>
                <w:szCs w:val="20"/>
                <w:color w:val="auto"/>
              </w:rPr>
            </w:pPr>
            <w:r>
              <w:rPr>
                <w:rFonts w:ascii="Arial" w:cs="Arial" w:eastAsia="Arial" w:hAnsi="Arial"/>
                <w:sz w:val="16"/>
                <w:szCs w:val="16"/>
                <w:color w:val="auto"/>
              </w:rPr>
              <w:t>2012</w:t>
            </w: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20" w:type="dxa"/>
            <w:vAlign w:val="bottom"/>
          </w:tcPr>
          <w:p>
            <w:pPr>
              <w:ind w:left="180"/>
              <w:spacing w:after="0"/>
              <w:rPr>
                <w:sz w:val="20"/>
                <w:szCs w:val="20"/>
                <w:color w:val="auto"/>
              </w:rPr>
            </w:pPr>
            <w:r>
              <w:rPr>
                <w:rFonts w:ascii="Arial" w:cs="Arial" w:eastAsia="Arial" w:hAnsi="Arial"/>
                <w:sz w:val="16"/>
                <w:szCs w:val="16"/>
                <w:color w:val="auto"/>
              </w:rPr>
              <w:t>EC</w:t>
            </w: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160" w:type="dxa"/>
            <w:vAlign w:val="bottom"/>
            <w:gridSpan w:val="4"/>
          </w:tcPr>
          <w:p>
            <w:pPr>
              <w:ind w:left="20"/>
              <w:spacing w:after="0"/>
              <w:rPr>
                <w:sz w:val="20"/>
                <w:szCs w:val="20"/>
                <w:color w:val="auto"/>
              </w:rPr>
            </w:pPr>
            <w:r>
              <w:rPr>
                <w:rFonts w:ascii="Arial" w:cs="Arial" w:eastAsia="Arial" w:hAnsi="Arial"/>
                <w:sz w:val="16"/>
                <w:szCs w:val="16"/>
                <w:color w:val="auto"/>
              </w:rPr>
              <w:t>Independent Lead Director, General Motors</w:t>
            </w:r>
          </w:p>
        </w:tc>
        <w:tc>
          <w:tcPr>
            <w:tcW w:w="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160" w:type="dxa"/>
            <w:vAlign w:val="bottom"/>
            <w:gridSpan w:val="4"/>
          </w:tcPr>
          <w:p>
            <w:pPr>
              <w:ind w:left="20"/>
              <w:spacing w:after="0"/>
              <w:rPr>
                <w:sz w:val="20"/>
                <w:szCs w:val="20"/>
                <w:color w:val="auto"/>
              </w:rPr>
            </w:pPr>
            <w:r>
              <w:rPr>
                <w:rFonts w:ascii="Arial" w:cs="Arial" w:eastAsia="Arial" w:hAnsi="Arial"/>
                <w:sz w:val="16"/>
                <w:szCs w:val="16"/>
                <w:color w:val="auto"/>
              </w:rPr>
              <w:t>Company, and Retired Chairman and Chief</w:t>
            </w:r>
          </w:p>
        </w:tc>
        <w:tc>
          <w:tcPr>
            <w:tcW w:w="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40" w:type="dxa"/>
            <w:vAlign w:val="bottom"/>
            <w:gridSpan w:val="2"/>
          </w:tcPr>
          <w:p>
            <w:pPr>
              <w:ind w:left="20"/>
              <w:spacing w:after="0"/>
              <w:rPr>
                <w:sz w:val="20"/>
                <w:szCs w:val="20"/>
                <w:color w:val="auto"/>
              </w:rPr>
            </w:pPr>
            <w:r>
              <w:rPr>
                <w:rFonts w:ascii="Arial" w:cs="Arial" w:eastAsia="Arial" w:hAnsi="Arial"/>
                <w:sz w:val="16"/>
                <w:szCs w:val="16"/>
                <w:color w:val="auto"/>
              </w:rPr>
              <w:t>Executive Officer, Cummins, Inc.</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7"/>
        </w:trPr>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168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gridSpan w:val="2"/>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1"/>
        </w:trPr>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80" w:type="dxa"/>
            <w:vAlign w:val="bottom"/>
          </w:tcPr>
          <w:p>
            <w:pPr>
              <w:ind w:left="20"/>
              <w:spacing w:after="0"/>
              <w:rPr>
                <w:sz w:val="20"/>
                <w:szCs w:val="20"/>
                <w:color w:val="auto"/>
              </w:rPr>
            </w:pPr>
            <w:r>
              <w:rPr>
                <w:rFonts w:ascii="Arial" w:cs="Arial" w:eastAsia="Arial" w:hAnsi="Arial"/>
                <w:sz w:val="16"/>
                <w:szCs w:val="16"/>
                <w:b w:val="1"/>
                <w:bCs w:val="1"/>
                <w:color w:val="08228B"/>
              </w:rPr>
              <w:t>Joseph J. Ashton</w:t>
            </w:r>
          </w:p>
        </w:tc>
        <w:tc>
          <w:tcPr>
            <w:tcW w:w="1360" w:type="dxa"/>
            <w:vAlign w:val="bottom"/>
          </w:tcPr>
          <w:p>
            <w:pPr>
              <w:spacing w:after="0"/>
              <w:rPr>
                <w:sz w:val="18"/>
                <w:szCs w:val="18"/>
                <w:color w:val="auto"/>
              </w:rPr>
            </w:pPr>
          </w:p>
        </w:tc>
        <w:tc>
          <w:tcPr>
            <w:tcW w:w="1120" w:type="dxa"/>
            <w:vAlign w:val="bottom"/>
            <w:gridSpan w:val="2"/>
          </w:tcPr>
          <w:p>
            <w:pPr>
              <w:jc w:val="center"/>
              <w:ind w:left="540"/>
              <w:spacing w:after="0"/>
              <w:rPr>
                <w:sz w:val="20"/>
                <w:szCs w:val="20"/>
                <w:color w:val="auto"/>
              </w:rPr>
            </w:pPr>
            <w:r>
              <w:rPr>
                <w:rFonts w:ascii="Arial" w:cs="Arial" w:eastAsia="Arial" w:hAnsi="Arial"/>
                <w:sz w:val="16"/>
                <w:szCs w:val="16"/>
                <w:color w:val="auto"/>
              </w:rPr>
              <w:t>67</w:t>
            </w:r>
          </w:p>
        </w:tc>
        <w:tc>
          <w:tcPr>
            <w:tcW w:w="660" w:type="dxa"/>
            <w:vAlign w:val="bottom"/>
          </w:tcPr>
          <w:p>
            <w:pPr>
              <w:jc w:val="center"/>
              <w:ind w:left="60"/>
              <w:spacing w:after="0"/>
              <w:rPr>
                <w:sz w:val="20"/>
                <w:szCs w:val="20"/>
                <w:color w:val="auto"/>
              </w:rPr>
            </w:pPr>
            <w:r>
              <w:rPr>
                <w:rFonts w:ascii="Arial" w:cs="Arial" w:eastAsia="Arial" w:hAnsi="Arial"/>
                <w:sz w:val="16"/>
                <w:szCs w:val="16"/>
                <w:color w:val="auto"/>
              </w:rPr>
              <w:t>2014</w:t>
            </w: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20" w:type="dxa"/>
            <w:vAlign w:val="bottom"/>
          </w:tcPr>
          <w:p>
            <w:pPr>
              <w:ind w:left="180"/>
              <w:spacing w:after="0"/>
              <w:rPr>
                <w:sz w:val="20"/>
                <w:szCs w:val="20"/>
                <w:color w:val="auto"/>
              </w:rPr>
            </w:pPr>
            <w:r>
              <w:rPr>
                <w:rFonts w:ascii="Arial" w:cs="Arial" w:eastAsia="Arial" w:hAnsi="Arial"/>
                <w:sz w:val="16"/>
                <w:szCs w:val="16"/>
                <w:color w:val="auto"/>
              </w:rPr>
              <w:t>FC, RC</w:t>
            </w: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160" w:type="dxa"/>
            <w:vAlign w:val="bottom"/>
            <w:gridSpan w:val="4"/>
          </w:tcPr>
          <w:p>
            <w:pPr>
              <w:ind w:left="20"/>
              <w:spacing w:after="0"/>
              <w:rPr>
                <w:sz w:val="20"/>
                <w:szCs w:val="20"/>
                <w:color w:val="auto"/>
              </w:rPr>
            </w:pPr>
            <w:r>
              <w:rPr>
                <w:rFonts w:ascii="Arial" w:cs="Arial" w:eastAsia="Arial" w:hAnsi="Arial"/>
                <w:sz w:val="16"/>
                <w:szCs w:val="16"/>
                <w:color w:val="auto"/>
              </w:rPr>
              <w:t>Retired Vice President, United Auto Workers</w:t>
            </w:r>
          </w:p>
        </w:tc>
        <w:tc>
          <w:tcPr>
            <w:tcW w:w="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65"/>
        </w:trPr>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80" w:type="dxa"/>
            <w:vAlign w:val="bottom"/>
          </w:tcPr>
          <w:p>
            <w:pPr>
              <w:ind w:left="20"/>
              <w:spacing w:after="0"/>
              <w:rPr>
                <w:sz w:val="20"/>
                <w:szCs w:val="20"/>
                <w:color w:val="auto"/>
              </w:rPr>
            </w:pPr>
            <w:r>
              <w:rPr>
                <w:rFonts w:ascii="Arial" w:cs="Arial" w:eastAsia="Arial" w:hAnsi="Arial"/>
                <w:sz w:val="16"/>
                <w:szCs w:val="16"/>
                <w:b w:val="1"/>
                <w:bCs w:val="1"/>
                <w:color w:val="08228B"/>
              </w:rPr>
              <w:t>Linda R. Gooden</w:t>
            </w:r>
          </w:p>
        </w:tc>
        <w:tc>
          <w:tcPr>
            <w:tcW w:w="1360" w:type="dxa"/>
            <w:vAlign w:val="bottom"/>
          </w:tcPr>
          <w:p>
            <w:pPr>
              <w:spacing w:after="0"/>
              <w:rPr>
                <w:sz w:val="18"/>
                <w:szCs w:val="18"/>
                <w:color w:val="auto"/>
              </w:rPr>
            </w:pPr>
          </w:p>
        </w:tc>
        <w:tc>
          <w:tcPr>
            <w:tcW w:w="1120" w:type="dxa"/>
            <w:vAlign w:val="bottom"/>
            <w:gridSpan w:val="2"/>
          </w:tcPr>
          <w:p>
            <w:pPr>
              <w:jc w:val="center"/>
              <w:ind w:left="540"/>
              <w:spacing w:after="0"/>
              <w:rPr>
                <w:sz w:val="20"/>
                <w:szCs w:val="20"/>
                <w:color w:val="auto"/>
              </w:rPr>
            </w:pPr>
            <w:r>
              <w:rPr>
                <w:rFonts w:ascii="Arial" w:cs="Arial" w:eastAsia="Arial" w:hAnsi="Arial"/>
                <w:sz w:val="16"/>
                <w:szCs w:val="16"/>
                <w:color w:val="auto"/>
              </w:rPr>
              <w:t>63</w:t>
            </w:r>
          </w:p>
        </w:tc>
        <w:tc>
          <w:tcPr>
            <w:tcW w:w="660" w:type="dxa"/>
            <w:vAlign w:val="bottom"/>
          </w:tcPr>
          <w:p>
            <w:pPr>
              <w:jc w:val="center"/>
              <w:ind w:left="60"/>
              <w:spacing w:after="0"/>
              <w:rPr>
                <w:sz w:val="20"/>
                <w:szCs w:val="20"/>
                <w:color w:val="auto"/>
              </w:rPr>
            </w:pPr>
            <w:r>
              <w:rPr>
                <w:rFonts w:ascii="Arial" w:cs="Arial" w:eastAsia="Arial" w:hAnsi="Arial"/>
                <w:sz w:val="16"/>
                <w:szCs w:val="16"/>
                <w:color w:val="auto"/>
              </w:rPr>
              <w:t>2015</w:t>
            </w: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20" w:type="dxa"/>
            <w:vAlign w:val="bottom"/>
          </w:tcPr>
          <w:p>
            <w:pPr>
              <w:ind w:left="180"/>
              <w:spacing w:after="0"/>
              <w:rPr>
                <w:sz w:val="20"/>
                <w:szCs w:val="20"/>
                <w:color w:val="auto"/>
              </w:rPr>
            </w:pPr>
            <w:r>
              <w:rPr>
                <w:rFonts w:ascii="Arial" w:cs="Arial" w:eastAsia="Arial" w:hAnsi="Arial"/>
                <w:sz w:val="16"/>
                <w:szCs w:val="16"/>
                <w:color w:val="auto"/>
              </w:rPr>
              <w:t>AC, RC</w:t>
            </w: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160" w:type="dxa"/>
            <w:vAlign w:val="bottom"/>
            <w:gridSpan w:val="4"/>
          </w:tcPr>
          <w:p>
            <w:pPr>
              <w:ind w:left="20"/>
              <w:spacing w:after="0"/>
              <w:rPr>
                <w:sz w:val="20"/>
                <w:szCs w:val="20"/>
                <w:color w:val="auto"/>
              </w:rPr>
            </w:pPr>
            <w:r>
              <w:rPr>
                <w:rFonts w:ascii="Arial" w:cs="Arial" w:eastAsia="Arial" w:hAnsi="Arial"/>
                <w:sz w:val="16"/>
                <w:szCs w:val="16"/>
                <w:color w:val="auto"/>
              </w:rPr>
              <w:t>Retired Executive Vice President, Information</w:t>
            </w:r>
          </w:p>
        </w:tc>
        <w:tc>
          <w:tcPr>
            <w:tcW w:w="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160" w:type="dxa"/>
            <w:vAlign w:val="bottom"/>
            <w:gridSpan w:val="4"/>
          </w:tcPr>
          <w:p>
            <w:pPr>
              <w:ind w:left="20"/>
              <w:spacing w:after="0"/>
              <w:rPr>
                <w:sz w:val="20"/>
                <w:szCs w:val="20"/>
                <w:color w:val="auto"/>
              </w:rPr>
            </w:pPr>
            <w:r>
              <w:rPr>
                <w:rFonts w:ascii="Arial" w:cs="Arial" w:eastAsia="Arial" w:hAnsi="Arial"/>
                <w:sz w:val="16"/>
                <w:szCs w:val="16"/>
                <w:color w:val="auto"/>
              </w:rPr>
              <w:t>Systems &amp; Global Solutions, Lockheed Martin</w:t>
            </w:r>
          </w:p>
        </w:tc>
        <w:tc>
          <w:tcPr>
            <w:tcW w:w="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80" w:type="dxa"/>
            <w:vAlign w:val="bottom"/>
          </w:tcPr>
          <w:p>
            <w:pPr>
              <w:ind w:left="20"/>
              <w:spacing w:after="0"/>
              <w:rPr>
                <w:sz w:val="20"/>
                <w:szCs w:val="20"/>
                <w:color w:val="auto"/>
              </w:rPr>
            </w:pPr>
            <w:r>
              <w:rPr>
                <w:rFonts w:ascii="Arial" w:cs="Arial" w:eastAsia="Arial" w:hAnsi="Arial"/>
                <w:sz w:val="16"/>
                <w:szCs w:val="16"/>
                <w:color w:val="auto"/>
              </w:rPr>
              <w:t>Corporation</w:t>
            </w:r>
          </w:p>
        </w:tc>
        <w:tc>
          <w:tcPr>
            <w:tcW w:w="1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68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gridSpan w:val="2"/>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1"/>
        </w:trPr>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80" w:type="dxa"/>
            <w:vAlign w:val="bottom"/>
          </w:tcPr>
          <w:p>
            <w:pPr>
              <w:ind w:left="20"/>
              <w:spacing w:after="0"/>
              <w:rPr>
                <w:sz w:val="20"/>
                <w:szCs w:val="20"/>
                <w:color w:val="auto"/>
              </w:rPr>
            </w:pPr>
            <w:r>
              <w:rPr>
                <w:rFonts w:ascii="Arial" w:cs="Arial" w:eastAsia="Arial" w:hAnsi="Arial"/>
                <w:sz w:val="16"/>
                <w:szCs w:val="16"/>
                <w:b w:val="1"/>
                <w:bCs w:val="1"/>
                <w:color w:val="08228B"/>
              </w:rPr>
              <w:t>Joseph Jimenez</w:t>
            </w:r>
          </w:p>
        </w:tc>
        <w:tc>
          <w:tcPr>
            <w:tcW w:w="1360" w:type="dxa"/>
            <w:vAlign w:val="bottom"/>
          </w:tcPr>
          <w:p>
            <w:pPr>
              <w:spacing w:after="0"/>
              <w:rPr>
                <w:sz w:val="18"/>
                <w:szCs w:val="18"/>
                <w:color w:val="auto"/>
              </w:rPr>
            </w:pPr>
          </w:p>
        </w:tc>
        <w:tc>
          <w:tcPr>
            <w:tcW w:w="1120" w:type="dxa"/>
            <w:vAlign w:val="bottom"/>
            <w:gridSpan w:val="2"/>
          </w:tcPr>
          <w:p>
            <w:pPr>
              <w:jc w:val="center"/>
              <w:ind w:left="540"/>
              <w:spacing w:after="0"/>
              <w:rPr>
                <w:sz w:val="20"/>
                <w:szCs w:val="20"/>
                <w:color w:val="auto"/>
              </w:rPr>
            </w:pPr>
            <w:r>
              <w:rPr>
                <w:rFonts w:ascii="Arial" w:cs="Arial" w:eastAsia="Arial" w:hAnsi="Arial"/>
                <w:sz w:val="16"/>
                <w:szCs w:val="16"/>
                <w:color w:val="auto"/>
              </w:rPr>
              <w:t>56</w:t>
            </w:r>
          </w:p>
        </w:tc>
        <w:tc>
          <w:tcPr>
            <w:tcW w:w="660" w:type="dxa"/>
            <w:vAlign w:val="bottom"/>
          </w:tcPr>
          <w:p>
            <w:pPr>
              <w:jc w:val="center"/>
              <w:ind w:left="60"/>
              <w:spacing w:after="0"/>
              <w:rPr>
                <w:sz w:val="20"/>
                <w:szCs w:val="20"/>
                <w:color w:val="auto"/>
              </w:rPr>
            </w:pPr>
            <w:r>
              <w:rPr>
                <w:rFonts w:ascii="Arial" w:cs="Arial" w:eastAsia="Arial" w:hAnsi="Arial"/>
                <w:sz w:val="16"/>
                <w:szCs w:val="16"/>
                <w:color w:val="auto"/>
              </w:rPr>
              <w:t>2015</w:t>
            </w: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20" w:type="dxa"/>
            <w:vAlign w:val="bottom"/>
          </w:tcPr>
          <w:p>
            <w:pPr>
              <w:ind w:left="180"/>
              <w:spacing w:after="0"/>
              <w:rPr>
                <w:sz w:val="20"/>
                <w:szCs w:val="20"/>
                <w:color w:val="auto"/>
              </w:rPr>
            </w:pPr>
            <w:r>
              <w:rPr>
                <w:rFonts w:ascii="Arial" w:cs="Arial" w:eastAsia="Arial" w:hAnsi="Arial"/>
                <w:sz w:val="16"/>
                <w:szCs w:val="16"/>
                <w:color w:val="auto"/>
              </w:rPr>
              <w:t>ECC, GCRC</w:t>
            </w: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40" w:type="dxa"/>
            <w:vAlign w:val="bottom"/>
            <w:gridSpan w:val="2"/>
          </w:tcPr>
          <w:p>
            <w:pPr>
              <w:ind w:left="20"/>
              <w:spacing w:after="0"/>
              <w:rPr>
                <w:sz w:val="20"/>
                <w:szCs w:val="20"/>
                <w:color w:val="auto"/>
              </w:rPr>
            </w:pPr>
            <w:r>
              <w:rPr>
                <w:rFonts w:ascii="Arial" w:cs="Arial" w:eastAsia="Arial" w:hAnsi="Arial"/>
                <w:sz w:val="16"/>
                <w:szCs w:val="16"/>
                <w:color w:val="auto"/>
              </w:rPr>
              <w:t>Chief Executive Officer, Novartis AG</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2"/>
        </w:trPr>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80" w:type="dxa"/>
            <w:vAlign w:val="bottom"/>
          </w:tcPr>
          <w:p>
            <w:pPr>
              <w:ind w:left="20"/>
              <w:spacing w:after="0"/>
              <w:rPr>
                <w:sz w:val="20"/>
                <w:szCs w:val="20"/>
                <w:color w:val="auto"/>
              </w:rPr>
            </w:pPr>
            <w:r>
              <w:rPr>
                <w:rFonts w:ascii="Arial" w:cs="Arial" w:eastAsia="Arial" w:hAnsi="Arial"/>
                <w:sz w:val="16"/>
                <w:szCs w:val="16"/>
                <w:b w:val="1"/>
                <w:bCs w:val="1"/>
                <w:color w:val="08228B"/>
              </w:rPr>
              <w:t>Kathryn V. Marinello</w:t>
            </w:r>
          </w:p>
        </w:tc>
        <w:tc>
          <w:tcPr>
            <w:tcW w:w="1360" w:type="dxa"/>
            <w:vAlign w:val="bottom"/>
          </w:tcPr>
          <w:p>
            <w:pPr>
              <w:spacing w:after="0"/>
              <w:rPr>
                <w:sz w:val="18"/>
                <w:szCs w:val="18"/>
                <w:color w:val="auto"/>
              </w:rPr>
            </w:pPr>
          </w:p>
        </w:tc>
        <w:tc>
          <w:tcPr>
            <w:tcW w:w="1120" w:type="dxa"/>
            <w:vAlign w:val="bottom"/>
            <w:gridSpan w:val="2"/>
          </w:tcPr>
          <w:p>
            <w:pPr>
              <w:jc w:val="center"/>
              <w:ind w:left="540"/>
              <w:spacing w:after="0"/>
              <w:rPr>
                <w:sz w:val="20"/>
                <w:szCs w:val="20"/>
                <w:color w:val="auto"/>
              </w:rPr>
            </w:pPr>
            <w:r>
              <w:rPr>
                <w:rFonts w:ascii="Arial" w:cs="Arial" w:eastAsia="Arial" w:hAnsi="Arial"/>
                <w:sz w:val="16"/>
                <w:szCs w:val="16"/>
                <w:color w:val="auto"/>
              </w:rPr>
              <w:t>59</w:t>
            </w:r>
          </w:p>
        </w:tc>
        <w:tc>
          <w:tcPr>
            <w:tcW w:w="660" w:type="dxa"/>
            <w:vAlign w:val="bottom"/>
          </w:tcPr>
          <w:p>
            <w:pPr>
              <w:jc w:val="center"/>
              <w:ind w:left="60"/>
              <w:spacing w:after="0"/>
              <w:rPr>
                <w:sz w:val="20"/>
                <w:szCs w:val="20"/>
                <w:color w:val="auto"/>
              </w:rPr>
            </w:pPr>
            <w:r>
              <w:rPr>
                <w:rFonts w:ascii="Arial" w:cs="Arial" w:eastAsia="Arial" w:hAnsi="Arial"/>
                <w:sz w:val="16"/>
                <w:szCs w:val="16"/>
                <w:color w:val="auto"/>
              </w:rPr>
              <w:t>2009</w:t>
            </w: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20" w:type="dxa"/>
            <w:vAlign w:val="bottom"/>
          </w:tcPr>
          <w:p>
            <w:pPr>
              <w:ind w:left="180"/>
              <w:spacing w:after="0"/>
              <w:rPr>
                <w:sz w:val="20"/>
                <w:szCs w:val="20"/>
                <w:color w:val="auto"/>
              </w:rPr>
            </w:pPr>
            <w:r>
              <w:rPr>
                <w:rFonts w:ascii="Arial" w:cs="Arial" w:eastAsia="Arial" w:hAnsi="Arial"/>
                <w:sz w:val="16"/>
                <w:szCs w:val="16"/>
                <w:color w:val="auto"/>
              </w:rPr>
              <w:t>AC, GCRC,</w:t>
            </w: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40" w:type="dxa"/>
            <w:vAlign w:val="bottom"/>
            <w:gridSpan w:val="2"/>
          </w:tcPr>
          <w:p>
            <w:pPr>
              <w:ind w:left="20"/>
              <w:spacing w:after="0"/>
              <w:rPr>
                <w:sz w:val="20"/>
                <w:szCs w:val="20"/>
                <w:color w:val="auto"/>
              </w:rPr>
            </w:pPr>
            <w:r>
              <w:rPr>
                <w:rFonts w:ascii="Arial" w:cs="Arial" w:eastAsia="Arial" w:hAnsi="Arial"/>
                <w:sz w:val="16"/>
                <w:szCs w:val="16"/>
                <w:color w:val="auto"/>
              </w:rPr>
              <w:t>Senior Advisor, Ares Management LLC</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320" w:type="dxa"/>
            <w:vAlign w:val="bottom"/>
          </w:tcPr>
          <w:p>
            <w:pPr>
              <w:ind w:left="180"/>
              <w:spacing w:after="0"/>
              <w:rPr>
                <w:sz w:val="20"/>
                <w:szCs w:val="20"/>
                <w:color w:val="auto"/>
              </w:rPr>
            </w:pPr>
            <w:r>
              <w:rPr>
                <w:rFonts w:ascii="Arial" w:cs="Arial" w:eastAsia="Arial" w:hAnsi="Arial"/>
                <w:sz w:val="16"/>
                <w:szCs w:val="16"/>
                <w:color w:val="auto"/>
              </w:rPr>
              <w:t>FC</w:t>
            </w: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8"/>
        </w:trPr>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80" w:type="dxa"/>
            <w:vAlign w:val="bottom"/>
          </w:tcPr>
          <w:p>
            <w:pPr>
              <w:ind w:left="20"/>
              <w:spacing w:after="0"/>
              <w:rPr>
                <w:sz w:val="20"/>
                <w:szCs w:val="20"/>
                <w:color w:val="auto"/>
              </w:rPr>
            </w:pPr>
            <w:r>
              <w:rPr>
                <w:rFonts w:ascii="Arial" w:cs="Arial" w:eastAsia="Arial" w:hAnsi="Arial"/>
                <w:sz w:val="16"/>
                <w:szCs w:val="16"/>
                <w:b w:val="1"/>
                <w:bCs w:val="1"/>
                <w:color w:val="08228B"/>
              </w:rPr>
              <w:t>Jane L. Mendillo</w:t>
            </w:r>
          </w:p>
        </w:tc>
        <w:tc>
          <w:tcPr>
            <w:tcW w:w="1360" w:type="dxa"/>
            <w:vAlign w:val="bottom"/>
          </w:tcPr>
          <w:p>
            <w:pPr>
              <w:spacing w:after="0"/>
              <w:rPr>
                <w:sz w:val="18"/>
                <w:szCs w:val="18"/>
                <w:color w:val="auto"/>
              </w:rPr>
            </w:pPr>
          </w:p>
        </w:tc>
        <w:tc>
          <w:tcPr>
            <w:tcW w:w="1120" w:type="dxa"/>
            <w:vAlign w:val="bottom"/>
            <w:gridSpan w:val="2"/>
          </w:tcPr>
          <w:p>
            <w:pPr>
              <w:jc w:val="center"/>
              <w:ind w:left="540"/>
              <w:spacing w:after="0"/>
              <w:rPr>
                <w:sz w:val="20"/>
                <w:szCs w:val="20"/>
                <w:color w:val="auto"/>
              </w:rPr>
            </w:pPr>
            <w:r>
              <w:rPr>
                <w:rFonts w:ascii="Arial" w:cs="Arial" w:eastAsia="Arial" w:hAnsi="Arial"/>
                <w:sz w:val="16"/>
                <w:szCs w:val="16"/>
                <w:color w:val="auto"/>
              </w:rPr>
              <w:t>57</w:t>
            </w:r>
          </w:p>
        </w:tc>
        <w:tc>
          <w:tcPr>
            <w:tcW w:w="660" w:type="dxa"/>
            <w:vAlign w:val="bottom"/>
          </w:tcPr>
          <w:p>
            <w:pPr>
              <w:jc w:val="center"/>
              <w:ind w:left="60"/>
              <w:spacing w:after="0"/>
              <w:rPr>
                <w:sz w:val="20"/>
                <w:szCs w:val="20"/>
                <w:color w:val="auto"/>
              </w:rPr>
            </w:pPr>
            <w:r>
              <w:rPr>
                <w:rFonts w:ascii="Arial" w:cs="Arial" w:eastAsia="Arial" w:hAnsi="Arial"/>
                <w:sz w:val="16"/>
                <w:szCs w:val="16"/>
                <w:color w:val="auto"/>
                <w:w w:val="99"/>
              </w:rPr>
              <w:t>—</w:t>
            </w: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20" w:type="dxa"/>
            <w:vAlign w:val="bottom"/>
          </w:tcPr>
          <w:p>
            <w:pPr>
              <w:ind w:lef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160" w:type="dxa"/>
            <w:vAlign w:val="bottom"/>
            <w:gridSpan w:val="4"/>
          </w:tcPr>
          <w:p>
            <w:pPr>
              <w:ind w:left="20"/>
              <w:spacing w:after="0"/>
              <w:rPr>
                <w:sz w:val="20"/>
                <w:szCs w:val="20"/>
                <w:color w:val="auto"/>
              </w:rPr>
            </w:pPr>
            <w:r>
              <w:rPr>
                <w:rFonts w:ascii="Arial" w:cs="Arial" w:eastAsia="Arial" w:hAnsi="Arial"/>
                <w:sz w:val="16"/>
                <w:szCs w:val="16"/>
                <w:color w:val="auto"/>
              </w:rPr>
              <w:t>Retired President and Chief Executive Officer,</w:t>
            </w:r>
          </w:p>
        </w:tc>
        <w:tc>
          <w:tcPr>
            <w:tcW w:w="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40" w:type="dxa"/>
            <w:vAlign w:val="bottom"/>
            <w:gridSpan w:val="2"/>
          </w:tcPr>
          <w:p>
            <w:pPr>
              <w:ind w:left="20"/>
              <w:spacing w:after="0"/>
              <w:rPr>
                <w:sz w:val="20"/>
                <w:szCs w:val="20"/>
                <w:color w:val="auto"/>
              </w:rPr>
            </w:pPr>
            <w:r>
              <w:rPr>
                <w:rFonts w:ascii="Arial" w:cs="Arial" w:eastAsia="Arial" w:hAnsi="Arial"/>
                <w:sz w:val="16"/>
                <w:szCs w:val="16"/>
                <w:color w:val="auto"/>
              </w:rPr>
              <w:t>Harvard Management Company</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2"/>
          </w:tcPr>
          <w:p>
            <w:pPr>
              <w:spacing w:after="0"/>
              <w:rPr>
                <w:sz w:val="24"/>
                <w:szCs w:val="24"/>
                <w:color w:val="auto"/>
              </w:rPr>
            </w:pPr>
          </w:p>
        </w:tc>
        <w:tc>
          <w:tcPr>
            <w:tcW w:w="1120" w:type="dxa"/>
            <w:vAlign w:val="bottom"/>
            <w:tcBorders>
              <w:bottom w:val="single" w:sz="8" w:color="auto"/>
            </w:tcBorders>
            <w:gridSpan w:val="2"/>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40" w:type="dxa"/>
            <w:vAlign w:val="bottom"/>
            <w:gridSpan w:val="2"/>
          </w:tcPr>
          <w:p>
            <w:pPr>
              <w:ind w:left="20"/>
              <w:spacing w:after="0"/>
              <w:rPr>
                <w:sz w:val="20"/>
                <w:szCs w:val="20"/>
                <w:color w:val="auto"/>
              </w:rPr>
            </w:pPr>
            <w:r>
              <w:rPr>
                <w:rFonts w:ascii="Arial" w:cs="Arial" w:eastAsia="Arial" w:hAnsi="Arial"/>
                <w:sz w:val="16"/>
                <w:szCs w:val="16"/>
                <w:b w:val="1"/>
                <w:bCs w:val="1"/>
                <w:color w:val="08228B"/>
              </w:rPr>
              <w:t>Admiral Michael G. Mullen</w:t>
            </w:r>
          </w:p>
        </w:tc>
        <w:tc>
          <w:tcPr>
            <w:tcW w:w="1120" w:type="dxa"/>
            <w:vAlign w:val="bottom"/>
            <w:gridSpan w:val="2"/>
          </w:tcPr>
          <w:p>
            <w:pPr>
              <w:jc w:val="center"/>
              <w:ind w:left="540"/>
              <w:spacing w:after="0"/>
              <w:rPr>
                <w:sz w:val="20"/>
                <w:szCs w:val="20"/>
                <w:color w:val="auto"/>
              </w:rPr>
            </w:pPr>
            <w:r>
              <w:rPr>
                <w:rFonts w:ascii="Arial" w:cs="Arial" w:eastAsia="Arial" w:hAnsi="Arial"/>
                <w:sz w:val="16"/>
                <w:szCs w:val="16"/>
                <w:color w:val="auto"/>
              </w:rPr>
              <w:t>69</w:t>
            </w:r>
          </w:p>
        </w:tc>
        <w:tc>
          <w:tcPr>
            <w:tcW w:w="660" w:type="dxa"/>
            <w:vAlign w:val="bottom"/>
          </w:tcPr>
          <w:p>
            <w:pPr>
              <w:jc w:val="center"/>
              <w:ind w:left="60"/>
              <w:spacing w:after="0"/>
              <w:rPr>
                <w:sz w:val="20"/>
                <w:szCs w:val="20"/>
                <w:color w:val="auto"/>
              </w:rPr>
            </w:pPr>
            <w:r>
              <w:rPr>
                <w:rFonts w:ascii="Arial" w:cs="Arial" w:eastAsia="Arial" w:hAnsi="Arial"/>
                <w:sz w:val="16"/>
                <w:szCs w:val="16"/>
                <w:color w:val="auto"/>
              </w:rPr>
              <w:t>2013</w:t>
            </w: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20" w:type="dxa"/>
            <w:vAlign w:val="bottom"/>
          </w:tcPr>
          <w:p>
            <w:pPr>
              <w:ind w:left="180"/>
              <w:spacing w:after="0"/>
              <w:rPr>
                <w:sz w:val="20"/>
                <w:szCs w:val="20"/>
                <w:color w:val="auto"/>
              </w:rPr>
            </w:pPr>
            <w:r>
              <w:rPr>
                <w:rFonts w:ascii="Arial" w:cs="Arial" w:eastAsia="Arial" w:hAnsi="Arial"/>
                <w:sz w:val="16"/>
                <w:szCs w:val="16"/>
                <w:color w:val="auto"/>
              </w:rPr>
              <w:t>AC, EC, RC</w:t>
            </w: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40" w:type="dxa"/>
            <w:vAlign w:val="bottom"/>
            <w:gridSpan w:val="2"/>
          </w:tcPr>
          <w:p>
            <w:pPr>
              <w:ind w:left="20"/>
              <w:spacing w:after="0"/>
              <w:rPr>
                <w:sz w:val="20"/>
                <w:szCs w:val="20"/>
                <w:color w:val="auto"/>
              </w:rPr>
            </w:pPr>
            <w:r>
              <w:rPr>
                <w:rFonts w:ascii="Arial" w:cs="Arial" w:eastAsia="Arial" w:hAnsi="Arial"/>
                <w:sz w:val="16"/>
                <w:szCs w:val="16"/>
                <w:color w:val="auto"/>
              </w:rPr>
              <w:t>Former Chairman, Joint Chiefs of Staff</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320" w:type="dxa"/>
            <w:vAlign w:val="bottom"/>
          </w:tcPr>
          <w:p>
            <w:pPr>
              <w:ind w:left="180"/>
              <w:spacing w:after="0"/>
              <w:rPr>
                <w:sz w:val="20"/>
                <w:szCs w:val="20"/>
                <w:color w:val="auto"/>
              </w:rPr>
            </w:pPr>
            <w:r>
              <w:rPr>
                <w:rFonts w:ascii="Arial" w:cs="Arial" w:eastAsia="Arial" w:hAnsi="Arial"/>
                <w:sz w:val="16"/>
                <w:szCs w:val="16"/>
                <w:color w:val="auto"/>
              </w:rPr>
              <w:t>(Chair)</w:t>
            </w: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2"/>
        </w:trPr>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80" w:type="dxa"/>
            <w:vAlign w:val="bottom"/>
          </w:tcPr>
          <w:p>
            <w:pPr>
              <w:ind w:left="20"/>
              <w:spacing w:after="0"/>
              <w:rPr>
                <w:sz w:val="20"/>
                <w:szCs w:val="20"/>
                <w:color w:val="auto"/>
              </w:rPr>
            </w:pPr>
            <w:r>
              <w:rPr>
                <w:rFonts w:ascii="Arial" w:cs="Arial" w:eastAsia="Arial" w:hAnsi="Arial"/>
                <w:sz w:val="16"/>
                <w:szCs w:val="16"/>
                <w:b w:val="1"/>
                <w:bCs w:val="1"/>
                <w:color w:val="08228B"/>
              </w:rPr>
              <w:t>James J. Mulva</w:t>
            </w:r>
          </w:p>
        </w:tc>
        <w:tc>
          <w:tcPr>
            <w:tcW w:w="1360" w:type="dxa"/>
            <w:vAlign w:val="bottom"/>
          </w:tcPr>
          <w:p>
            <w:pPr>
              <w:spacing w:after="0"/>
              <w:rPr>
                <w:sz w:val="18"/>
                <w:szCs w:val="18"/>
                <w:color w:val="auto"/>
              </w:rPr>
            </w:pPr>
          </w:p>
        </w:tc>
        <w:tc>
          <w:tcPr>
            <w:tcW w:w="1120" w:type="dxa"/>
            <w:vAlign w:val="bottom"/>
            <w:gridSpan w:val="2"/>
          </w:tcPr>
          <w:p>
            <w:pPr>
              <w:jc w:val="center"/>
              <w:ind w:left="540"/>
              <w:spacing w:after="0"/>
              <w:rPr>
                <w:sz w:val="20"/>
                <w:szCs w:val="20"/>
                <w:color w:val="auto"/>
              </w:rPr>
            </w:pPr>
            <w:r>
              <w:rPr>
                <w:rFonts w:ascii="Arial" w:cs="Arial" w:eastAsia="Arial" w:hAnsi="Arial"/>
                <w:sz w:val="16"/>
                <w:szCs w:val="16"/>
                <w:color w:val="auto"/>
              </w:rPr>
              <w:t>69</w:t>
            </w:r>
          </w:p>
        </w:tc>
        <w:tc>
          <w:tcPr>
            <w:tcW w:w="660" w:type="dxa"/>
            <w:vAlign w:val="bottom"/>
          </w:tcPr>
          <w:p>
            <w:pPr>
              <w:jc w:val="center"/>
              <w:ind w:left="60"/>
              <w:spacing w:after="0"/>
              <w:rPr>
                <w:sz w:val="20"/>
                <w:szCs w:val="20"/>
                <w:color w:val="auto"/>
              </w:rPr>
            </w:pPr>
            <w:r>
              <w:rPr>
                <w:rFonts w:ascii="Arial" w:cs="Arial" w:eastAsia="Arial" w:hAnsi="Arial"/>
                <w:sz w:val="16"/>
                <w:szCs w:val="16"/>
                <w:color w:val="auto"/>
              </w:rPr>
              <w:t>2012</w:t>
            </w: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20" w:type="dxa"/>
            <w:vAlign w:val="bottom"/>
          </w:tcPr>
          <w:p>
            <w:pPr>
              <w:ind w:left="180"/>
              <w:spacing w:after="0"/>
              <w:rPr>
                <w:sz w:val="20"/>
                <w:szCs w:val="20"/>
                <w:color w:val="auto"/>
              </w:rPr>
            </w:pPr>
            <w:r>
              <w:rPr>
                <w:rFonts w:ascii="Arial" w:cs="Arial" w:eastAsia="Arial" w:hAnsi="Arial"/>
                <w:sz w:val="16"/>
                <w:szCs w:val="16"/>
                <w:color w:val="auto"/>
              </w:rPr>
              <w:t>EC, ECC, FC</w:t>
            </w: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160" w:type="dxa"/>
            <w:vAlign w:val="bottom"/>
            <w:gridSpan w:val="4"/>
          </w:tcPr>
          <w:p>
            <w:pPr>
              <w:ind w:left="20"/>
              <w:spacing w:after="0"/>
              <w:rPr>
                <w:sz w:val="20"/>
                <w:szCs w:val="20"/>
                <w:color w:val="auto"/>
              </w:rPr>
            </w:pPr>
            <w:r>
              <w:rPr>
                <w:rFonts w:ascii="Arial" w:cs="Arial" w:eastAsia="Arial" w:hAnsi="Arial"/>
                <w:sz w:val="16"/>
                <w:szCs w:val="16"/>
                <w:color w:val="auto"/>
              </w:rPr>
              <w:t>Retired Chairman and Chief Executive Officer,</w:t>
            </w:r>
          </w:p>
        </w:tc>
        <w:tc>
          <w:tcPr>
            <w:tcW w:w="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320" w:type="dxa"/>
            <w:vAlign w:val="bottom"/>
          </w:tcPr>
          <w:p>
            <w:pPr>
              <w:ind w:left="180"/>
              <w:spacing w:after="0"/>
              <w:rPr>
                <w:sz w:val="20"/>
                <w:szCs w:val="20"/>
                <w:color w:val="auto"/>
              </w:rPr>
            </w:pPr>
            <w:r>
              <w:rPr>
                <w:rFonts w:ascii="Arial" w:cs="Arial" w:eastAsia="Arial" w:hAnsi="Arial"/>
                <w:sz w:val="16"/>
                <w:szCs w:val="16"/>
                <w:color w:val="auto"/>
              </w:rPr>
              <w:t>(Chair), RC</w:t>
            </w: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80" w:type="dxa"/>
            <w:vAlign w:val="bottom"/>
          </w:tcPr>
          <w:p>
            <w:pPr>
              <w:ind w:left="20"/>
              <w:spacing w:after="0"/>
              <w:rPr>
                <w:sz w:val="20"/>
                <w:szCs w:val="20"/>
                <w:color w:val="auto"/>
              </w:rPr>
            </w:pPr>
            <w:r>
              <w:rPr>
                <w:rFonts w:ascii="Arial" w:cs="Arial" w:eastAsia="Arial" w:hAnsi="Arial"/>
                <w:sz w:val="16"/>
                <w:szCs w:val="16"/>
                <w:color w:val="auto"/>
              </w:rPr>
              <w:t>ConocoPhillips</w:t>
            </w:r>
          </w:p>
        </w:tc>
        <w:tc>
          <w:tcPr>
            <w:tcW w:w="1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2"/>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80" w:type="dxa"/>
            <w:vAlign w:val="bottom"/>
          </w:tcPr>
          <w:p>
            <w:pPr>
              <w:ind w:left="20"/>
              <w:spacing w:after="0"/>
              <w:rPr>
                <w:sz w:val="20"/>
                <w:szCs w:val="20"/>
                <w:color w:val="auto"/>
              </w:rPr>
            </w:pPr>
            <w:r>
              <w:rPr>
                <w:rFonts w:ascii="Arial" w:cs="Arial" w:eastAsia="Arial" w:hAnsi="Arial"/>
                <w:sz w:val="16"/>
                <w:szCs w:val="16"/>
                <w:b w:val="1"/>
                <w:bCs w:val="1"/>
                <w:color w:val="08228B"/>
              </w:rPr>
              <w:t>Patricia F. Russo</w:t>
            </w:r>
          </w:p>
        </w:tc>
        <w:tc>
          <w:tcPr>
            <w:tcW w:w="1360" w:type="dxa"/>
            <w:vAlign w:val="bottom"/>
          </w:tcPr>
          <w:p>
            <w:pPr>
              <w:spacing w:after="0"/>
              <w:rPr>
                <w:sz w:val="18"/>
                <w:szCs w:val="18"/>
                <w:color w:val="auto"/>
              </w:rPr>
            </w:pPr>
          </w:p>
        </w:tc>
        <w:tc>
          <w:tcPr>
            <w:tcW w:w="1120" w:type="dxa"/>
            <w:vAlign w:val="bottom"/>
            <w:gridSpan w:val="2"/>
          </w:tcPr>
          <w:p>
            <w:pPr>
              <w:jc w:val="center"/>
              <w:ind w:left="540"/>
              <w:spacing w:after="0"/>
              <w:rPr>
                <w:sz w:val="20"/>
                <w:szCs w:val="20"/>
                <w:color w:val="auto"/>
              </w:rPr>
            </w:pPr>
            <w:r>
              <w:rPr>
                <w:rFonts w:ascii="Arial" w:cs="Arial" w:eastAsia="Arial" w:hAnsi="Arial"/>
                <w:sz w:val="16"/>
                <w:szCs w:val="16"/>
                <w:color w:val="auto"/>
              </w:rPr>
              <w:t>63</w:t>
            </w:r>
          </w:p>
        </w:tc>
        <w:tc>
          <w:tcPr>
            <w:tcW w:w="660" w:type="dxa"/>
            <w:vAlign w:val="bottom"/>
          </w:tcPr>
          <w:p>
            <w:pPr>
              <w:jc w:val="center"/>
              <w:ind w:left="60"/>
              <w:spacing w:after="0"/>
              <w:rPr>
                <w:sz w:val="20"/>
                <w:szCs w:val="20"/>
                <w:color w:val="auto"/>
              </w:rPr>
            </w:pPr>
            <w:r>
              <w:rPr>
                <w:rFonts w:ascii="Arial" w:cs="Arial" w:eastAsia="Arial" w:hAnsi="Arial"/>
                <w:sz w:val="16"/>
                <w:szCs w:val="16"/>
                <w:color w:val="auto"/>
              </w:rPr>
              <w:t>2009</w:t>
            </w: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20" w:type="dxa"/>
            <w:vAlign w:val="bottom"/>
          </w:tcPr>
          <w:p>
            <w:pPr>
              <w:ind w:left="180"/>
              <w:spacing w:after="0"/>
              <w:rPr>
                <w:sz w:val="20"/>
                <w:szCs w:val="20"/>
                <w:color w:val="auto"/>
              </w:rPr>
            </w:pPr>
            <w:r>
              <w:rPr>
                <w:rFonts w:ascii="Arial" w:cs="Arial" w:eastAsia="Arial" w:hAnsi="Arial"/>
                <w:sz w:val="16"/>
                <w:szCs w:val="16"/>
                <w:color w:val="auto"/>
              </w:rPr>
              <w:t>EC, ECC,</w:t>
            </w: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160" w:type="dxa"/>
            <w:vAlign w:val="bottom"/>
            <w:gridSpan w:val="4"/>
          </w:tcPr>
          <w:p>
            <w:pPr>
              <w:ind w:left="20"/>
              <w:spacing w:after="0"/>
              <w:rPr>
                <w:sz w:val="20"/>
                <w:szCs w:val="20"/>
                <w:color w:val="auto"/>
              </w:rPr>
            </w:pPr>
            <w:r>
              <w:rPr>
                <w:rFonts w:ascii="Arial" w:cs="Arial" w:eastAsia="Arial" w:hAnsi="Arial"/>
                <w:sz w:val="16"/>
                <w:szCs w:val="16"/>
                <w:color w:val="auto"/>
              </w:rPr>
              <w:t>Chairman, Hewlett Packard Enterprise Company</w:t>
            </w:r>
          </w:p>
        </w:tc>
        <w:tc>
          <w:tcPr>
            <w:tcW w:w="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320" w:type="dxa"/>
            <w:vAlign w:val="bottom"/>
          </w:tcPr>
          <w:p>
            <w:pPr>
              <w:ind w:left="180"/>
              <w:spacing w:after="0"/>
              <w:rPr>
                <w:sz w:val="20"/>
                <w:szCs w:val="20"/>
                <w:color w:val="auto"/>
              </w:rPr>
            </w:pPr>
            <w:r>
              <w:rPr>
                <w:rFonts w:ascii="Arial" w:cs="Arial" w:eastAsia="Arial" w:hAnsi="Arial"/>
                <w:sz w:val="16"/>
                <w:szCs w:val="16"/>
                <w:color w:val="auto"/>
              </w:rPr>
              <w:t>FC, GCRC</w:t>
            </w: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320" w:type="dxa"/>
            <w:vAlign w:val="bottom"/>
          </w:tcPr>
          <w:p>
            <w:pPr>
              <w:ind w:left="180"/>
              <w:spacing w:after="0"/>
              <w:rPr>
                <w:sz w:val="20"/>
                <w:szCs w:val="20"/>
                <w:color w:val="auto"/>
              </w:rPr>
            </w:pPr>
            <w:r>
              <w:rPr>
                <w:rFonts w:ascii="Arial" w:cs="Arial" w:eastAsia="Arial" w:hAnsi="Arial"/>
                <w:sz w:val="16"/>
                <w:szCs w:val="16"/>
                <w:color w:val="auto"/>
              </w:rPr>
              <w:t>(Chair)</w:t>
            </w: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2"/>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80" w:type="dxa"/>
            <w:vAlign w:val="bottom"/>
          </w:tcPr>
          <w:p>
            <w:pPr>
              <w:ind w:left="20"/>
              <w:spacing w:after="0"/>
              <w:rPr>
                <w:sz w:val="20"/>
                <w:szCs w:val="20"/>
                <w:color w:val="auto"/>
              </w:rPr>
            </w:pPr>
            <w:r>
              <w:rPr>
                <w:rFonts w:ascii="Arial" w:cs="Arial" w:eastAsia="Arial" w:hAnsi="Arial"/>
                <w:sz w:val="16"/>
                <w:szCs w:val="16"/>
                <w:b w:val="1"/>
                <w:bCs w:val="1"/>
                <w:color w:val="08228B"/>
              </w:rPr>
              <w:t>Thomas M. Schoewe</w:t>
            </w:r>
          </w:p>
        </w:tc>
        <w:tc>
          <w:tcPr>
            <w:tcW w:w="1360" w:type="dxa"/>
            <w:vAlign w:val="bottom"/>
          </w:tcPr>
          <w:p>
            <w:pPr>
              <w:spacing w:after="0"/>
              <w:rPr>
                <w:sz w:val="18"/>
                <w:szCs w:val="18"/>
                <w:color w:val="auto"/>
              </w:rPr>
            </w:pPr>
          </w:p>
        </w:tc>
        <w:tc>
          <w:tcPr>
            <w:tcW w:w="1120" w:type="dxa"/>
            <w:vAlign w:val="bottom"/>
            <w:gridSpan w:val="2"/>
          </w:tcPr>
          <w:p>
            <w:pPr>
              <w:jc w:val="center"/>
              <w:ind w:left="540"/>
              <w:spacing w:after="0"/>
              <w:rPr>
                <w:sz w:val="20"/>
                <w:szCs w:val="20"/>
                <w:color w:val="auto"/>
              </w:rPr>
            </w:pPr>
            <w:r>
              <w:rPr>
                <w:rFonts w:ascii="Arial" w:cs="Arial" w:eastAsia="Arial" w:hAnsi="Arial"/>
                <w:sz w:val="16"/>
                <w:szCs w:val="16"/>
                <w:color w:val="auto"/>
              </w:rPr>
              <w:t>63</w:t>
            </w:r>
          </w:p>
        </w:tc>
        <w:tc>
          <w:tcPr>
            <w:tcW w:w="660" w:type="dxa"/>
            <w:vAlign w:val="bottom"/>
          </w:tcPr>
          <w:p>
            <w:pPr>
              <w:jc w:val="center"/>
              <w:ind w:left="60"/>
              <w:spacing w:after="0"/>
              <w:rPr>
                <w:sz w:val="20"/>
                <w:szCs w:val="20"/>
                <w:color w:val="auto"/>
              </w:rPr>
            </w:pPr>
            <w:r>
              <w:rPr>
                <w:rFonts w:ascii="Arial" w:cs="Arial" w:eastAsia="Arial" w:hAnsi="Arial"/>
                <w:sz w:val="16"/>
                <w:szCs w:val="16"/>
                <w:color w:val="auto"/>
              </w:rPr>
              <w:t>2011</w:t>
            </w: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20" w:type="dxa"/>
            <w:vAlign w:val="bottom"/>
          </w:tcPr>
          <w:p>
            <w:pPr>
              <w:ind w:left="180"/>
              <w:spacing w:after="0"/>
              <w:rPr>
                <w:sz w:val="20"/>
                <w:szCs w:val="20"/>
                <w:color w:val="auto"/>
              </w:rPr>
            </w:pPr>
            <w:r>
              <w:rPr>
                <w:rFonts w:ascii="Arial" w:cs="Arial" w:eastAsia="Arial" w:hAnsi="Arial"/>
                <w:sz w:val="16"/>
                <w:szCs w:val="16"/>
                <w:color w:val="auto"/>
              </w:rPr>
              <w:t>AC (Chair),</w:t>
            </w: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160" w:type="dxa"/>
            <w:vAlign w:val="bottom"/>
            <w:gridSpan w:val="4"/>
          </w:tcPr>
          <w:p>
            <w:pPr>
              <w:ind w:left="20"/>
              <w:spacing w:after="0"/>
              <w:rPr>
                <w:sz w:val="20"/>
                <w:szCs w:val="20"/>
                <w:color w:val="auto"/>
              </w:rPr>
            </w:pPr>
            <w:r>
              <w:rPr>
                <w:rFonts w:ascii="Arial" w:cs="Arial" w:eastAsia="Arial" w:hAnsi="Arial"/>
                <w:sz w:val="16"/>
                <w:szCs w:val="16"/>
                <w:color w:val="auto"/>
              </w:rPr>
              <w:t>Retired Executive Vice President and Chief</w:t>
            </w:r>
          </w:p>
        </w:tc>
        <w:tc>
          <w:tcPr>
            <w:tcW w:w="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320" w:type="dxa"/>
            <w:vAlign w:val="bottom"/>
          </w:tcPr>
          <w:p>
            <w:pPr>
              <w:ind w:left="180"/>
              <w:spacing w:after="0"/>
              <w:rPr>
                <w:sz w:val="20"/>
                <w:szCs w:val="20"/>
                <w:color w:val="auto"/>
              </w:rPr>
            </w:pPr>
            <w:r>
              <w:rPr>
                <w:rFonts w:ascii="Arial" w:cs="Arial" w:eastAsia="Arial" w:hAnsi="Arial"/>
                <w:sz w:val="16"/>
                <w:szCs w:val="16"/>
                <w:color w:val="auto"/>
              </w:rPr>
              <w:t>EC, FC, RC</w:t>
            </w: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40" w:type="dxa"/>
            <w:vAlign w:val="bottom"/>
            <w:gridSpan w:val="2"/>
          </w:tcPr>
          <w:p>
            <w:pPr>
              <w:ind w:left="20"/>
              <w:spacing w:after="0"/>
              <w:rPr>
                <w:sz w:val="20"/>
                <w:szCs w:val="20"/>
                <w:color w:val="auto"/>
              </w:rPr>
            </w:pPr>
            <w:r>
              <w:rPr>
                <w:rFonts w:ascii="Arial" w:cs="Arial" w:eastAsia="Arial" w:hAnsi="Arial"/>
                <w:sz w:val="16"/>
                <w:szCs w:val="16"/>
                <w:color w:val="auto"/>
              </w:rPr>
              <w:t>Financial Officer, Wal-Mart Stores, Inc.</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2"/>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80" w:type="dxa"/>
            <w:vAlign w:val="bottom"/>
          </w:tcPr>
          <w:p>
            <w:pPr>
              <w:ind w:left="20"/>
              <w:spacing w:after="0"/>
              <w:rPr>
                <w:sz w:val="20"/>
                <w:szCs w:val="20"/>
                <w:color w:val="auto"/>
              </w:rPr>
            </w:pPr>
            <w:r>
              <w:rPr>
                <w:rFonts w:ascii="Arial" w:cs="Arial" w:eastAsia="Arial" w:hAnsi="Arial"/>
                <w:sz w:val="16"/>
                <w:szCs w:val="16"/>
                <w:b w:val="1"/>
                <w:bCs w:val="1"/>
                <w:color w:val="08228B"/>
              </w:rPr>
              <w:t>Carol M. Stephenson</w:t>
            </w:r>
          </w:p>
        </w:tc>
        <w:tc>
          <w:tcPr>
            <w:tcW w:w="1360" w:type="dxa"/>
            <w:vAlign w:val="bottom"/>
          </w:tcPr>
          <w:p>
            <w:pPr>
              <w:spacing w:after="0"/>
              <w:rPr>
                <w:sz w:val="18"/>
                <w:szCs w:val="18"/>
                <w:color w:val="auto"/>
              </w:rPr>
            </w:pPr>
          </w:p>
        </w:tc>
        <w:tc>
          <w:tcPr>
            <w:tcW w:w="1120" w:type="dxa"/>
            <w:vAlign w:val="bottom"/>
            <w:gridSpan w:val="2"/>
          </w:tcPr>
          <w:p>
            <w:pPr>
              <w:jc w:val="center"/>
              <w:ind w:left="540"/>
              <w:spacing w:after="0"/>
              <w:rPr>
                <w:sz w:val="20"/>
                <w:szCs w:val="20"/>
                <w:color w:val="auto"/>
              </w:rPr>
            </w:pPr>
            <w:r>
              <w:rPr>
                <w:rFonts w:ascii="Arial" w:cs="Arial" w:eastAsia="Arial" w:hAnsi="Arial"/>
                <w:sz w:val="16"/>
                <w:szCs w:val="16"/>
                <w:color w:val="auto"/>
              </w:rPr>
              <w:t>65</w:t>
            </w:r>
          </w:p>
        </w:tc>
        <w:tc>
          <w:tcPr>
            <w:tcW w:w="660" w:type="dxa"/>
            <w:vAlign w:val="bottom"/>
          </w:tcPr>
          <w:p>
            <w:pPr>
              <w:jc w:val="center"/>
              <w:ind w:left="60"/>
              <w:spacing w:after="0"/>
              <w:rPr>
                <w:sz w:val="20"/>
                <w:szCs w:val="20"/>
                <w:color w:val="auto"/>
              </w:rPr>
            </w:pPr>
            <w:r>
              <w:rPr>
                <w:rFonts w:ascii="Arial" w:cs="Arial" w:eastAsia="Arial" w:hAnsi="Arial"/>
                <w:sz w:val="16"/>
                <w:szCs w:val="16"/>
                <w:color w:val="auto"/>
              </w:rPr>
              <w:t>2009</w:t>
            </w: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20" w:type="dxa"/>
            <w:vAlign w:val="bottom"/>
          </w:tcPr>
          <w:p>
            <w:pPr>
              <w:ind w:left="180"/>
              <w:spacing w:after="0"/>
              <w:rPr>
                <w:sz w:val="20"/>
                <w:szCs w:val="20"/>
                <w:color w:val="auto"/>
              </w:rPr>
            </w:pPr>
            <w:r>
              <w:rPr>
                <w:rFonts w:ascii="Arial" w:cs="Arial" w:eastAsia="Arial" w:hAnsi="Arial"/>
                <w:sz w:val="16"/>
                <w:szCs w:val="16"/>
                <w:color w:val="auto"/>
              </w:rPr>
              <w:t>EC, ECC</w:t>
            </w: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40" w:type="dxa"/>
            <w:vAlign w:val="bottom"/>
            <w:gridSpan w:val="2"/>
          </w:tcPr>
          <w:p>
            <w:pPr>
              <w:ind w:left="20"/>
              <w:spacing w:after="0"/>
              <w:rPr>
                <w:sz w:val="20"/>
                <w:szCs w:val="20"/>
                <w:color w:val="auto"/>
              </w:rPr>
            </w:pPr>
            <w:r>
              <w:rPr>
                <w:rFonts w:ascii="Arial" w:cs="Arial" w:eastAsia="Arial" w:hAnsi="Arial"/>
                <w:sz w:val="16"/>
                <w:szCs w:val="16"/>
                <w:color w:val="auto"/>
              </w:rPr>
              <w:t>Retired Dean, Ivey Business School, The</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320" w:type="dxa"/>
            <w:vAlign w:val="bottom"/>
          </w:tcPr>
          <w:p>
            <w:pPr>
              <w:ind w:left="180"/>
              <w:spacing w:after="0"/>
              <w:rPr>
                <w:sz w:val="20"/>
                <w:szCs w:val="20"/>
                <w:color w:val="auto"/>
              </w:rPr>
            </w:pPr>
            <w:r>
              <w:rPr>
                <w:rFonts w:ascii="Arial" w:cs="Arial" w:eastAsia="Arial" w:hAnsi="Arial"/>
                <w:sz w:val="16"/>
                <w:szCs w:val="16"/>
                <w:color w:val="auto"/>
              </w:rPr>
              <w:t>(Chair),</w:t>
            </w: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40" w:type="dxa"/>
            <w:vAlign w:val="bottom"/>
            <w:gridSpan w:val="2"/>
          </w:tcPr>
          <w:p>
            <w:pPr>
              <w:ind w:left="20"/>
              <w:spacing w:after="0"/>
              <w:rPr>
                <w:sz w:val="20"/>
                <w:szCs w:val="20"/>
                <w:color w:val="auto"/>
              </w:rPr>
            </w:pPr>
            <w:r>
              <w:rPr>
                <w:rFonts w:ascii="Arial" w:cs="Arial" w:eastAsia="Arial" w:hAnsi="Arial"/>
                <w:sz w:val="16"/>
                <w:szCs w:val="16"/>
                <w:color w:val="auto"/>
              </w:rPr>
              <w:t>University of Western Ontario</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320" w:type="dxa"/>
            <w:vAlign w:val="bottom"/>
          </w:tcPr>
          <w:p>
            <w:pPr>
              <w:ind w:left="180"/>
              <w:spacing w:after="0"/>
              <w:rPr>
                <w:sz w:val="20"/>
                <w:szCs w:val="20"/>
                <w:color w:val="auto"/>
              </w:rPr>
            </w:pPr>
            <w:r>
              <w:rPr>
                <w:rFonts w:ascii="Arial" w:cs="Arial" w:eastAsia="Arial" w:hAnsi="Arial"/>
                <w:sz w:val="16"/>
                <w:szCs w:val="16"/>
                <w:color w:val="auto"/>
              </w:rPr>
              <w:t>GCRC</w:t>
            </w: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Borders>
              <w:bottom w:val="single" w:sz="8" w:color="08228B"/>
            </w:tcBorders>
          </w:tcPr>
          <w:p>
            <w:pPr>
              <w:spacing w:after="0"/>
              <w:rPr>
                <w:sz w:val="23"/>
                <w:szCs w:val="23"/>
                <w:color w:val="auto"/>
              </w:rPr>
            </w:pPr>
          </w:p>
        </w:tc>
        <w:tc>
          <w:tcPr>
            <w:tcW w:w="1680" w:type="dxa"/>
            <w:vAlign w:val="bottom"/>
            <w:tcBorders>
              <w:bottom w:val="single" w:sz="8" w:color="08228B"/>
            </w:tcBorders>
          </w:tcPr>
          <w:p>
            <w:pPr>
              <w:spacing w:after="0"/>
              <w:rPr>
                <w:sz w:val="23"/>
                <w:szCs w:val="23"/>
                <w:color w:val="auto"/>
              </w:rPr>
            </w:pPr>
          </w:p>
        </w:tc>
        <w:tc>
          <w:tcPr>
            <w:tcW w:w="1360" w:type="dxa"/>
            <w:vAlign w:val="bottom"/>
            <w:tcBorders>
              <w:bottom w:val="single" w:sz="8" w:color="08228B"/>
            </w:tcBorders>
          </w:tcPr>
          <w:p>
            <w:pPr>
              <w:spacing w:after="0"/>
              <w:rPr>
                <w:sz w:val="23"/>
                <w:szCs w:val="23"/>
                <w:color w:val="auto"/>
              </w:rPr>
            </w:pPr>
          </w:p>
        </w:tc>
        <w:tc>
          <w:tcPr>
            <w:tcW w:w="1120" w:type="dxa"/>
            <w:vAlign w:val="bottom"/>
            <w:tcBorders>
              <w:bottom w:val="single" w:sz="8" w:color="08228B"/>
            </w:tcBorders>
            <w:gridSpan w:val="2"/>
          </w:tcPr>
          <w:p>
            <w:pPr>
              <w:spacing w:after="0"/>
              <w:rPr>
                <w:sz w:val="23"/>
                <w:szCs w:val="23"/>
                <w:color w:val="auto"/>
              </w:rPr>
            </w:pPr>
          </w:p>
        </w:tc>
        <w:tc>
          <w:tcPr>
            <w:tcW w:w="660" w:type="dxa"/>
            <w:vAlign w:val="bottom"/>
            <w:tcBorders>
              <w:bottom w:val="single" w:sz="8" w:color="08228B"/>
            </w:tcBorders>
          </w:tcPr>
          <w:p>
            <w:pPr>
              <w:spacing w:after="0"/>
              <w:rPr>
                <w:sz w:val="23"/>
                <w:szCs w:val="23"/>
                <w:color w:val="auto"/>
              </w:rPr>
            </w:pPr>
          </w:p>
        </w:tc>
        <w:tc>
          <w:tcPr>
            <w:tcW w:w="420" w:type="dxa"/>
            <w:vAlign w:val="bottom"/>
            <w:tcBorders>
              <w:bottom w:val="single" w:sz="8" w:color="08228B"/>
            </w:tcBorders>
          </w:tcPr>
          <w:p>
            <w:pPr>
              <w:spacing w:after="0"/>
              <w:rPr>
                <w:sz w:val="23"/>
                <w:szCs w:val="23"/>
                <w:color w:val="auto"/>
              </w:rPr>
            </w:pPr>
          </w:p>
        </w:tc>
        <w:tc>
          <w:tcPr>
            <w:tcW w:w="760" w:type="dxa"/>
            <w:vAlign w:val="bottom"/>
            <w:tcBorders>
              <w:bottom w:val="single" w:sz="8" w:color="08228B"/>
            </w:tcBorders>
          </w:tcPr>
          <w:p>
            <w:pPr>
              <w:spacing w:after="0"/>
              <w:rPr>
                <w:sz w:val="23"/>
                <w:szCs w:val="23"/>
                <w:color w:val="auto"/>
              </w:rPr>
            </w:pPr>
          </w:p>
        </w:tc>
        <w:tc>
          <w:tcPr>
            <w:tcW w:w="1320" w:type="dxa"/>
            <w:vAlign w:val="bottom"/>
            <w:tcBorders>
              <w:bottom w:val="single" w:sz="8" w:color="08228B"/>
            </w:tcBorders>
          </w:tcPr>
          <w:p>
            <w:pPr>
              <w:spacing w:after="0"/>
              <w:rPr>
                <w:sz w:val="23"/>
                <w:szCs w:val="23"/>
                <w:color w:val="auto"/>
              </w:rPr>
            </w:pPr>
          </w:p>
        </w:tc>
        <w:tc>
          <w:tcPr>
            <w:tcW w:w="1080" w:type="dxa"/>
            <w:vAlign w:val="bottom"/>
            <w:tcBorders>
              <w:bottom w:val="single" w:sz="8" w:color="08228B"/>
            </w:tcBorders>
            <w:gridSpan w:val="2"/>
          </w:tcPr>
          <w:p>
            <w:pPr>
              <w:spacing w:after="0"/>
              <w:rPr>
                <w:sz w:val="23"/>
                <w:szCs w:val="23"/>
                <w:color w:val="auto"/>
              </w:rPr>
            </w:pPr>
          </w:p>
        </w:tc>
        <w:tc>
          <w:tcPr>
            <w:tcW w:w="1120" w:type="dxa"/>
            <w:vAlign w:val="bottom"/>
            <w:tcBorders>
              <w:bottom w:val="single" w:sz="8" w:color="08228B"/>
            </w:tcBorders>
          </w:tcPr>
          <w:p>
            <w:pPr>
              <w:spacing w:after="0"/>
              <w:rPr>
                <w:sz w:val="23"/>
                <w:szCs w:val="23"/>
                <w:color w:val="auto"/>
              </w:rPr>
            </w:pPr>
          </w:p>
        </w:tc>
        <w:tc>
          <w:tcPr>
            <w:tcW w:w="72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513"/>
        </w:trPr>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center"/>
              <w:ind w:left="308"/>
              <w:spacing w:after="0"/>
              <w:rPr>
                <w:sz w:val="20"/>
                <w:szCs w:val="20"/>
                <w:color w:val="auto"/>
              </w:rPr>
            </w:pPr>
            <w:r>
              <w:rPr>
                <w:rFonts w:ascii="Arial" w:cs="Arial" w:eastAsia="Arial" w:hAnsi="Arial"/>
                <w:sz w:val="14"/>
                <w:szCs w:val="14"/>
                <w:b w:val="1"/>
                <w:bCs w:val="1"/>
                <w:color w:val="auto"/>
              </w:rPr>
              <w:t>Senior</w:t>
            </w:r>
          </w:p>
        </w:tc>
        <w:tc>
          <w:tcPr>
            <w:tcW w:w="1680" w:type="dxa"/>
            <w:vAlign w:val="bottom"/>
          </w:tcPr>
          <w:p>
            <w:pPr>
              <w:ind w:left="680"/>
              <w:spacing w:after="0"/>
              <w:rPr>
                <w:sz w:val="20"/>
                <w:szCs w:val="20"/>
                <w:color w:val="auto"/>
              </w:rPr>
            </w:pPr>
            <w:r>
              <w:rPr>
                <w:rFonts w:ascii="Arial" w:cs="Arial" w:eastAsia="Arial" w:hAnsi="Arial"/>
                <w:sz w:val="14"/>
                <w:szCs w:val="14"/>
                <w:b w:val="1"/>
                <w:bCs w:val="1"/>
                <w:color w:val="auto"/>
              </w:rPr>
              <w:t>Industry</w:t>
            </w:r>
          </w:p>
        </w:tc>
        <w:tc>
          <w:tcPr>
            <w:tcW w:w="1360" w:type="dxa"/>
            <w:vAlign w:val="bottom"/>
          </w:tcPr>
          <w:p>
            <w:pPr>
              <w:ind w:left="20"/>
              <w:spacing w:after="0"/>
              <w:rPr>
                <w:sz w:val="20"/>
                <w:szCs w:val="20"/>
                <w:color w:val="auto"/>
              </w:rPr>
            </w:pPr>
            <w:r>
              <w:rPr>
                <w:rFonts w:ascii="Arial" w:cs="Arial" w:eastAsia="Arial" w:hAnsi="Arial"/>
                <w:sz w:val="14"/>
                <w:szCs w:val="14"/>
                <w:b w:val="1"/>
                <w:bCs w:val="1"/>
                <w:color w:val="auto"/>
              </w:rPr>
              <w:t>Technology</w:t>
            </w:r>
          </w:p>
        </w:tc>
        <w:tc>
          <w:tcPr>
            <w:tcW w:w="1120" w:type="dxa"/>
            <w:vAlign w:val="bottom"/>
            <w:gridSpan w:val="2"/>
          </w:tcPr>
          <w:p>
            <w:pPr>
              <w:jc w:val="center"/>
              <w:ind w:right="619"/>
              <w:spacing w:after="0"/>
              <w:rPr>
                <w:sz w:val="20"/>
                <w:szCs w:val="20"/>
                <w:color w:val="auto"/>
              </w:rPr>
            </w:pPr>
            <w:r>
              <w:rPr>
                <w:rFonts w:ascii="Arial" w:cs="Arial" w:eastAsia="Arial" w:hAnsi="Arial"/>
                <w:sz w:val="14"/>
                <w:szCs w:val="14"/>
                <w:b w:val="1"/>
                <w:bCs w:val="1"/>
                <w:color w:val="auto"/>
              </w:rPr>
              <w:t>Risk</w:t>
            </w:r>
          </w:p>
        </w:tc>
        <w:tc>
          <w:tcPr>
            <w:tcW w:w="660" w:type="dxa"/>
            <w:vAlign w:val="bottom"/>
          </w:tcPr>
          <w:p>
            <w:pPr>
              <w:ind w:left="20"/>
              <w:spacing w:after="0"/>
              <w:rPr>
                <w:sz w:val="20"/>
                <w:szCs w:val="20"/>
                <w:color w:val="auto"/>
              </w:rPr>
            </w:pPr>
            <w:r>
              <w:rPr>
                <w:rFonts w:ascii="Arial" w:cs="Arial" w:eastAsia="Arial" w:hAnsi="Arial"/>
                <w:sz w:val="14"/>
                <w:szCs w:val="14"/>
                <w:b w:val="1"/>
                <w:bCs w:val="1"/>
                <w:color w:val="auto"/>
              </w:rPr>
              <w:t>Global</w:t>
            </w:r>
          </w:p>
        </w:tc>
        <w:tc>
          <w:tcPr>
            <w:tcW w:w="420" w:type="dxa"/>
            <w:vAlign w:val="bottom"/>
          </w:tcPr>
          <w:p>
            <w:pPr>
              <w:spacing w:after="0"/>
              <w:rPr>
                <w:sz w:val="24"/>
                <w:szCs w:val="24"/>
                <w:color w:val="auto"/>
              </w:rPr>
            </w:pPr>
          </w:p>
        </w:tc>
        <w:tc>
          <w:tcPr>
            <w:tcW w:w="760" w:type="dxa"/>
            <w:vAlign w:val="bottom"/>
          </w:tcPr>
          <w:p>
            <w:pPr>
              <w:ind w:left="40"/>
              <w:spacing w:after="0"/>
              <w:rPr>
                <w:sz w:val="20"/>
                <w:szCs w:val="20"/>
                <w:color w:val="auto"/>
              </w:rPr>
            </w:pPr>
            <w:r>
              <w:rPr>
                <w:rFonts w:ascii="Arial" w:cs="Arial" w:eastAsia="Arial" w:hAnsi="Arial"/>
                <w:sz w:val="14"/>
                <w:szCs w:val="14"/>
                <w:b w:val="1"/>
                <w:bCs w:val="1"/>
                <w:color w:val="auto"/>
              </w:rPr>
              <w:t>Finance</w:t>
            </w:r>
          </w:p>
        </w:tc>
        <w:tc>
          <w:tcPr>
            <w:tcW w:w="1320" w:type="dxa"/>
            <w:vAlign w:val="bottom"/>
          </w:tcPr>
          <w:p>
            <w:pPr>
              <w:ind w:left="260"/>
              <w:spacing w:after="0"/>
              <w:rPr>
                <w:sz w:val="20"/>
                <w:szCs w:val="20"/>
                <w:color w:val="auto"/>
              </w:rPr>
            </w:pPr>
            <w:r>
              <w:rPr>
                <w:rFonts w:ascii="Arial" w:cs="Arial" w:eastAsia="Arial" w:hAnsi="Arial"/>
                <w:sz w:val="14"/>
                <w:szCs w:val="14"/>
                <w:b w:val="1"/>
                <w:bCs w:val="1"/>
                <w:color w:val="auto"/>
              </w:rPr>
              <w:t>Government</w:t>
            </w:r>
          </w:p>
        </w:tc>
        <w:tc>
          <w:tcPr>
            <w:tcW w:w="108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Marketing</w:t>
            </w:r>
          </w:p>
        </w:tc>
        <w:tc>
          <w:tcPr>
            <w:tcW w:w="1840" w:type="dxa"/>
            <w:vAlign w:val="bottom"/>
            <w:gridSpan w:val="3"/>
          </w:tcPr>
          <w:p>
            <w:pPr>
              <w:jc w:val="right"/>
              <w:ind w:right="980"/>
              <w:spacing w:after="0"/>
              <w:rPr>
                <w:sz w:val="20"/>
                <w:szCs w:val="20"/>
                <w:color w:val="auto"/>
              </w:rPr>
            </w:pPr>
            <w:r>
              <w:rPr>
                <w:rFonts w:ascii="Arial" w:cs="Arial" w:eastAsia="Arial" w:hAnsi="Arial"/>
                <w:sz w:val="14"/>
                <w:szCs w:val="14"/>
                <w:b w:val="1"/>
                <w:bCs w:val="1"/>
                <w:color w:val="auto"/>
              </w:rPr>
              <w:t>Diversity</w:t>
            </w:r>
          </w:p>
        </w:tc>
        <w:tc>
          <w:tcPr>
            <w:tcW w:w="0" w:type="dxa"/>
            <w:vAlign w:val="bottom"/>
          </w:tcPr>
          <w:p>
            <w:pPr>
              <w:spacing w:after="0"/>
              <w:rPr>
                <w:sz w:val="1"/>
                <w:szCs w:val="1"/>
                <w:color w:val="auto"/>
              </w:rPr>
            </w:pPr>
          </w:p>
        </w:tc>
      </w:tr>
      <w:tr>
        <w:trPr>
          <w:trHeight w:val="190"/>
        </w:trPr>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60" w:type="dxa"/>
            <w:vAlign w:val="bottom"/>
            <w:gridSpan w:val="2"/>
          </w:tcPr>
          <w:p>
            <w:pPr>
              <w:jc w:val="center"/>
              <w:ind w:right="1219"/>
              <w:spacing w:after="0"/>
              <w:rPr>
                <w:sz w:val="20"/>
                <w:szCs w:val="20"/>
                <w:color w:val="auto"/>
              </w:rPr>
            </w:pPr>
            <w:r>
              <w:rPr>
                <w:rFonts w:ascii="Arial" w:cs="Arial" w:eastAsia="Arial" w:hAnsi="Arial"/>
                <w:sz w:val="14"/>
                <w:szCs w:val="14"/>
                <w:b w:val="1"/>
                <w:bCs w:val="1"/>
                <w:color w:val="auto"/>
              </w:rPr>
              <w:t>Leadership</w:t>
            </w:r>
          </w:p>
        </w:tc>
        <w:tc>
          <w:tcPr>
            <w:tcW w:w="2480" w:type="dxa"/>
            <w:vAlign w:val="bottom"/>
            <w:gridSpan w:val="3"/>
          </w:tcPr>
          <w:p>
            <w:pPr>
              <w:jc w:val="center"/>
              <w:ind w:left="608"/>
              <w:spacing w:after="0"/>
              <w:rPr>
                <w:sz w:val="20"/>
                <w:szCs w:val="20"/>
                <w:color w:val="auto"/>
              </w:rPr>
            </w:pPr>
            <w:r>
              <w:rPr>
                <w:rFonts w:ascii="Arial" w:cs="Arial" w:eastAsia="Arial" w:hAnsi="Arial"/>
                <w:sz w:val="14"/>
                <w:szCs w:val="14"/>
                <w:b w:val="1"/>
                <w:bCs w:val="1"/>
                <w:color w:val="auto"/>
              </w:rPr>
              <w:t>Management</w:t>
            </w:r>
          </w:p>
        </w:tc>
        <w:tc>
          <w:tcPr>
            <w:tcW w:w="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4"/>
        </w:trPr>
        <w:tc>
          <w:tcPr>
            <w:tcW w:w="180" w:type="dxa"/>
            <w:vAlign w:val="bottom"/>
          </w:tcPr>
          <w:p>
            <w:pPr>
              <w:spacing w:after="0"/>
              <w:rPr>
                <w:sz w:val="24"/>
                <w:szCs w:val="24"/>
                <w:color w:val="auto"/>
              </w:rPr>
            </w:pPr>
          </w:p>
        </w:tc>
        <w:tc>
          <w:tcPr>
            <w:tcW w:w="2680" w:type="dxa"/>
            <w:vAlign w:val="bottom"/>
            <w:gridSpan w:val="3"/>
          </w:tcPr>
          <w:p>
            <w:pPr>
              <w:ind w:left="120"/>
              <w:spacing w:after="0"/>
              <w:rPr>
                <w:sz w:val="20"/>
                <w:szCs w:val="20"/>
                <w:color w:val="auto"/>
              </w:rPr>
            </w:pPr>
            <w:r>
              <w:rPr>
                <w:rFonts w:ascii="Arial" w:cs="Arial" w:eastAsia="Arial" w:hAnsi="Arial"/>
                <w:sz w:val="14"/>
                <w:szCs w:val="14"/>
                <w:i w:val="1"/>
                <w:iCs w:val="1"/>
                <w:color w:val="auto"/>
              </w:rPr>
              <w:t>(1)  Age as of April 22, 2016.</w:t>
            </w: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680" w:type="dxa"/>
            <w:vAlign w:val="bottom"/>
            <w:gridSpan w:val="3"/>
          </w:tcPr>
          <w:p>
            <w:pPr>
              <w:ind w:left="120"/>
              <w:spacing w:after="0"/>
              <w:rPr>
                <w:sz w:val="20"/>
                <w:szCs w:val="20"/>
                <w:color w:val="auto"/>
              </w:rPr>
            </w:pPr>
            <w:r>
              <w:rPr>
                <w:rFonts w:ascii="Arial" w:cs="Arial" w:eastAsia="Arial" w:hAnsi="Arial"/>
                <w:sz w:val="14"/>
                <w:szCs w:val="14"/>
                <w:i w:val="1"/>
                <w:iCs w:val="1"/>
                <w:color w:val="auto"/>
              </w:rPr>
              <w:t>(2)  Board Committees:</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60" w:type="dxa"/>
            <w:vAlign w:val="bottom"/>
            <w:gridSpan w:val="2"/>
          </w:tcPr>
          <w:p>
            <w:pPr>
              <w:ind w:left="320"/>
              <w:spacing w:after="0"/>
              <w:rPr>
                <w:sz w:val="20"/>
                <w:szCs w:val="20"/>
                <w:color w:val="auto"/>
              </w:rPr>
            </w:pPr>
            <w:r>
              <w:rPr>
                <w:rFonts w:ascii="Arial" w:cs="Arial" w:eastAsia="Arial" w:hAnsi="Arial"/>
                <w:sz w:val="14"/>
                <w:szCs w:val="14"/>
                <w:i w:val="1"/>
                <w:iCs w:val="1"/>
                <w:color w:val="auto"/>
              </w:rPr>
              <w:t>AC - Audit Committee</w:t>
            </w:r>
          </w:p>
        </w:tc>
        <w:tc>
          <w:tcPr>
            <w:tcW w:w="3140" w:type="dxa"/>
            <w:vAlign w:val="bottom"/>
            <w:gridSpan w:val="4"/>
          </w:tcPr>
          <w:p>
            <w:pPr>
              <w:ind w:left="60"/>
              <w:spacing w:after="0"/>
              <w:rPr>
                <w:sz w:val="20"/>
                <w:szCs w:val="20"/>
                <w:color w:val="auto"/>
              </w:rPr>
            </w:pPr>
            <w:r>
              <w:rPr>
                <w:rFonts w:ascii="Arial" w:cs="Arial" w:eastAsia="Arial" w:hAnsi="Arial"/>
                <w:sz w:val="14"/>
                <w:szCs w:val="14"/>
                <w:i w:val="1"/>
                <w:iCs w:val="1"/>
                <w:color w:val="auto"/>
              </w:rPr>
              <w:t>ECC - Executive Compensation Committee</w:t>
            </w:r>
          </w:p>
        </w:tc>
        <w:tc>
          <w:tcPr>
            <w:tcW w:w="5420" w:type="dxa"/>
            <w:vAlign w:val="bottom"/>
            <w:gridSpan w:val="8"/>
          </w:tcPr>
          <w:p>
            <w:pPr>
              <w:ind w:left="40"/>
              <w:spacing w:after="0"/>
              <w:rPr>
                <w:sz w:val="20"/>
                <w:szCs w:val="20"/>
                <w:color w:val="auto"/>
              </w:rPr>
            </w:pPr>
            <w:r>
              <w:rPr>
                <w:rFonts w:ascii="Arial" w:cs="Arial" w:eastAsia="Arial" w:hAnsi="Arial"/>
                <w:sz w:val="14"/>
                <w:szCs w:val="14"/>
                <w:i w:val="1"/>
                <w:iCs w:val="1"/>
                <w:color w:val="auto"/>
              </w:rPr>
              <w:t>GCRC - Governance and Corporate Responsibility Committee</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60" w:type="dxa"/>
            <w:vAlign w:val="bottom"/>
            <w:gridSpan w:val="2"/>
          </w:tcPr>
          <w:p>
            <w:pPr>
              <w:ind w:left="320"/>
              <w:spacing w:after="0"/>
              <w:rPr>
                <w:sz w:val="20"/>
                <w:szCs w:val="20"/>
                <w:color w:val="auto"/>
              </w:rPr>
            </w:pPr>
            <w:r>
              <w:rPr>
                <w:rFonts w:ascii="Arial" w:cs="Arial" w:eastAsia="Arial" w:hAnsi="Arial"/>
                <w:sz w:val="14"/>
                <w:szCs w:val="14"/>
                <w:i w:val="1"/>
                <w:iCs w:val="1"/>
                <w:color w:val="auto"/>
              </w:rPr>
              <w:t>EC - Executive Committee</w:t>
            </w:r>
          </w:p>
        </w:tc>
        <w:tc>
          <w:tcPr>
            <w:tcW w:w="2480" w:type="dxa"/>
            <w:vAlign w:val="bottom"/>
            <w:gridSpan w:val="3"/>
          </w:tcPr>
          <w:p>
            <w:pPr>
              <w:ind w:left="60"/>
              <w:spacing w:after="0"/>
              <w:rPr>
                <w:sz w:val="20"/>
                <w:szCs w:val="20"/>
                <w:color w:val="auto"/>
              </w:rPr>
            </w:pPr>
            <w:r>
              <w:rPr>
                <w:rFonts w:ascii="Arial" w:cs="Arial" w:eastAsia="Arial" w:hAnsi="Arial"/>
                <w:sz w:val="14"/>
                <w:szCs w:val="14"/>
                <w:i w:val="1"/>
                <w:iCs w:val="1"/>
                <w:color w:val="auto"/>
              </w:rPr>
              <w:t>FC - Finance Committee</w:t>
            </w:r>
          </w:p>
        </w:tc>
        <w:tc>
          <w:tcPr>
            <w:tcW w:w="660" w:type="dxa"/>
            <w:vAlign w:val="bottom"/>
          </w:tcPr>
          <w:p>
            <w:pPr>
              <w:spacing w:after="0"/>
              <w:rPr>
                <w:sz w:val="18"/>
                <w:szCs w:val="18"/>
                <w:color w:val="auto"/>
              </w:rPr>
            </w:pPr>
          </w:p>
        </w:tc>
        <w:tc>
          <w:tcPr>
            <w:tcW w:w="2500" w:type="dxa"/>
            <w:vAlign w:val="bottom"/>
            <w:gridSpan w:val="3"/>
          </w:tcPr>
          <w:p>
            <w:pPr>
              <w:ind w:left="40"/>
              <w:spacing w:after="0"/>
              <w:rPr>
                <w:sz w:val="20"/>
                <w:szCs w:val="20"/>
                <w:color w:val="auto"/>
              </w:rPr>
            </w:pPr>
            <w:r>
              <w:rPr>
                <w:rFonts w:ascii="Arial" w:cs="Arial" w:eastAsia="Arial" w:hAnsi="Arial"/>
                <w:sz w:val="14"/>
                <w:szCs w:val="14"/>
                <w:i w:val="1"/>
                <w:iCs w:val="1"/>
                <w:color w:val="auto"/>
              </w:rPr>
              <w:t>RC - Risk Committee</w:t>
            </w: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3"/>
        </w:trPr>
        <w:tc>
          <w:tcPr>
            <w:tcW w:w="180" w:type="dxa"/>
            <w:vAlign w:val="bottom"/>
          </w:tcPr>
          <w:p>
            <w:pPr>
              <w:spacing w:after="0"/>
              <w:rPr>
                <w:sz w:val="7"/>
                <w:szCs w:val="7"/>
                <w:color w:val="auto"/>
              </w:rPr>
            </w:pPr>
          </w:p>
        </w:tc>
        <w:tc>
          <w:tcPr>
            <w:tcW w:w="120" w:type="dxa"/>
            <w:vAlign w:val="bottom"/>
            <w:tcBorders>
              <w:bottom w:val="single" w:sz="8" w:color="58585A"/>
            </w:tcBorders>
          </w:tcPr>
          <w:p>
            <w:pPr>
              <w:spacing w:after="0"/>
              <w:rPr>
                <w:sz w:val="7"/>
                <w:szCs w:val="7"/>
                <w:color w:val="auto"/>
              </w:rPr>
            </w:pPr>
          </w:p>
        </w:tc>
        <w:tc>
          <w:tcPr>
            <w:tcW w:w="880" w:type="dxa"/>
            <w:vAlign w:val="bottom"/>
            <w:tcBorders>
              <w:bottom w:val="single" w:sz="8" w:color="58585A"/>
            </w:tcBorders>
          </w:tcPr>
          <w:p>
            <w:pPr>
              <w:spacing w:after="0"/>
              <w:rPr>
                <w:sz w:val="7"/>
                <w:szCs w:val="7"/>
                <w:color w:val="auto"/>
              </w:rPr>
            </w:pPr>
          </w:p>
        </w:tc>
        <w:tc>
          <w:tcPr>
            <w:tcW w:w="1680" w:type="dxa"/>
            <w:vAlign w:val="bottom"/>
            <w:tcBorders>
              <w:bottom w:val="single" w:sz="8" w:color="58585A"/>
            </w:tcBorders>
          </w:tcPr>
          <w:p>
            <w:pPr>
              <w:spacing w:after="0"/>
              <w:rPr>
                <w:sz w:val="7"/>
                <w:szCs w:val="7"/>
                <w:color w:val="auto"/>
              </w:rPr>
            </w:pPr>
          </w:p>
        </w:tc>
        <w:tc>
          <w:tcPr>
            <w:tcW w:w="1360" w:type="dxa"/>
            <w:vAlign w:val="bottom"/>
            <w:tcBorders>
              <w:bottom w:val="single" w:sz="8" w:color="58585A"/>
            </w:tcBorders>
          </w:tcPr>
          <w:p>
            <w:pPr>
              <w:spacing w:after="0"/>
              <w:rPr>
                <w:sz w:val="7"/>
                <w:szCs w:val="7"/>
                <w:color w:val="auto"/>
              </w:rPr>
            </w:pPr>
          </w:p>
        </w:tc>
        <w:tc>
          <w:tcPr>
            <w:tcW w:w="140" w:type="dxa"/>
            <w:vAlign w:val="bottom"/>
            <w:tcBorders>
              <w:bottom w:val="single" w:sz="8" w:color="58585A"/>
            </w:tcBorders>
          </w:tcPr>
          <w:p>
            <w:pPr>
              <w:spacing w:after="0"/>
              <w:rPr>
                <w:sz w:val="7"/>
                <w:szCs w:val="7"/>
                <w:color w:val="auto"/>
              </w:rPr>
            </w:pPr>
          </w:p>
        </w:tc>
        <w:tc>
          <w:tcPr>
            <w:tcW w:w="2060" w:type="dxa"/>
            <w:vAlign w:val="bottom"/>
            <w:tcBorders>
              <w:bottom w:val="single" w:sz="8" w:color="58585A"/>
            </w:tcBorders>
            <w:gridSpan w:val="3"/>
          </w:tcPr>
          <w:p>
            <w:pPr>
              <w:spacing w:after="0"/>
              <w:rPr>
                <w:sz w:val="7"/>
                <w:szCs w:val="7"/>
                <w:color w:val="auto"/>
              </w:rPr>
            </w:pPr>
          </w:p>
        </w:tc>
        <w:tc>
          <w:tcPr>
            <w:tcW w:w="760" w:type="dxa"/>
            <w:vAlign w:val="bottom"/>
            <w:tcBorders>
              <w:bottom w:val="single" w:sz="8" w:color="58585A"/>
            </w:tcBorders>
          </w:tcPr>
          <w:p>
            <w:pPr>
              <w:spacing w:after="0"/>
              <w:rPr>
                <w:sz w:val="7"/>
                <w:szCs w:val="7"/>
                <w:color w:val="auto"/>
              </w:rPr>
            </w:pPr>
          </w:p>
        </w:tc>
        <w:tc>
          <w:tcPr>
            <w:tcW w:w="1320" w:type="dxa"/>
            <w:vAlign w:val="bottom"/>
            <w:tcBorders>
              <w:bottom w:val="single" w:sz="8" w:color="58585A"/>
            </w:tcBorders>
          </w:tcPr>
          <w:p>
            <w:pPr>
              <w:spacing w:after="0"/>
              <w:rPr>
                <w:sz w:val="7"/>
                <w:szCs w:val="7"/>
                <w:color w:val="auto"/>
              </w:rPr>
            </w:pPr>
          </w:p>
        </w:tc>
        <w:tc>
          <w:tcPr>
            <w:tcW w:w="320" w:type="dxa"/>
            <w:vAlign w:val="bottom"/>
            <w:tcBorders>
              <w:bottom w:val="single" w:sz="8" w:color="58585A"/>
            </w:tcBorders>
          </w:tcPr>
          <w:p>
            <w:pPr>
              <w:spacing w:after="0"/>
              <w:rPr>
                <w:sz w:val="7"/>
                <w:szCs w:val="7"/>
                <w:color w:val="auto"/>
              </w:rPr>
            </w:pPr>
          </w:p>
        </w:tc>
        <w:tc>
          <w:tcPr>
            <w:tcW w:w="760" w:type="dxa"/>
            <w:vAlign w:val="bottom"/>
            <w:tcBorders>
              <w:bottom w:val="single" w:sz="8" w:color="58585A"/>
            </w:tcBorders>
          </w:tcPr>
          <w:p>
            <w:pPr>
              <w:spacing w:after="0"/>
              <w:rPr>
                <w:sz w:val="7"/>
                <w:szCs w:val="7"/>
                <w:color w:val="auto"/>
              </w:rPr>
            </w:pPr>
          </w:p>
        </w:tc>
        <w:tc>
          <w:tcPr>
            <w:tcW w:w="1120" w:type="dxa"/>
            <w:vAlign w:val="bottom"/>
            <w:tcBorders>
              <w:bottom w:val="single" w:sz="8" w:color="58585A"/>
            </w:tcBorders>
          </w:tcPr>
          <w:p>
            <w:pPr>
              <w:spacing w:after="0"/>
              <w:rPr>
                <w:sz w:val="7"/>
                <w:szCs w:val="7"/>
                <w:color w:val="auto"/>
              </w:rPr>
            </w:pPr>
          </w:p>
        </w:tc>
        <w:tc>
          <w:tcPr>
            <w:tcW w:w="240" w:type="dxa"/>
            <w:vAlign w:val="bottom"/>
            <w:tcBorders>
              <w:bottom w:val="single" w:sz="8" w:color="58585A"/>
            </w:tcBorders>
          </w:tcPr>
          <w:p>
            <w:pPr>
              <w:spacing w:after="0"/>
              <w:rPr>
                <w:sz w:val="7"/>
                <w:szCs w:val="7"/>
                <w:color w:val="auto"/>
              </w:rPr>
            </w:pPr>
          </w:p>
        </w:tc>
        <w:tc>
          <w:tcPr>
            <w:tcW w:w="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17"/>
        </w:trPr>
        <w:tc>
          <w:tcPr>
            <w:tcW w:w="180" w:type="dxa"/>
            <w:vAlign w:val="bottom"/>
            <w:tcBorders>
              <w:bottom w:val="single" w:sz="8" w:color="08228B"/>
            </w:tcBorders>
          </w:tcPr>
          <w:p>
            <w:pPr>
              <w:spacing w:after="0"/>
              <w:rPr>
                <w:sz w:val="24"/>
                <w:szCs w:val="24"/>
                <w:color w:val="auto"/>
              </w:rPr>
            </w:pPr>
          </w:p>
        </w:tc>
        <w:tc>
          <w:tcPr>
            <w:tcW w:w="120" w:type="dxa"/>
            <w:vAlign w:val="bottom"/>
            <w:tcBorders>
              <w:bottom w:val="single" w:sz="8" w:color="08228B"/>
            </w:tcBorders>
          </w:tcPr>
          <w:p>
            <w:pPr>
              <w:spacing w:after="0"/>
              <w:rPr>
                <w:sz w:val="24"/>
                <w:szCs w:val="24"/>
                <w:color w:val="auto"/>
              </w:rPr>
            </w:pPr>
          </w:p>
        </w:tc>
        <w:tc>
          <w:tcPr>
            <w:tcW w:w="880" w:type="dxa"/>
            <w:vAlign w:val="bottom"/>
            <w:tcBorders>
              <w:bottom w:val="single" w:sz="8" w:color="08228B"/>
            </w:tcBorders>
          </w:tcPr>
          <w:p>
            <w:pPr>
              <w:spacing w:after="0"/>
              <w:rPr>
                <w:sz w:val="24"/>
                <w:szCs w:val="24"/>
                <w:color w:val="auto"/>
              </w:rPr>
            </w:pPr>
          </w:p>
        </w:tc>
        <w:tc>
          <w:tcPr>
            <w:tcW w:w="1680" w:type="dxa"/>
            <w:vAlign w:val="bottom"/>
            <w:tcBorders>
              <w:bottom w:val="single" w:sz="8" w:color="08228B"/>
            </w:tcBorders>
          </w:tcPr>
          <w:p>
            <w:pPr>
              <w:spacing w:after="0"/>
              <w:rPr>
                <w:sz w:val="24"/>
                <w:szCs w:val="24"/>
                <w:color w:val="auto"/>
              </w:rPr>
            </w:pPr>
          </w:p>
        </w:tc>
        <w:tc>
          <w:tcPr>
            <w:tcW w:w="1360" w:type="dxa"/>
            <w:vAlign w:val="bottom"/>
            <w:tcBorders>
              <w:bottom w:val="single" w:sz="8" w:color="08228B"/>
            </w:tcBorders>
          </w:tcPr>
          <w:p>
            <w:pPr>
              <w:spacing w:after="0"/>
              <w:rPr>
                <w:sz w:val="24"/>
                <w:szCs w:val="24"/>
                <w:color w:val="auto"/>
              </w:rPr>
            </w:pPr>
          </w:p>
        </w:tc>
        <w:tc>
          <w:tcPr>
            <w:tcW w:w="140" w:type="dxa"/>
            <w:vAlign w:val="bottom"/>
            <w:tcBorders>
              <w:bottom w:val="single" w:sz="8" w:color="08228B"/>
            </w:tcBorders>
          </w:tcPr>
          <w:p>
            <w:pPr>
              <w:spacing w:after="0"/>
              <w:rPr>
                <w:sz w:val="24"/>
                <w:szCs w:val="24"/>
                <w:color w:val="auto"/>
              </w:rPr>
            </w:pPr>
          </w:p>
        </w:tc>
        <w:tc>
          <w:tcPr>
            <w:tcW w:w="206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1C90D3"/>
              </w:rPr>
              <w:t xml:space="preserve">2016 </w:t>
            </w:r>
            <w:r>
              <w:rPr>
                <w:rFonts w:ascii="Arial" w:cs="Arial" w:eastAsia="Arial" w:hAnsi="Arial"/>
                <w:sz w:val="16"/>
                <w:szCs w:val="16"/>
                <w:color w:val="08228B"/>
              </w:rPr>
              <w:t>PROXY STATEMENT</w:t>
            </w:r>
          </w:p>
        </w:tc>
        <w:tc>
          <w:tcPr>
            <w:tcW w:w="760" w:type="dxa"/>
            <w:vAlign w:val="bottom"/>
            <w:tcBorders>
              <w:bottom w:val="single" w:sz="8" w:color="08228B"/>
            </w:tcBorders>
          </w:tcPr>
          <w:p>
            <w:pPr>
              <w:spacing w:after="0"/>
              <w:rPr>
                <w:sz w:val="24"/>
                <w:szCs w:val="24"/>
                <w:color w:val="auto"/>
              </w:rPr>
            </w:pPr>
          </w:p>
        </w:tc>
        <w:tc>
          <w:tcPr>
            <w:tcW w:w="1320" w:type="dxa"/>
            <w:vAlign w:val="bottom"/>
            <w:tcBorders>
              <w:bottom w:val="single" w:sz="8" w:color="08228B"/>
            </w:tcBorders>
          </w:tcPr>
          <w:p>
            <w:pPr>
              <w:spacing w:after="0"/>
              <w:rPr>
                <w:sz w:val="24"/>
                <w:szCs w:val="24"/>
                <w:color w:val="auto"/>
              </w:rPr>
            </w:pPr>
          </w:p>
        </w:tc>
        <w:tc>
          <w:tcPr>
            <w:tcW w:w="320" w:type="dxa"/>
            <w:vAlign w:val="bottom"/>
            <w:tcBorders>
              <w:bottom w:val="single" w:sz="8" w:color="08228B"/>
            </w:tcBorders>
          </w:tcPr>
          <w:p>
            <w:pPr>
              <w:spacing w:after="0"/>
              <w:rPr>
                <w:sz w:val="24"/>
                <w:szCs w:val="24"/>
                <w:color w:val="auto"/>
              </w:rPr>
            </w:pPr>
          </w:p>
        </w:tc>
        <w:tc>
          <w:tcPr>
            <w:tcW w:w="760" w:type="dxa"/>
            <w:vAlign w:val="bottom"/>
          </w:tcPr>
          <w:p>
            <w:pPr>
              <w:spacing w:after="0"/>
              <w:rPr>
                <w:sz w:val="24"/>
                <w:szCs w:val="24"/>
                <w:color w:val="auto"/>
              </w:rPr>
            </w:pPr>
          </w:p>
        </w:tc>
        <w:tc>
          <w:tcPr>
            <w:tcW w:w="1840" w:type="dxa"/>
            <w:vAlign w:val="bottom"/>
            <w:gridSpan w:val="3"/>
            <w:vMerge w:val="restart"/>
          </w:tcPr>
          <w:p>
            <w:pPr>
              <w:jc w:val="right"/>
              <w:ind w:right="120"/>
              <w:spacing w:after="0"/>
              <w:rPr>
                <w:sz w:val="20"/>
                <w:szCs w:val="20"/>
                <w:color w:val="auto"/>
              </w:rPr>
            </w:pPr>
            <w:r>
              <w:rPr>
                <w:rFonts w:ascii="Arial" w:cs="Arial" w:eastAsia="Arial" w:hAnsi="Arial"/>
                <w:sz w:val="16"/>
                <w:szCs w:val="16"/>
                <w:color w:val="08228B"/>
              </w:rPr>
              <w:t>7</w:t>
            </w:r>
          </w:p>
        </w:tc>
        <w:tc>
          <w:tcPr>
            <w:tcW w:w="0" w:type="dxa"/>
            <w:vAlign w:val="bottom"/>
          </w:tcPr>
          <w:p>
            <w:pPr>
              <w:spacing w:after="0"/>
              <w:rPr>
                <w:sz w:val="1"/>
                <w:szCs w:val="1"/>
                <w:color w:val="auto"/>
              </w:rPr>
            </w:pPr>
          </w:p>
        </w:tc>
      </w:tr>
      <w:tr>
        <w:trPr>
          <w:trHeight w:val="82"/>
        </w:trPr>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8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6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1320" w:type="dxa"/>
            <w:vAlign w:val="bottom"/>
          </w:tcPr>
          <w:p>
            <w:pPr>
              <w:spacing w:after="0"/>
              <w:rPr>
                <w:sz w:val="7"/>
                <w:szCs w:val="7"/>
                <w:color w:val="auto"/>
              </w:rPr>
            </w:pPr>
          </w:p>
        </w:tc>
        <w:tc>
          <w:tcPr>
            <w:tcW w:w="3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84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7"/>
        </w:trPr>
        <w:tc>
          <w:tcPr>
            <w:tcW w:w="180" w:type="dxa"/>
            <w:vAlign w:val="bottom"/>
            <w:tcBorders>
              <w:bottom w:val="single" w:sz="8" w:color="C0C0C0"/>
            </w:tcBorders>
          </w:tcPr>
          <w:p>
            <w:pPr>
              <w:spacing w:after="0"/>
              <w:rPr>
                <w:sz w:val="24"/>
                <w:szCs w:val="24"/>
                <w:color w:val="auto"/>
              </w:rPr>
            </w:pPr>
          </w:p>
        </w:tc>
        <w:tc>
          <w:tcPr>
            <w:tcW w:w="120" w:type="dxa"/>
            <w:vAlign w:val="bottom"/>
            <w:tcBorders>
              <w:bottom w:val="single" w:sz="8" w:color="C0C0C0"/>
            </w:tcBorders>
          </w:tcPr>
          <w:p>
            <w:pPr>
              <w:spacing w:after="0"/>
              <w:rPr>
                <w:sz w:val="24"/>
                <w:szCs w:val="24"/>
                <w:color w:val="auto"/>
              </w:rPr>
            </w:pPr>
          </w:p>
        </w:tc>
        <w:tc>
          <w:tcPr>
            <w:tcW w:w="880" w:type="dxa"/>
            <w:vAlign w:val="bottom"/>
            <w:tcBorders>
              <w:bottom w:val="single" w:sz="8" w:color="C0C0C0"/>
            </w:tcBorders>
          </w:tcPr>
          <w:p>
            <w:pPr>
              <w:spacing w:after="0"/>
              <w:rPr>
                <w:sz w:val="24"/>
                <w:szCs w:val="24"/>
                <w:color w:val="auto"/>
              </w:rPr>
            </w:pPr>
          </w:p>
        </w:tc>
        <w:tc>
          <w:tcPr>
            <w:tcW w:w="1680" w:type="dxa"/>
            <w:vAlign w:val="bottom"/>
            <w:tcBorders>
              <w:bottom w:val="single" w:sz="8" w:color="C0C0C0"/>
            </w:tcBorders>
          </w:tcPr>
          <w:p>
            <w:pPr>
              <w:spacing w:after="0"/>
              <w:rPr>
                <w:sz w:val="24"/>
                <w:szCs w:val="24"/>
                <w:color w:val="auto"/>
              </w:rPr>
            </w:pPr>
          </w:p>
        </w:tc>
        <w:tc>
          <w:tcPr>
            <w:tcW w:w="1360" w:type="dxa"/>
            <w:vAlign w:val="bottom"/>
            <w:tcBorders>
              <w:bottom w:val="single" w:sz="8" w:color="C0C0C0"/>
            </w:tcBorders>
          </w:tcPr>
          <w:p>
            <w:pPr>
              <w:spacing w:after="0"/>
              <w:rPr>
                <w:sz w:val="24"/>
                <w:szCs w:val="24"/>
                <w:color w:val="auto"/>
              </w:rPr>
            </w:pPr>
          </w:p>
        </w:tc>
        <w:tc>
          <w:tcPr>
            <w:tcW w:w="140" w:type="dxa"/>
            <w:vAlign w:val="bottom"/>
            <w:tcBorders>
              <w:bottom w:val="single" w:sz="8" w:color="C0C0C0"/>
            </w:tcBorders>
          </w:tcPr>
          <w:p>
            <w:pPr>
              <w:spacing w:after="0"/>
              <w:rPr>
                <w:sz w:val="24"/>
                <w:szCs w:val="24"/>
                <w:color w:val="auto"/>
              </w:rPr>
            </w:pPr>
          </w:p>
        </w:tc>
        <w:tc>
          <w:tcPr>
            <w:tcW w:w="980" w:type="dxa"/>
            <w:vAlign w:val="bottom"/>
            <w:tcBorders>
              <w:bottom w:val="single" w:sz="8" w:color="C0C0C0"/>
            </w:tcBorders>
          </w:tcPr>
          <w:p>
            <w:pPr>
              <w:spacing w:after="0"/>
              <w:rPr>
                <w:sz w:val="24"/>
                <w:szCs w:val="24"/>
                <w:color w:val="auto"/>
              </w:rPr>
            </w:pPr>
          </w:p>
        </w:tc>
        <w:tc>
          <w:tcPr>
            <w:tcW w:w="660" w:type="dxa"/>
            <w:vAlign w:val="bottom"/>
            <w:tcBorders>
              <w:bottom w:val="single" w:sz="8" w:color="C0C0C0"/>
            </w:tcBorders>
          </w:tcPr>
          <w:p>
            <w:pPr>
              <w:spacing w:after="0"/>
              <w:rPr>
                <w:sz w:val="24"/>
                <w:szCs w:val="24"/>
                <w:color w:val="auto"/>
              </w:rPr>
            </w:pPr>
          </w:p>
        </w:tc>
        <w:tc>
          <w:tcPr>
            <w:tcW w:w="420" w:type="dxa"/>
            <w:vAlign w:val="bottom"/>
            <w:tcBorders>
              <w:bottom w:val="single" w:sz="8" w:color="C0C0C0"/>
            </w:tcBorders>
          </w:tcPr>
          <w:p>
            <w:pPr>
              <w:spacing w:after="0"/>
              <w:rPr>
                <w:sz w:val="24"/>
                <w:szCs w:val="24"/>
                <w:color w:val="auto"/>
              </w:rPr>
            </w:pPr>
          </w:p>
        </w:tc>
        <w:tc>
          <w:tcPr>
            <w:tcW w:w="760" w:type="dxa"/>
            <w:vAlign w:val="bottom"/>
            <w:tcBorders>
              <w:bottom w:val="single" w:sz="8" w:color="C0C0C0"/>
            </w:tcBorders>
          </w:tcPr>
          <w:p>
            <w:pPr>
              <w:spacing w:after="0"/>
              <w:rPr>
                <w:sz w:val="24"/>
                <w:szCs w:val="24"/>
                <w:color w:val="auto"/>
              </w:rPr>
            </w:pPr>
          </w:p>
        </w:tc>
        <w:tc>
          <w:tcPr>
            <w:tcW w:w="1320" w:type="dxa"/>
            <w:vAlign w:val="bottom"/>
            <w:tcBorders>
              <w:bottom w:val="single" w:sz="8" w:color="C0C0C0"/>
            </w:tcBorders>
          </w:tcPr>
          <w:p>
            <w:pPr>
              <w:spacing w:after="0"/>
              <w:rPr>
                <w:sz w:val="24"/>
                <w:szCs w:val="24"/>
                <w:color w:val="auto"/>
              </w:rPr>
            </w:pPr>
          </w:p>
        </w:tc>
        <w:tc>
          <w:tcPr>
            <w:tcW w:w="320" w:type="dxa"/>
            <w:vAlign w:val="bottom"/>
            <w:tcBorders>
              <w:bottom w:val="single" w:sz="8" w:color="C0C0C0"/>
            </w:tcBorders>
          </w:tcPr>
          <w:p>
            <w:pPr>
              <w:spacing w:after="0"/>
              <w:rPr>
                <w:sz w:val="24"/>
                <w:szCs w:val="24"/>
                <w:color w:val="auto"/>
              </w:rPr>
            </w:pPr>
          </w:p>
        </w:tc>
        <w:tc>
          <w:tcPr>
            <w:tcW w:w="760" w:type="dxa"/>
            <w:vAlign w:val="bottom"/>
            <w:tcBorders>
              <w:bottom w:val="single" w:sz="8" w:color="C0C0C0"/>
            </w:tcBorders>
          </w:tcPr>
          <w:p>
            <w:pPr>
              <w:spacing w:after="0"/>
              <w:rPr>
                <w:sz w:val="24"/>
                <w:szCs w:val="24"/>
                <w:color w:val="auto"/>
              </w:rPr>
            </w:pPr>
          </w:p>
        </w:tc>
        <w:tc>
          <w:tcPr>
            <w:tcW w:w="1120" w:type="dxa"/>
            <w:vAlign w:val="bottom"/>
            <w:tcBorders>
              <w:bottom w:val="single" w:sz="8" w:color="C0C0C0"/>
            </w:tcBorders>
          </w:tcPr>
          <w:p>
            <w:pPr>
              <w:spacing w:after="0"/>
              <w:rPr>
                <w:sz w:val="24"/>
                <w:szCs w:val="24"/>
                <w:color w:val="auto"/>
              </w:rPr>
            </w:pPr>
          </w:p>
        </w:tc>
        <w:tc>
          <w:tcPr>
            <w:tcW w:w="240" w:type="dxa"/>
            <w:vAlign w:val="bottom"/>
            <w:tcBorders>
              <w:bottom w:val="single" w:sz="8" w:color="C0C0C0"/>
            </w:tcBorders>
          </w:tcPr>
          <w:p>
            <w:pPr>
              <w:spacing w:after="0"/>
              <w:rPr>
                <w:sz w:val="24"/>
                <w:szCs w:val="24"/>
                <w:color w:val="auto"/>
              </w:rPr>
            </w:pPr>
          </w:p>
        </w:tc>
        <w:tc>
          <w:tcPr>
            <w:tcW w:w="48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5622290</wp:posOffset>
            </wp:positionH>
            <wp:positionV relativeFrom="paragraph">
              <wp:posOffset>-334010</wp:posOffset>
            </wp:positionV>
            <wp:extent cx="1286510" cy="8572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86510" cy="85725"/>
                    </a:xfrm>
                    <a:prstGeom prst="rect">
                      <a:avLst/>
                    </a:prstGeom>
                    <a:noFill/>
                  </pic:spPr>
                </pic:pic>
              </a:graphicData>
            </a:graphic>
          </wp:anchor>
        </w:drawing>
      </w:r>
    </w:p>
    <w:p>
      <w:pPr>
        <w:sectPr>
          <w:pgSz w:w="11900" w:h="16838" w:orient="portrait"/>
          <w:cols w:equalWidth="0" w:num="1">
            <w:col w:w="11420"/>
          </w:cols>
          <w:pgMar w:left="240" w:top="225" w:right="239" w:bottom="697"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Back to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right"/>
        <w:ind w:right="3459"/>
        <w:spacing w:after="0"/>
        <w:rPr>
          <w:sz w:val="20"/>
          <w:szCs w:val="20"/>
          <w:color w:val="auto"/>
        </w:rPr>
      </w:pPr>
      <w:r>
        <w:rPr>
          <w:rFonts w:ascii="Arial" w:cs="Arial" w:eastAsia="Arial" w:hAnsi="Arial"/>
          <w:sz w:val="14"/>
          <w:szCs w:val="14"/>
          <w:color w:val="auto"/>
        </w:rPr>
        <w:t>This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3702685</wp:posOffset>
            </wp:positionV>
            <wp:extent cx="7246620" cy="342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219"/>
          </w:cols>
          <w:pgMar w:left="240" w:top="225" w:right="1440"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Back to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40"/>
          <w:szCs w:val="40"/>
          <w:b w:val="1"/>
          <w:bCs w:val="1"/>
          <w:color w:val="1C90D3"/>
        </w:rPr>
        <w:t xml:space="preserve">ITEM NO. 1 </w:t>
      </w:r>
      <w:r>
        <w:rPr>
          <w:rFonts w:ascii="Arial" w:cs="Arial" w:eastAsia="Arial" w:hAnsi="Arial"/>
          <w:sz w:val="40"/>
          <w:szCs w:val="40"/>
          <w:color w:val="08228B"/>
        </w:rPr>
        <w:t>– ELECTION OF DIRECTORS</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32"/>
          <w:szCs w:val="32"/>
          <w:color w:val="1C90D3"/>
        </w:rPr>
        <w:t>Director Election Requirements</w:t>
      </w:r>
    </w:p>
    <w:p>
      <w:pPr>
        <w:spacing w:after="0" w:line="31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Our Board is elected annually by our shareholders. Upon the recommendation of the Governance and Corporate Responsibility Committee (“Governance Committee”), our Board has nominated each of the 12 persons identified below to serve as director for a one-year term or until his or her successor has been duly elected and qualified or until his or her earlier resignation or removal. Each director nominee who receives a majority of the votes cast (i.e., the number of shares voted FOR a director nominee must exceed the number of shares voted AGAINST that director nominee, excluding abstentions) will be elected as director in this uncontested election. If any nominee becomes unable to serve, proxies will be voted for the election of such other person as the Board of Directors may designate, unless the Board chooses to reduce the number of directors.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Stephen J. Girsky has elected to retire from the Board effective as of the Annual Meeting and is not standing for re-election.</w:t>
      </w:r>
    </w:p>
    <w:p>
      <w:pPr>
        <w:spacing w:after="0" w:line="19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Other than Jane L. Mendillo, all directors were elected at the 2015 Annual Meeting. The Board’s nomination of Ms. Mendillo followed completion of our standard candidate evaluation procedures, which include identification and evaluation of potential candidates by a search firm engaged by the Governance Committee, candidate interviews by a subcommittee of the Governance Committee, and interviews with other members of the Board.</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32"/>
          <w:szCs w:val="32"/>
          <w:color w:val="1C90D3"/>
        </w:rPr>
        <w:t>Director Nomination Process</w:t>
      </w:r>
    </w:p>
    <w:p>
      <w:pPr>
        <w:spacing w:after="0" w:line="31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Governance Committee is responsible for recommending nominees to the Board annually. In determining whether to recommend a director for re-election, the Governance Committee considers a number of factors, including the director’s history of attendance and participation in meetings, other contributions to the activities of the Board and GM, active participation in orientation and ongoing educational events, the results of Board self-evaluations and any potential or actual conflicts of interest.</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Board nominates directors upon the recommendation of the Governance Committee. The Governance Committee annually reviews with the Board the appropriate skills and characteristics needed for the Board to effectively perform its oversight function. Board nominees are then selected, whether existing or new, after considering current Board composition, Company strategy and other relevant facts and circumstances.</w:t>
      </w:r>
    </w:p>
    <w:p>
      <w:pPr>
        <w:spacing w:after="0" w:line="17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selection of qualified directors is complex and crucial to our long-term success. The Governance Committee and the Board set different priorities for recruiting new Board members at different times, depending on the Company’s needs and the makeup of the Board. In every case, however, candidates for Board election must be able to contribute significantly to the Board’s discussion and decision-making on the broad array of complex issues facing the Company. The Governance Committee sometimes engages search firms to help identify and evaluate candidates. Recently, our recruiting efforts have been particularly directed toward identifying candidates who have distinguished themselves as leaders of large, complex organizations with strong expertise in technology, strategy, finance, and global investment management.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13"/>
        </w:trPr>
        <w:tc>
          <w:tcPr>
            <w:tcW w:w="4360" w:type="dxa"/>
            <w:vAlign w:val="bottom"/>
            <w:tcBorders>
              <w:bottom w:val="single" w:sz="8" w:color="08228B"/>
            </w:tcBorders>
          </w:tcPr>
          <w:p>
            <w:pPr>
              <w:spacing w:after="0"/>
              <w:rPr>
                <w:sz w:val="9"/>
                <w:szCs w:val="9"/>
                <w:color w:val="auto"/>
              </w:rPr>
            </w:pPr>
          </w:p>
        </w:tc>
        <w:tc>
          <w:tcPr>
            <w:tcW w:w="2060" w:type="dxa"/>
            <w:vAlign w:val="bottom"/>
            <w:vMerge w:val="restart"/>
          </w:tcPr>
          <w:p>
            <w:pPr>
              <w:ind w:left="40"/>
              <w:spacing w:after="0"/>
              <w:rPr>
                <w:sz w:val="20"/>
                <w:szCs w:val="20"/>
                <w:color w:val="auto"/>
              </w:rPr>
            </w:pPr>
            <w:r>
              <w:rPr>
                <w:rFonts w:ascii="Arial" w:cs="Arial" w:eastAsia="Arial" w:hAnsi="Arial"/>
                <w:sz w:val="16"/>
                <w:szCs w:val="16"/>
                <w:b w:val="1"/>
                <w:bCs w:val="1"/>
                <w:color w:val="1C90D3"/>
              </w:rPr>
              <w:t xml:space="preserve">2016 </w:t>
            </w:r>
            <w:r>
              <w:rPr>
                <w:rFonts w:ascii="Arial" w:cs="Arial" w:eastAsia="Arial" w:hAnsi="Arial"/>
                <w:sz w:val="16"/>
                <w:szCs w:val="16"/>
                <w:color w:val="08228B"/>
              </w:rPr>
              <w:t>PROXY STATEMENT</w:t>
            </w:r>
          </w:p>
        </w:tc>
        <w:tc>
          <w:tcPr>
            <w:tcW w:w="2400" w:type="dxa"/>
            <w:vAlign w:val="bottom"/>
            <w:tcBorders>
              <w:bottom w:val="single" w:sz="8" w:color="08228B"/>
            </w:tcBorders>
          </w:tcPr>
          <w:p>
            <w:pPr>
              <w:spacing w:after="0"/>
              <w:rPr>
                <w:sz w:val="9"/>
                <w:szCs w:val="9"/>
                <w:color w:val="auto"/>
              </w:rPr>
            </w:pPr>
          </w:p>
        </w:tc>
        <w:tc>
          <w:tcPr>
            <w:tcW w:w="2600" w:type="dxa"/>
            <w:vAlign w:val="bottom"/>
            <w:vMerge w:val="restart"/>
          </w:tcPr>
          <w:p>
            <w:pPr>
              <w:jc w:val="right"/>
              <w:ind w:right="39"/>
              <w:spacing w:after="0"/>
              <w:rPr>
                <w:sz w:val="20"/>
                <w:szCs w:val="20"/>
                <w:color w:val="auto"/>
              </w:rPr>
            </w:pPr>
            <w:r>
              <w:rPr>
                <w:rFonts w:ascii="Arial" w:cs="Arial" w:eastAsia="Arial" w:hAnsi="Arial"/>
                <w:sz w:val="16"/>
                <w:szCs w:val="16"/>
                <w:color w:val="08228B"/>
              </w:rPr>
              <w:t>9</w:t>
            </w:r>
          </w:p>
        </w:tc>
        <w:tc>
          <w:tcPr>
            <w:tcW w:w="0" w:type="dxa"/>
            <w:vAlign w:val="bottom"/>
          </w:tcPr>
          <w:p>
            <w:pPr>
              <w:spacing w:after="0"/>
              <w:rPr>
                <w:sz w:val="1"/>
                <w:szCs w:val="1"/>
                <w:color w:val="auto"/>
              </w:rPr>
            </w:pPr>
          </w:p>
        </w:tc>
      </w:tr>
      <w:tr>
        <w:trPr>
          <w:trHeight w:val="82"/>
        </w:trPr>
        <w:tc>
          <w:tcPr>
            <w:tcW w:w="4360" w:type="dxa"/>
            <w:vAlign w:val="bottom"/>
          </w:tcPr>
          <w:p>
            <w:pPr>
              <w:spacing w:after="0"/>
              <w:rPr>
                <w:sz w:val="7"/>
                <w:szCs w:val="7"/>
                <w:color w:val="auto"/>
              </w:rPr>
            </w:pPr>
          </w:p>
        </w:tc>
        <w:tc>
          <w:tcPr>
            <w:tcW w:w="2060" w:type="dxa"/>
            <w:vAlign w:val="bottom"/>
            <w:vMerge w:val="continue"/>
          </w:tcPr>
          <w:p>
            <w:pPr>
              <w:spacing w:after="0"/>
              <w:rPr>
                <w:sz w:val="7"/>
                <w:szCs w:val="7"/>
                <w:color w:val="auto"/>
              </w:rPr>
            </w:pPr>
          </w:p>
        </w:tc>
        <w:tc>
          <w:tcPr>
            <w:tcW w:w="2400" w:type="dxa"/>
            <w:vAlign w:val="bottom"/>
          </w:tcPr>
          <w:p>
            <w:pPr>
              <w:spacing w:after="0"/>
              <w:rPr>
                <w:sz w:val="7"/>
                <w:szCs w:val="7"/>
                <w:color w:val="auto"/>
              </w:rPr>
            </w:pPr>
          </w:p>
        </w:tc>
        <w:tc>
          <w:tcPr>
            <w:tcW w:w="2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7"/>
        </w:trPr>
        <w:tc>
          <w:tcPr>
            <w:tcW w:w="4360" w:type="dxa"/>
            <w:vAlign w:val="bottom"/>
            <w:tcBorders>
              <w:bottom w:val="single" w:sz="8" w:color="C0C0C0"/>
            </w:tcBorders>
          </w:tcPr>
          <w:p>
            <w:pPr>
              <w:spacing w:after="0"/>
              <w:rPr>
                <w:sz w:val="24"/>
                <w:szCs w:val="24"/>
                <w:color w:val="auto"/>
              </w:rPr>
            </w:pPr>
          </w:p>
        </w:tc>
        <w:tc>
          <w:tcPr>
            <w:tcW w:w="2060" w:type="dxa"/>
            <w:vAlign w:val="bottom"/>
            <w:tcBorders>
              <w:bottom w:val="single" w:sz="8" w:color="C0C0C0"/>
            </w:tcBorders>
          </w:tcPr>
          <w:p>
            <w:pPr>
              <w:spacing w:after="0"/>
              <w:rPr>
                <w:sz w:val="24"/>
                <w:szCs w:val="24"/>
                <w:color w:val="auto"/>
              </w:rPr>
            </w:pPr>
          </w:p>
        </w:tc>
        <w:tc>
          <w:tcPr>
            <w:tcW w:w="2400" w:type="dxa"/>
            <w:vAlign w:val="bottom"/>
            <w:tcBorders>
              <w:bottom w:val="single" w:sz="8" w:color="C0C0C0"/>
            </w:tcBorders>
          </w:tcPr>
          <w:p>
            <w:pPr>
              <w:spacing w:after="0"/>
              <w:rPr>
                <w:sz w:val="24"/>
                <w:szCs w:val="24"/>
                <w:color w:val="auto"/>
              </w:rPr>
            </w:pPr>
          </w:p>
        </w:tc>
        <w:tc>
          <w:tcPr>
            <w:tcW w:w="260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5622290</wp:posOffset>
            </wp:positionH>
            <wp:positionV relativeFrom="paragraph">
              <wp:posOffset>-334010</wp:posOffset>
            </wp:positionV>
            <wp:extent cx="1286510" cy="8572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86510" cy="8572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Back to Contents</w:t>
        </w:r>
      </w:hyperlink>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Potential candidates meeting these priorities are further evaluated on criteria that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6915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6915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165100</wp:posOffset>
            </wp:positionV>
            <wp:extent cx="300355" cy="2489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00355" cy="248920"/>
                    </a:xfrm>
                    <a:prstGeom prst="rect">
                      <a:avLst/>
                    </a:prstGeom>
                    <a:noFill/>
                  </pic:spPr>
                </pic:pic>
              </a:graphicData>
            </a:graphic>
          </wp:anchor>
        </w:drawing>
      </w:r>
    </w:p>
    <w:p>
      <w:pPr>
        <w:spacing w:after="0" w:line="242" w:lineRule="exact"/>
        <w:rPr>
          <w:sz w:val="20"/>
          <w:szCs w:val="20"/>
          <w:color w:val="auto"/>
        </w:rPr>
      </w:pPr>
    </w:p>
    <w:p>
      <w:pPr>
        <w:ind w:left="1140" w:right="400"/>
        <w:spacing w:after="0" w:line="260" w:lineRule="auto"/>
        <w:rPr>
          <w:sz w:val="20"/>
          <w:szCs w:val="20"/>
          <w:color w:val="auto"/>
        </w:rPr>
      </w:pPr>
      <w:r>
        <w:rPr>
          <w:rFonts w:ascii="Arial" w:cs="Arial" w:eastAsia="Arial" w:hAnsi="Arial"/>
          <w:sz w:val="16"/>
          <w:szCs w:val="16"/>
          <w:color w:val="auto"/>
        </w:rPr>
        <w:t>Significant leadership experience over an extended period, especially as CEO; extraordinary leadership qualities; and the ability to identify and develop those qualities in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6915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6915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71755</wp:posOffset>
            </wp:positionV>
            <wp:extent cx="300355" cy="2832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00355" cy="283210"/>
                    </a:xfrm>
                    <a:prstGeom prst="rect">
                      <a:avLst/>
                    </a:prstGeom>
                    <a:noFill/>
                  </pic:spPr>
                </pic:pic>
              </a:graphicData>
            </a:graphic>
          </wp:anchor>
        </w:drawing>
      </w:r>
    </w:p>
    <w:p>
      <w:pPr>
        <w:spacing w:after="0" w:line="21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Leadership experience in the automotive and related industries.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6915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6915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165100</wp:posOffset>
            </wp:positionV>
            <wp:extent cx="300355" cy="23177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00355" cy="231775"/>
                    </a:xfrm>
                    <a:prstGeom prst="rect">
                      <a:avLst/>
                    </a:prstGeom>
                    <a:noFill/>
                  </pic:spPr>
                </pic:pic>
              </a:graphicData>
            </a:graphic>
          </wp:anchor>
        </w:drawing>
      </w:r>
    </w:p>
    <w:p>
      <w:pPr>
        <w:spacing w:after="0" w:line="323"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Understanding of technology and innovation.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716915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6915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139065</wp:posOffset>
            </wp:positionV>
            <wp:extent cx="300355" cy="23177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00355" cy="231775"/>
                    </a:xfrm>
                    <a:prstGeom prst="rect">
                      <a:avLst/>
                    </a:prstGeom>
                    <a:noFill/>
                  </pic:spPr>
                </pic:pic>
              </a:graphicData>
            </a:graphic>
          </wp:anchor>
        </w:drawing>
      </w:r>
    </w:p>
    <w:p>
      <w:pPr>
        <w:spacing w:after="0" w:line="282"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Relevant risk management experience and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716915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69150" cy="8890"/>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139065</wp:posOffset>
            </wp:positionV>
            <wp:extent cx="240030" cy="26606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40030" cy="266065"/>
                    </a:xfrm>
                    <a:prstGeom prst="rect">
                      <a:avLst/>
                    </a:prstGeom>
                    <a:noFill/>
                  </pic:spPr>
                </pic:pic>
              </a:graphicData>
            </a:graphic>
          </wp:anchor>
        </w:drawing>
      </w:r>
    </w:p>
    <w:p>
      <w:pPr>
        <w:spacing w:after="0" w:line="309"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Global business and cultural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16915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6915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156210</wp:posOffset>
            </wp:positionV>
            <wp:extent cx="300355" cy="28321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00355" cy="283210"/>
                    </a:xfrm>
                    <a:prstGeom prst="rect">
                      <a:avLst/>
                    </a:prstGeom>
                    <a:noFill/>
                  </pic:spPr>
                </pic:pic>
              </a:graphicData>
            </a:graphic>
          </wp:anchor>
        </w:drawing>
      </w:r>
    </w:p>
    <w:p>
      <w:pPr>
        <w:spacing w:after="0" w:line="350"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Expertise in complex financial and accounting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6915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6915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165100</wp:posOffset>
            </wp:positionV>
            <wp:extent cx="300355" cy="1714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00355" cy="171450"/>
                    </a:xfrm>
                    <a:prstGeom prst="rect">
                      <a:avLst/>
                    </a:prstGeom>
                    <a:noFill/>
                  </pic:spPr>
                </pic:pic>
              </a:graphicData>
            </a:graphic>
          </wp:anchor>
        </w:drawing>
      </w:r>
    </w:p>
    <w:p>
      <w:pPr>
        <w:spacing w:after="0" w:line="282"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Knowledge of global government relations, public policy, and regulatory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16915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6915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104775</wp:posOffset>
            </wp:positionV>
            <wp:extent cx="300355" cy="24003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00355" cy="240030"/>
                    </a:xfrm>
                    <a:prstGeom prst="rect">
                      <a:avLst/>
                    </a:prstGeom>
                    <a:noFill/>
                  </pic:spPr>
                </pic:pic>
              </a:graphicData>
            </a:graphic>
          </wp:anchor>
        </w:drawing>
      </w:r>
    </w:p>
    <w:p>
      <w:pPr>
        <w:spacing w:after="0" w:line="242"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Marketing experience, including digital marketing, brand and product awareness; social media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716915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6915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139065</wp:posOffset>
            </wp:positionV>
            <wp:extent cx="300355" cy="23177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00355" cy="231775"/>
                    </a:xfrm>
                    <a:prstGeom prst="rect">
                      <a:avLst/>
                    </a:prstGeom>
                    <a:noFill/>
                  </pic:spPr>
                </pic:pic>
              </a:graphicData>
            </a:graphic>
          </wp:anchor>
        </w:drawing>
      </w:r>
    </w:p>
    <w:p>
      <w:pPr>
        <w:spacing w:after="0" w:line="282"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Diversity of perspective, professional experience, age, and background, such as gender, race, ethnicity, and country of origin.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716915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69150" cy="8890"/>
                    </a:xfrm>
                    <a:prstGeom prst="rect">
                      <a:avLst/>
                    </a:prstGeom>
                    <a:noFill/>
                  </pic:spPr>
                </pic:pic>
              </a:graphicData>
            </a:graphic>
          </wp:anchor>
        </w:drawing>
      </w:r>
    </w:p>
    <w:p>
      <w:pPr>
        <w:spacing w:after="0" w:line="336"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assessing potential candidates, the Governance Committee considers individuals with a broad range of business experience and varied backgrounds. Although GM does not have a formal policy governing diversity among Board members, we continually strive to add directors of diverse backgrounds. We recognize the value of overall diversity and consider members’ opinions, perspectives, personal and professional experiences, and backgrounds, including gender, race, ethnicity, and country of origin, when considering Board candidates. We believe that the judgment and perspectives offered by a diverse board of directors improves the quality of decision-making and enhances the Company’s business performance. We also believe such diversity can help the Board respond more effectively to the needs of customers, shareholders, employees, suppliers, and other stakeholders worldwide.</w:t>
      </w:r>
    </w:p>
    <w:p>
      <w:pPr>
        <w:spacing w:after="0" w:line="17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Pursuant to the Stockholders Agreement dated October 15, 2009 between the Company and the UAW Retiree Medical Benefits Trust (the “VEBA Trust”), the VEBA Trust has the right to designate one nominee to our Board, subject to the consent of the UAW and approval by the Board (the Board may not withhold its approval unreasonably). The VEBA Trust has designated Mr. Ashton, who has been recommended by the Governance Committee and nominated by the Board as part of the slate of candidates it recommends for election at the Annual Meeting.</w:t>
      </w:r>
    </w:p>
    <w:p>
      <w:pPr>
        <w:spacing w:after="0" w:line="17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 xml:space="preserve">The Governance Committee will consider persons recommended by shareholders for election to the Board. To recommend an individual for Board membership, write to Jill E. Sutton, Corporate Secretary and Deputy General Counsel, Corporate, Finance and Strategic Transactions (“Corporate Secretary and Deputy General Counsel”) of our Company, at the mailing address or e-mail address provided on page 74 in </w:t>
      </w:r>
      <w:r>
        <w:rPr>
          <w:rFonts w:ascii="Arial" w:cs="Arial" w:eastAsia="Arial" w:hAnsi="Arial"/>
          <w:sz w:val="16"/>
          <w:szCs w:val="16"/>
          <w:i w:val="1"/>
          <w:iCs w:val="1"/>
          <w:color w:val="auto"/>
        </w:rPr>
        <w:t>“How can I obtain the Company’s corporate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governance information?” </w:t>
      </w:r>
      <w:r>
        <w:rPr>
          <w:rFonts w:ascii="Arial" w:cs="Arial" w:eastAsia="Arial" w:hAnsi="Arial"/>
          <w:sz w:val="16"/>
          <w:szCs w:val="16"/>
          <w:color w:val="auto"/>
        </w:rPr>
        <w:t>The Governance Committee will review the qualifications and experience of each recommended candidate using the same criteria</w:t>
      </w:r>
      <w:r>
        <w:rPr>
          <w:rFonts w:ascii="Arial" w:cs="Arial" w:eastAsia="Arial" w:hAnsi="Arial"/>
          <w:sz w:val="16"/>
          <w:szCs w:val="16"/>
          <w:i w:val="1"/>
          <w:iCs w:val="1"/>
          <w:color w:val="auto"/>
        </w:rPr>
        <w:t xml:space="preserve"> </w:t>
      </w:r>
      <w:r>
        <w:rPr>
          <w:rFonts w:ascii="Arial" w:cs="Arial" w:eastAsia="Arial" w:hAnsi="Arial"/>
          <w:sz w:val="16"/>
          <w:szCs w:val="16"/>
          <w:color w:val="auto"/>
        </w:rPr>
        <w:t>for candidates proposed by Board members and communicate its decision to the candidate or the person who made the recommendation.</w:t>
      </w:r>
    </w:p>
    <w:p>
      <w:pPr>
        <w:spacing w:after="0" w:line="17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GM has received notice pursuant to our Bylaws that a shareholder owning two shares of our common stock intends to nominate candidates for election to the Board at the 2016 Annual Meeting. The Board has determined in its reasonable judgment that this is not considered a contested election, and therefore, majority voting will apply. The Governance Committee evaluated these candidates as discussed above, and the Proxy Committee appointed by the Board intends to vote against the election of these candidates.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13"/>
        </w:trPr>
        <w:tc>
          <w:tcPr>
            <w:tcW w:w="4340" w:type="dxa"/>
            <w:vAlign w:val="bottom"/>
            <w:tcBorders>
              <w:bottom w:val="single" w:sz="8" w:color="08228B"/>
            </w:tcBorders>
          </w:tcPr>
          <w:p>
            <w:pPr>
              <w:spacing w:after="0"/>
              <w:rPr>
                <w:sz w:val="9"/>
                <w:szCs w:val="9"/>
                <w:color w:val="auto"/>
              </w:rPr>
            </w:pPr>
          </w:p>
        </w:tc>
        <w:tc>
          <w:tcPr>
            <w:tcW w:w="2060" w:type="dxa"/>
            <w:vAlign w:val="bottom"/>
            <w:vMerge w:val="restart"/>
          </w:tcPr>
          <w:p>
            <w:pPr>
              <w:ind w:left="60"/>
              <w:spacing w:after="0"/>
              <w:rPr>
                <w:sz w:val="20"/>
                <w:szCs w:val="20"/>
                <w:color w:val="auto"/>
              </w:rPr>
            </w:pPr>
            <w:r>
              <w:rPr>
                <w:rFonts w:ascii="Arial" w:cs="Arial" w:eastAsia="Arial" w:hAnsi="Arial"/>
                <w:sz w:val="16"/>
                <w:szCs w:val="16"/>
                <w:b w:val="1"/>
                <w:bCs w:val="1"/>
                <w:color w:val="1C90D3"/>
              </w:rPr>
              <w:t xml:space="preserve">2016 </w:t>
            </w:r>
            <w:r>
              <w:rPr>
                <w:rFonts w:ascii="Arial" w:cs="Arial" w:eastAsia="Arial" w:hAnsi="Arial"/>
                <w:sz w:val="16"/>
                <w:szCs w:val="16"/>
                <w:color w:val="08228B"/>
              </w:rPr>
              <w:t>PROXY STATEMENT</w:t>
            </w:r>
          </w:p>
        </w:tc>
        <w:tc>
          <w:tcPr>
            <w:tcW w:w="2400" w:type="dxa"/>
            <w:vAlign w:val="bottom"/>
            <w:tcBorders>
              <w:bottom w:val="single" w:sz="8" w:color="08228B"/>
            </w:tcBorders>
          </w:tcPr>
          <w:p>
            <w:pPr>
              <w:spacing w:after="0"/>
              <w:rPr>
                <w:sz w:val="9"/>
                <w:szCs w:val="9"/>
                <w:color w:val="auto"/>
              </w:rPr>
            </w:pPr>
          </w:p>
        </w:tc>
        <w:tc>
          <w:tcPr>
            <w:tcW w:w="2620" w:type="dxa"/>
            <w:vAlign w:val="bottom"/>
            <w:vMerge w:val="restart"/>
          </w:tcPr>
          <w:p>
            <w:pPr>
              <w:jc w:val="right"/>
              <w:ind w:right="39"/>
              <w:spacing w:after="0"/>
              <w:rPr>
                <w:sz w:val="20"/>
                <w:szCs w:val="20"/>
                <w:color w:val="auto"/>
              </w:rPr>
            </w:pPr>
            <w:r>
              <w:rPr>
                <w:rFonts w:ascii="Arial" w:cs="Arial" w:eastAsia="Arial" w:hAnsi="Arial"/>
                <w:sz w:val="16"/>
                <w:szCs w:val="16"/>
                <w:color w:val="08228B"/>
              </w:rPr>
              <w:t>10</w:t>
            </w:r>
          </w:p>
        </w:tc>
        <w:tc>
          <w:tcPr>
            <w:tcW w:w="0" w:type="dxa"/>
            <w:vAlign w:val="bottom"/>
          </w:tcPr>
          <w:p>
            <w:pPr>
              <w:spacing w:after="0"/>
              <w:rPr>
                <w:sz w:val="1"/>
                <w:szCs w:val="1"/>
                <w:color w:val="auto"/>
              </w:rPr>
            </w:pPr>
          </w:p>
        </w:tc>
      </w:tr>
      <w:tr>
        <w:trPr>
          <w:trHeight w:val="82"/>
        </w:trPr>
        <w:tc>
          <w:tcPr>
            <w:tcW w:w="4340" w:type="dxa"/>
            <w:vAlign w:val="bottom"/>
          </w:tcPr>
          <w:p>
            <w:pPr>
              <w:spacing w:after="0"/>
              <w:rPr>
                <w:sz w:val="7"/>
                <w:szCs w:val="7"/>
                <w:color w:val="auto"/>
              </w:rPr>
            </w:pPr>
          </w:p>
        </w:tc>
        <w:tc>
          <w:tcPr>
            <w:tcW w:w="2060" w:type="dxa"/>
            <w:vAlign w:val="bottom"/>
            <w:vMerge w:val="continue"/>
          </w:tcPr>
          <w:p>
            <w:pPr>
              <w:spacing w:after="0"/>
              <w:rPr>
                <w:sz w:val="7"/>
                <w:szCs w:val="7"/>
                <w:color w:val="auto"/>
              </w:rPr>
            </w:pPr>
          </w:p>
        </w:tc>
        <w:tc>
          <w:tcPr>
            <w:tcW w:w="2400" w:type="dxa"/>
            <w:vAlign w:val="bottom"/>
          </w:tcPr>
          <w:p>
            <w:pPr>
              <w:spacing w:after="0"/>
              <w:rPr>
                <w:sz w:val="7"/>
                <w:szCs w:val="7"/>
                <w:color w:val="auto"/>
              </w:rPr>
            </w:pPr>
          </w:p>
        </w:tc>
        <w:tc>
          <w:tcPr>
            <w:tcW w:w="2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7"/>
        </w:trPr>
        <w:tc>
          <w:tcPr>
            <w:tcW w:w="4340" w:type="dxa"/>
            <w:vAlign w:val="bottom"/>
            <w:tcBorders>
              <w:bottom w:val="single" w:sz="8" w:color="C0C0C0"/>
            </w:tcBorders>
          </w:tcPr>
          <w:p>
            <w:pPr>
              <w:spacing w:after="0"/>
              <w:rPr>
                <w:sz w:val="24"/>
                <w:szCs w:val="24"/>
                <w:color w:val="auto"/>
              </w:rPr>
            </w:pPr>
          </w:p>
        </w:tc>
        <w:tc>
          <w:tcPr>
            <w:tcW w:w="2060" w:type="dxa"/>
            <w:vAlign w:val="bottom"/>
            <w:tcBorders>
              <w:bottom w:val="single" w:sz="8" w:color="C0C0C0"/>
            </w:tcBorders>
          </w:tcPr>
          <w:p>
            <w:pPr>
              <w:spacing w:after="0"/>
              <w:rPr>
                <w:sz w:val="24"/>
                <w:szCs w:val="24"/>
                <w:color w:val="auto"/>
              </w:rPr>
            </w:pPr>
          </w:p>
        </w:tc>
        <w:tc>
          <w:tcPr>
            <w:tcW w:w="2400" w:type="dxa"/>
            <w:vAlign w:val="bottom"/>
            <w:tcBorders>
              <w:bottom w:val="single" w:sz="8" w:color="C0C0C0"/>
            </w:tcBorders>
          </w:tcPr>
          <w:p>
            <w:pPr>
              <w:spacing w:after="0"/>
              <w:rPr>
                <w:sz w:val="24"/>
                <w:szCs w:val="24"/>
                <w:color w:val="auto"/>
              </w:rPr>
            </w:pPr>
          </w:p>
        </w:tc>
        <w:tc>
          <w:tcPr>
            <w:tcW w:w="262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5613400</wp:posOffset>
            </wp:positionH>
            <wp:positionV relativeFrom="paragraph">
              <wp:posOffset>-334010</wp:posOffset>
            </wp:positionV>
            <wp:extent cx="1286510" cy="8572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86510" cy="8572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Back to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32"/>
          <w:szCs w:val="32"/>
          <w:color w:val="1C90D3"/>
        </w:rPr>
        <w:t>Nominees for Director</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Your Board recommends a vote </w:t>
      </w:r>
      <w:r>
        <w:rPr>
          <w:rFonts w:ascii="Arial" w:cs="Arial" w:eastAsia="Arial" w:hAnsi="Arial"/>
          <w:sz w:val="18"/>
          <w:szCs w:val="18"/>
          <w:b w:val="1"/>
          <w:bCs w:val="1"/>
          <w:color w:val="1C90D3"/>
        </w:rPr>
        <w:t>FOR</w:t>
      </w:r>
      <w:r>
        <w:rPr>
          <w:rFonts w:ascii="Arial" w:cs="Arial" w:eastAsia="Arial" w:hAnsi="Arial"/>
          <w:sz w:val="18"/>
          <w:szCs w:val="18"/>
          <w:color w:val="auto"/>
        </w:rPr>
        <w:t xml:space="preserve"> all of the nominees listed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132080</wp:posOffset>
            </wp:positionV>
            <wp:extent cx="7126605" cy="70491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26605" cy="7049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13"/>
        </w:trPr>
        <w:tc>
          <w:tcPr>
            <w:tcW w:w="4340" w:type="dxa"/>
            <w:vAlign w:val="bottom"/>
            <w:tcBorders>
              <w:bottom w:val="single" w:sz="8" w:color="08228B"/>
            </w:tcBorders>
          </w:tcPr>
          <w:p>
            <w:pPr>
              <w:spacing w:after="0"/>
              <w:rPr>
                <w:sz w:val="9"/>
                <w:szCs w:val="9"/>
                <w:color w:val="auto"/>
              </w:rPr>
            </w:pPr>
          </w:p>
        </w:tc>
        <w:tc>
          <w:tcPr>
            <w:tcW w:w="2060" w:type="dxa"/>
            <w:vAlign w:val="bottom"/>
            <w:vMerge w:val="restart"/>
          </w:tcPr>
          <w:p>
            <w:pPr>
              <w:ind w:left="60"/>
              <w:spacing w:after="0"/>
              <w:rPr>
                <w:sz w:val="20"/>
                <w:szCs w:val="20"/>
                <w:color w:val="auto"/>
              </w:rPr>
            </w:pPr>
            <w:r>
              <w:rPr>
                <w:rFonts w:ascii="Arial" w:cs="Arial" w:eastAsia="Arial" w:hAnsi="Arial"/>
                <w:sz w:val="16"/>
                <w:szCs w:val="16"/>
                <w:b w:val="1"/>
                <w:bCs w:val="1"/>
                <w:color w:val="1C90D3"/>
              </w:rPr>
              <w:t xml:space="preserve">2016 </w:t>
            </w:r>
            <w:r>
              <w:rPr>
                <w:rFonts w:ascii="Arial" w:cs="Arial" w:eastAsia="Arial" w:hAnsi="Arial"/>
                <w:sz w:val="16"/>
                <w:szCs w:val="16"/>
                <w:color w:val="08228B"/>
              </w:rPr>
              <w:t>PROXY STATEMENT</w:t>
            </w:r>
          </w:p>
        </w:tc>
        <w:tc>
          <w:tcPr>
            <w:tcW w:w="2400" w:type="dxa"/>
            <w:vAlign w:val="bottom"/>
            <w:tcBorders>
              <w:bottom w:val="single" w:sz="8" w:color="08228B"/>
            </w:tcBorders>
          </w:tcPr>
          <w:p>
            <w:pPr>
              <w:spacing w:after="0"/>
              <w:rPr>
                <w:sz w:val="9"/>
                <w:szCs w:val="9"/>
                <w:color w:val="auto"/>
              </w:rPr>
            </w:pPr>
          </w:p>
        </w:tc>
        <w:tc>
          <w:tcPr>
            <w:tcW w:w="2620" w:type="dxa"/>
            <w:vAlign w:val="bottom"/>
            <w:vMerge w:val="restart"/>
          </w:tcPr>
          <w:p>
            <w:pPr>
              <w:jc w:val="right"/>
              <w:ind w:right="39"/>
              <w:spacing w:after="0"/>
              <w:rPr>
                <w:sz w:val="20"/>
                <w:szCs w:val="20"/>
                <w:color w:val="auto"/>
              </w:rPr>
            </w:pPr>
            <w:r>
              <w:rPr>
                <w:rFonts w:ascii="Arial" w:cs="Arial" w:eastAsia="Arial" w:hAnsi="Arial"/>
                <w:sz w:val="16"/>
                <w:szCs w:val="16"/>
                <w:color w:val="08228B"/>
              </w:rPr>
              <w:t>11</w:t>
            </w:r>
          </w:p>
        </w:tc>
        <w:tc>
          <w:tcPr>
            <w:tcW w:w="0" w:type="dxa"/>
            <w:vAlign w:val="bottom"/>
          </w:tcPr>
          <w:p>
            <w:pPr>
              <w:spacing w:after="0"/>
              <w:rPr>
                <w:sz w:val="1"/>
                <w:szCs w:val="1"/>
                <w:color w:val="auto"/>
              </w:rPr>
            </w:pPr>
          </w:p>
        </w:tc>
      </w:tr>
      <w:tr>
        <w:trPr>
          <w:trHeight w:val="82"/>
        </w:trPr>
        <w:tc>
          <w:tcPr>
            <w:tcW w:w="4340" w:type="dxa"/>
            <w:vAlign w:val="bottom"/>
          </w:tcPr>
          <w:p>
            <w:pPr>
              <w:spacing w:after="0"/>
              <w:rPr>
                <w:sz w:val="7"/>
                <w:szCs w:val="7"/>
                <w:color w:val="auto"/>
              </w:rPr>
            </w:pPr>
          </w:p>
        </w:tc>
        <w:tc>
          <w:tcPr>
            <w:tcW w:w="2060" w:type="dxa"/>
            <w:vAlign w:val="bottom"/>
            <w:vMerge w:val="continue"/>
          </w:tcPr>
          <w:p>
            <w:pPr>
              <w:spacing w:after="0"/>
              <w:rPr>
                <w:sz w:val="7"/>
                <w:szCs w:val="7"/>
                <w:color w:val="auto"/>
              </w:rPr>
            </w:pPr>
          </w:p>
        </w:tc>
        <w:tc>
          <w:tcPr>
            <w:tcW w:w="2400" w:type="dxa"/>
            <w:vAlign w:val="bottom"/>
          </w:tcPr>
          <w:p>
            <w:pPr>
              <w:spacing w:after="0"/>
              <w:rPr>
                <w:sz w:val="7"/>
                <w:szCs w:val="7"/>
                <w:color w:val="auto"/>
              </w:rPr>
            </w:pPr>
          </w:p>
        </w:tc>
        <w:tc>
          <w:tcPr>
            <w:tcW w:w="2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7"/>
        </w:trPr>
        <w:tc>
          <w:tcPr>
            <w:tcW w:w="4340" w:type="dxa"/>
            <w:vAlign w:val="bottom"/>
            <w:tcBorders>
              <w:bottom w:val="single" w:sz="8" w:color="C0C0C0"/>
            </w:tcBorders>
          </w:tcPr>
          <w:p>
            <w:pPr>
              <w:spacing w:after="0"/>
              <w:rPr>
                <w:sz w:val="24"/>
                <w:szCs w:val="24"/>
                <w:color w:val="auto"/>
              </w:rPr>
            </w:pPr>
          </w:p>
        </w:tc>
        <w:tc>
          <w:tcPr>
            <w:tcW w:w="2060" w:type="dxa"/>
            <w:vAlign w:val="bottom"/>
            <w:tcBorders>
              <w:bottom w:val="single" w:sz="8" w:color="C0C0C0"/>
            </w:tcBorders>
          </w:tcPr>
          <w:p>
            <w:pPr>
              <w:spacing w:after="0"/>
              <w:rPr>
                <w:sz w:val="24"/>
                <w:szCs w:val="24"/>
                <w:color w:val="auto"/>
              </w:rPr>
            </w:pPr>
          </w:p>
        </w:tc>
        <w:tc>
          <w:tcPr>
            <w:tcW w:w="2400" w:type="dxa"/>
            <w:vAlign w:val="bottom"/>
            <w:tcBorders>
              <w:bottom w:val="single" w:sz="8" w:color="C0C0C0"/>
            </w:tcBorders>
          </w:tcPr>
          <w:p>
            <w:pPr>
              <w:spacing w:after="0"/>
              <w:rPr>
                <w:sz w:val="24"/>
                <w:szCs w:val="24"/>
                <w:color w:val="auto"/>
              </w:rPr>
            </w:pPr>
          </w:p>
        </w:tc>
        <w:tc>
          <w:tcPr>
            <w:tcW w:w="262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5613400</wp:posOffset>
            </wp:positionH>
            <wp:positionV relativeFrom="paragraph">
              <wp:posOffset>-334010</wp:posOffset>
            </wp:positionV>
            <wp:extent cx="1286510" cy="8572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86510" cy="8572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Back to Contents</w:t>
        </w:r>
      </w:hyperlink>
    </w:p>
    <w:p>
      <w:pPr>
        <w:spacing w:after="0" w:line="196" w:lineRule="exact"/>
        <w:rPr>
          <w:sz w:val="20"/>
          <w:szCs w:val="20"/>
          <w:color w:val="auto"/>
        </w:rPr>
      </w:pPr>
    </w:p>
    <w:p>
      <w:pPr>
        <w:ind w:left="500" w:hanging="492"/>
        <w:spacing w:after="0"/>
        <w:tabs>
          <w:tab w:leader="none" w:pos="500" w:val="left"/>
        </w:tabs>
        <w:numPr>
          <w:ilvl w:val="0"/>
          <w:numId w:val="4"/>
        </w:numPr>
        <w:rPr>
          <w:rFonts w:ascii="Arial" w:cs="Arial" w:eastAsia="Arial" w:hAnsi="Arial"/>
          <w:sz w:val="25"/>
          <w:szCs w:val="25"/>
          <w:color w:val="08228B"/>
        </w:rPr>
      </w:pPr>
      <w:r>
        <w:rPr>
          <w:rFonts w:ascii="Arial" w:cs="Arial" w:eastAsia="Arial" w:hAnsi="Arial"/>
          <w:sz w:val="25"/>
          <w:szCs w:val="25"/>
          <w:color w:val="auto"/>
        </w:rPr>
        <w:t>Information About Nominees for Director</w:t>
      </w:r>
    </w:p>
    <w:p>
      <w:pPr>
        <w:spacing w:after="0" w:line="199"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Set forth below is information about our nominees, including their name and age, recent employment or principal occupation, their period of service as a GM director, the names of other public companies for which they currently serve as a director or have served as a director within the past five years, and a summary of their specific experience, qualifications, attributes, and skills that led to the conclusion that they are qualified to serve as a director on our Board at this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231140</wp:posOffset>
            </wp:positionV>
            <wp:extent cx="857885" cy="84899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57885" cy="848995"/>
                    </a:xfrm>
                    <a:prstGeom prst="rect">
                      <a:avLst/>
                    </a:prstGeom>
                    <a:noFill/>
                  </pic:spPr>
                </pic:pic>
              </a:graphicData>
            </a:graphic>
          </wp:anchor>
        </w:drawing>
        <w:drawing>
          <wp:anchor simplePos="0" relativeHeight="251657728" behindDoc="1" locked="0" layoutInCell="0" allowOverlap="1">
            <wp:simplePos x="0" y="0"/>
            <wp:positionH relativeFrom="column">
              <wp:posOffset>5716905</wp:posOffset>
            </wp:positionH>
            <wp:positionV relativeFrom="paragraph">
              <wp:posOffset>1200150</wp:posOffset>
            </wp:positionV>
            <wp:extent cx="1457960" cy="1803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45796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08228B"/>
        </w:rPr>
        <w:t xml:space="preserve">Mary T. Barra, </w:t>
      </w:r>
      <w:r>
        <w:rPr>
          <w:rFonts w:ascii="Arial" w:cs="Arial" w:eastAsia="Arial" w:hAnsi="Arial"/>
          <w:sz w:val="18"/>
          <w:szCs w:val="18"/>
          <w:b w:val="1"/>
          <w:bCs w:val="1"/>
          <w:color w:val="000000"/>
        </w:rPr>
        <w:t>Chairman &amp; Chief Executive Officer, General Motors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6915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61"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auto"/>
        </w:rPr>
        <w:t>54</w:t>
      </w:r>
    </w:p>
    <w:p>
      <w:pPr>
        <w:spacing w:after="0" w:line="25"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auto"/>
        </w:rPr>
        <w:t>2014</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Committees: </w:t>
      </w:r>
      <w:r>
        <w:rPr>
          <w:rFonts w:ascii="Arial" w:cs="Arial" w:eastAsia="Arial" w:hAnsi="Arial"/>
          <w:sz w:val="16"/>
          <w:szCs w:val="16"/>
          <w:b w:val="1"/>
          <w:bCs w:val="1"/>
          <w:color w:val="auto"/>
        </w:rPr>
        <w:t>Executive (Chair)</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Current Public Company Directorships: </w:t>
      </w:r>
      <w:r>
        <w:rPr>
          <w:rFonts w:ascii="Arial" w:cs="Arial" w:eastAsia="Arial" w:hAnsi="Arial"/>
          <w:sz w:val="16"/>
          <w:szCs w:val="16"/>
          <w:b w:val="1"/>
          <w:bCs w:val="1"/>
          <w:color w:val="auto"/>
        </w:rPr>
        <w:t>General Dynamics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6915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69150" cy="8890"/>
                    </a:xfrm>
                    <a:prstGeom prst="rect">
                      <a:avLst/>
                    </a:prstGeom>
                    <a:noFill/>
                  </pic:spPr>
                </pic:pic>
              </a:graphicData>
            </a:graphic>
          </wp:anchor>
        </w:drawing>
      </w:r>
    </w:p>
    <w:p>
      <w:pPr>
        <w:spacing w:after="0" w:line="18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Ms. Barra was elected Chairman of the GM Board of Directors on January 4, 2016. She has served as CEO of GM since January 15, 2014, when she also became a member of GM’s Board. Prior to becoming CEO, Ms. Barra served as Executive Vice President, Global Product Development, Purchasing and Supply Chain since August 2013. She served as Senior Vice President, Global Product Development, from 2011 to 2013; Vice President, Global Human Resources, from 2009 to 2011; and Vice President, Global Manufacturing Engineering, from 2008 to 2009.</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C90D3"/>
        </w:rPr>
        <w:t>Reasons for Nomination:</w:t>
      </w:r>
    </w:p>
    <w:p>
      <w:pPr>
        <w:spacing w:after="0" w:line="21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With more than 35 years at GM and having served in various leadership roles prior to becoming Chairman and CEO of the Company, Ms. Barra brings to our Board an in-depth knowledge of the Company and the global automotive industry. She has extensive leadership, strategic planning, operating and business experience and a deep understanding of the Company’s strengths, weaknesses, risks, and challenges. Under her leadership, GM is working to lead the transformation of personal mobility through advanced technologies such as connectivity, alternative propulsion, and autonomous driving. She has also established GM’s corporate culture and strategic direction based on putting the customer at the center of everything we do, all around the world, with quality and safety as foundational commitments.</w:t>
      </w:r>
    </w:p>
    <w:p>
      <w:pPr>
        <w:spacing w:after="0" w:line="17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As Chairman and CEO, Ms. Barra is able to focus the Board’s oversight and drive the most efficient execution of GM’s plan and vision for the future. In addition to her demonstrated leadership and management skills, Ms. Barra’s strong engineering background and leadership experience in global product development enables her to provide significant insight to the Board on one of the most critical and complex parts of GM’s business. Her previous leadership roles in purchasing and supply chain, human resources, and manufacturing engineering also allow her to contribute to Board deliberations on matters regarding those key areas of the Company. Ms. Barra’s service to GM and experience in serving as a director of another large public company with complex, global operations provides her with an extensive understanding of the governance and management matters that large public companies face.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260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137795</wp:posOffset>
            </wp:positionV>
            <wp:extent cx="857885" cy="85788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57885" cy="857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40" w:right="3180"/>
        <w:spacing w:after="0" w:line="255" w:lineRule="auto"/>
        <w:rPr>
          <w:sz w:val="20"/>
          <w:szCs w:val="20"/>
          <w:color w:val="auto"/>
        </w:rPr>
      </w:pPr>
      <w:r>
        <w:rPr>
          <w:rFonts w:ascii="Arial" w:cs="Arial" w:eastAsia="Arial" w:hAnsi="Arial"/>
          <w:sz w:val="18"/>
          <w:szCs w:val="18"/>
          <w:b w:val="1"/>
          <w:bCs w:val="1"/>
          <w:color w:val="08228B"/>
        </w:rPr>
        <w:t xml:space="preserve">Theodore M. Solso, </w:t>
      </w:r>
      <w:r>
        <w:rPr>
          <w:rFonts w:ascii="Arial" w:cs="Arial" w:eastAsia="Arial" w:hAnsi="Arial"/>
          <w:sz w:val="18"/>
          <w:szCs w:val="18"/>
          <w:b w:val="1"/>
          <w:bCs w:val="1"/>
          <w:color w:val="000000"/>
        </w:rPr>
        <w:t>Independent Lead Director, General Motors Company and Retired Chairman</w:t>
      </w:r>
      <w:r>
        <w:rPr>
          <w:rFonts w:ascii="Arial" w:cs="Arial" w:eastAsia="Arial" w:hAnsi="Arial"/>
          <w:sz w:val="18"/>
          <w:szCs w:val="18"/>
          <w:b w:val="1"/>
          <w:bCs w:val="1"/>
          <w:color w:val="08228B"/>
        </w:rPr>
        <w:t xml:space="preserve"> </w:t>
      </w:r>
      <w:r>
        <w:rPr>
          <w:rFonts w:ascii="Arial" w:cs="Arial" w:eastAsia="Arial" w:hAnsi="Arial"/>
          <w:sz w:val="18"/>
          <w:szCs w:val="18"/>
          <w:b w:val="1"/>
          <w:bCs w:val="1"/>
          <w:color w:val="000000"/>
        </w:rPr>
        <w:t>and Chief Executive Officer, Cummins,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169150" cy="21463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69150" cy="214630"/>
                    </a:xfrm>
                    <a:prstGeom prst="rect">
                      <a:avLst/>
                    </a:prstGeom>
                    <a:noFill/>
                  </pic:spPr>
                </pic:pic>
              </a:graphicData>
            </a:graphic>
          </wp:anchor>
        </w:drawing>
      </w:r>
    </w:p>
    <w:p>
      <w:pPr>
        <w:ind w:left="40"/>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auto"/>
        </w:rPr>
        <w:t>69</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auto"/>
        </w:rPr>
        <w:t>2012</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Committees: </w:t>
      </w:r>
      <w:r>
        <w:rPr>
          <w:rFonts w:ascii="Arial" w:cs="Arial" w:eastAsia="Arial" w:hAnsi="Arial"/>
          <w:sz w:val="16"/>
          <w:szCs w:val="16"/>
          <w:b w:val="1"/>
          <w:bCs w:val="1"/>
          <w:color w:val="auto"/>
        </w:rPr>
        <w:t>Executive</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Current Public Company Directorships: </w:t>
      </w:r>
      <w:r>
        <w:rPr>
          <w:rFonts w:ascii="Arial" w:cs="Arial" w:eastAsia="Arial" w:hAnsi="Arial"/>
          <w:sz w:val="16"/>
          <w:szCs w:val="16"/>
          <w:b w:val="1"/>
          <w:bCs w:val="1"/>
          <w:color w:val="auto"/>
        </w:rPr>
        <w:t>Ball Corporation (Lead Director)</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Prior Public Company Directorships: </w:t>
      </w:r>
      <w:r>
        <w:rPr>
          <w:rFonts w:ascii="Arial" w:cs="Arial" w:eastAsia="Arial" w:hAnsi="Arial"/>
          <w:sz w:val="16"/>
          <w:szCs w:val="16"/>
          <w:b w:val="1"/>
          <w:bCs w:val="1"/>
          <w:color w:val="auto"/>
        </w:rPr>
        <w:t>Ashland Inc. (1999 to 2012), where he was Lead Director from 2003 to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6915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69150" cy="8890"/>
                    </a:xfrm>
                    <a:prstGeom prst="rect">
                      <a:avLst/>
                    </a:prstGeom>
                    <a:noFill/>
                  </pic:spPr>
                </pic:pic>
              </a:graphicData>
            </a:graphic>
          </wp:anchor>
        </w:drawing>
      </w:r>
    </w:p>
    <w:p>
      <w:pPr>
        <w:spacing w:after="0" w:line="18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Mr. Solso has served as the Independent Lead Director of our Board since January 4, 2016. Mr. Solso had been the Non-Executive Chairman of our Board of Directors since January 2014. He served as Chairman and Chief Executive Officer of Cummins, Inc., a global manufacturer of diesel and natural gas engines and engine-related component products, from 2000 until his retirement in 2011. Prior to becoming Chairman and CEO, Mr. Solso held various other senior management roles, including President and Chief Operating Officer from 1995 through 1999 and Vice President in charge of Cummins’ engine business from 1988 to 1995.</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C90D3"/>
        </w:rPr>
        <w:t>Reasons for Nomination:</w:t>
      </w:r>
    </w:p>
    <w:p>
      <w:pPr>
        <w:spacing w:after="0" w:line="21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Mr. Solso gained significant senior management experience during his 40-year career at Cummins, which culminated in his role as Chairman and CEO. He brings to our Board his experience and insight into the complexities of managing a major global organization. Mr. Solso led Cummins through strong financial performance and shareholder returns, international growth, business restructuring, and leadership in emissions reduction technology and related environmental activities, corporate responsibility, diversity, and human rights issues. His extensive experience in manufacturing and engineering of diesel engines and compliance with challenging emissions laws and regulations enables him to contribute significantly to Board deliberations regarding GM’s global product development strategies. His previous experience in serving as U.S. Chairman of the U.S.-Brazil CEO Forum provides valuable insight into advancing the business priorities of our operations in South America. In addition to his deep understanding of global markets and business operations and corporate responsibility, Mr. Solso brings to our Board his experience as a director of other large, global public companies, particularly in the areas of finance, accounting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260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13"/>
        </w:trPr>
        <w:tc>
          <w:tcPr>
            <w:tcW w:w="4340" w:type="dxa"/>
            <w:vAlign w:val="bottom"/>
            <w:tcBorders>
              <w:bottom w:val="single" w:sz="8" w:color="08228B"/>
            </w:tcBorders>
          </w:tcPr>
          <w:p>
            <w:pPr>
              <w:spacing w:after="0"/>
              <w:rPr>
                <w:sz w:val="9"/>
                <w:szCs w:val="9"/>
                <w:color w:val="auto"/>
              </w:rPr>
            </w:pPr>
          </w:p>
        </w:tc>
        <w:tc>
          <w:tcPr>
            <w:tcW w:w="2060" w:type="dxa"/>
            <w:vAlign w:val="bottom"/>
            <w:vMerge w:val="restart"/>
          </w:tcPr>
          <w:p>
            <w:pPr>
              <w:ind w:left="60"/>
              <w:spacing w:after="0"/>
              <w:rPr>
                <w:sz w:val="20"/>
                <w:szCs w:val="20"/>
                <w:color w:val="auto"/>
              </w:rPr>
            </w:pPr>
            <w:r>
              <w:rPr>
                <w:rFonts w:ascii="Arial" w:cs="Arial" w:eastAsia="Arial" w:hAnsi="Arial"/>
                <w:sz w:val="16"/>
                <w:szCs w:val="16"/>
                <w:b w:val="1"/>
                <w:bCs w:val="1"/>
                <w:color w:val="1C90D3"/>
              </w:rPr>
              <w:t xml:space="preserve">2016 </w:t>
            </w:r>
            <w:r>
              <w:rPr>
                <w:rFonts w:ascii="Arial" w:cs="Arial" w:eastAsia="Arial" w:hAnsi="Arial"/>
                <w:sz w:val="16"/>
                <w:szCs w:val="16"/>
                <w:color w:val="08228B"/>
              </w:rPr>
              <w:t>PROXY STATEMENT</w:t>
            </w:r>
          </w:p>
        </w:tc>
        <w:tc>
          <w:tcPr>
            <w:tcW w:w="2400" w:type="dxa"/>
            <w:vAlign w:val="bottom"/>
            <w:tcBorders>
              <w:bottom w:val="single" w:sz="8" w:color="08228B"/>
            </w:tcBorders>
          </w:tcPr>
          <w:p>
            <w:pPr>
              <w:spacing w:after="0"/>
              <w:rPr>
                <w:sz w:val="9"/>
                <w:szCs w:val="9"/>
                <w:color w:val="auto"/>
              </w:rPr>
            </w:pPr>
          </w:p>
        </w:tc>
        <w:tc>
          <w:tcPr>
            <w:tcW w:w="2620" w:type="dxa"/>
            <w:vAlign w:val="bottom"/>
            <w:vMerge w:val="restart"/>
          </w:tcPr>
          <w:p>
            <w:pPr>
              <w:jc w:val="right"/>
              <w:ind w:right="39"/>
              <w:spacing w:after="0"/>
              <w:rPr>
                <w:sz w:val="20"/>
                <w:szCs w:val="20"/>
                <w:color w:val="auto"/>
              </w:rPr>
            </w:pPr>
            <w:r>
              <w:rPr>
                <w:rFonts w:ascii="Arial" w:cs="Arial" w:eastAsia="Arial" w:hAnsi="Arial"/>
                <w:sz w:val="16"/>
                <w:szCs w:val="16"/>
                <w:color w:val="08228B"/>
              </w:rPr>
              <w:t>12</w:t>
            </w:r>
          </w:p>
        </w:tc>
        <w:tc>
          <w:tcPr>
            <w:tcW w:w="0" w:type="dxa"/>
            <w:vAlign w:val="bottom"/>
          </w:tcPr>
          <w:p>
            <w:pPr>
              <w:spacing w:after="0"/>
              <w:rPr>
                <w:sz w:val="1"/>
                <w:szCs w:val="1"/>
                <w:color w:val="auto"/>
              </w:rPr>
            </w:pPr>
          </w:p>
        </w:tc>
      </w:tr>
      <w:tr>
        <w:trPr>
          <w:trHeight w:val="82"/>
        </w:trPr>
        <w:tc>
          <w:tcPr>
            <w:tcW w:w="4340" w:type="dxa"/>
            <w:vAlign w:val="bottom"/>
          </w:tcPr>
          <w:p>
            <w:pPr>
              <w:spacing w:after="0"/>
              <w:rPr>
                <w:sz w:val="7"/>
                <w:szCs w:val="7"/>
                <w:color w:val="auto"/>
              </w:rPr>
            </w:pPr>
          </w:p>
        </w:tc>
        <w:tc>
          <w:tcPr>
            <w:tcW w:w="2060" w:type="dxa"/>
            <w:vAlign w:val="bottom"/>
            <w:vMerge w:val="continue"/>
          </w:tcPr>
          <w:p>
            <w:pPr>
              <w:spacing w:after="0"/>
              <w:rPr>
                <w:sz w:val="7"/>
                <w:szCs w:val="7"/>
                <w:color w:val="auto"/>
              </w:rPr>
            </w:pPr>
          </w:p>
        </w:tc>
        <w:tc>
          <w:tcPr>
            <w:tcW w:w="2400" w:type="dxa"/>
            <w:vAlign w:val="bottom"/>
          </w:tcPr>
          <w:p>
            <w:pPr>
              <w:spacing w:after="0"/>
              <w:rPr>
                <w:sz w:val="7"/>
                <w:szCs w:val="7"/>
                <w:color w:val="auto"/>
              </w:rPr>
            </w:pPr>
          </w:p>
        </w:tc>
        <w:tc>
          <w:tcPr>
            <w:tcW w:w="2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7"/>
        </w:trPr>
        <w:tc>
          <w:tcPr>
            <w:tcW w:w="4340" w:type="dxa"/>
            <w:vAlign w:val="bottom"/>
            <w:tcBorders>
              <w:bottom w:val="single" w:sz="8" w:color="C0C0C0"/>
            </w:tcBorders>
          </w:tcPr>
          <w:p>
            <w:pPr>
              <w:spacing w:after="0"/>
              <w:rPr>
                <w:sz w:val="24"/>
                <w:szCs w:val="24"/>
                <w:color w:val="auto"/>
              </w:rPr>
            </w:pPr>
          </w:p>
        </w:tc>
        <w:tc>
          <w:tcPr>
            <w:tcW w:w="2060" w:type="dxa"/>
            <w:vAlign w:val="bottom"/>
            <w:tcBorders>
              <w:bottom w:val="single" w:sz="8" w:color="C0C0C0"/>
            </w:tcBorders>
          </w:tcPr>
          <w:p>
            <w:pPr>
              <w:spacing w:after="0"/>
              <w:rPr>
                <w:sz w:val="24"/>
                <w:szCs w:val="24"/>
                <w:color w:val="auto"/>
              </w:rPr>
            </w:pPr>
          </w:p>
        </w:tc>
        <w:tc>
          <w:tcPr>
            <w:tcW w:w="2400" w:type="dxa"/>
            <w:vAlign w:val="bottom"/>
            <w:tcBorders>
              <w:bottom w:val="single" w:sz="8" w:color="C0C0C0"/>
            </w:tcBorders>
          </w:tcPr>
          <w:p>
            <w:pPr>
              <w:spacing w:after="0"/>
              <w:rPr>
                <w:sz w:val="24"/>
                <w:szCs w:val="24"/>
                <w:color w:val="auto"/>
              </w:rPr>
            </w:pPr>
          </w:p>
        </w:tc>
        <w:tc>
          <w:tcPr>
            <w:tcW w:w="262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5613400</wp:posOffset>
            </wp:positionH>
            <wp:positionV relativeFrom="paragraph">
              <wp:posOffset>-334010</wp:posOffset>
            </wp:positionV>
            <wp:extent cx="1286510" cy="8572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86510" cy="85725"/>
                    </a:xfrm>
                    <a:prstGeom prst="rect">
                      <a:avLst/>
                    </a:prstGeom>
                    <a:noFill/>
                  </pic:spPr>
                </pic:pic>
              </a:graphicData>
            </a:graphic>
          </wp:anchor>
        </w:drawing>
      </w:r>
    </w:p>
    <w:p>
      <w:pPr>
        <w:sectPr>
          <w:pgSz w:w="11900" w:h="16838" w:orient="portrait"/>
          <w:cols w:equalWidth="0" w:num="1">
            <w:col w:w="11420"/>
          </w:cols>
          <w:pgMar w:left="240" w:top="225" w:right="239" w:bottom="211"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857885" cy="84899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57885" cy="848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08228B"/>
        </w:rPr>
        <w:t xml:space="preserve">Joseph J. Ashton, </w:t>
      </w:r>
      <w:r>
        <w:rPr>
          <w:rFonts w:ascii="Arial" w:cs="Arial" w:eastAsia="Arial" w:hAnsi="Arial"/>
          <w:sz w:val="18"/>
          <w:szCs w:val="18"/>
          <w:b w:val="1"/>
          <w:bCs w:val="1"/>
          <w:color w:val="000000"/>
        </w:rPr>
        <w:t>Retired Vice President, United Auto Workers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6915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48"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auto"/>
        </w:rPr>
        <w:t>67</w:t>
      </w:r>
    </w:p>
    <w:p>
      <w:pPr>
        <w:spacing w:after="0" w:line="25"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auto"/>
        </w:rPr>
        <w:t>2014</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Committees: </w:t>
      </w:r>
      <w:r>
        <w:rPr>
          <w:rFonts w:ascii="Arial" w:cs="Arial" w:eastAsia="Arial" w:hAnsi="Arial"/>
          <w:sz w:val="16"/>
          <w:szCs w:val="16"/>
          <w:b w:val="1"/>
          <w:bCs w:val="1"/>
          <w:color w:val="auto"/>
        </w:rPr>
        <w:t>Finance, Risk</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Current Public Company Directorships: </w:t>
      </w:r>
      <w:r>
        <w:rPr>
          <w:rFonts w:ascii="Arial" w:cs="Arial" w:eastAsia="Arial" w:hAnsi="Arial"/>
          <w:sz w:val="16"/>
          <w:szCs w:val="16"/>
          <w:b w:val="1"/>
          <w:bCs w:val="1"/>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6915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69150" cy="8890"/>
                    </a:xfrm>
                    <a:prstGeom prst="rect">
                      <a:avLst/>
                    </a:prstGeom>
                    <a:noFill/>
                  </pic:spPr>
                </pic:pic>
              </a:graphicData>
            </a:graphic>
          </wp:anchor>
        </w:drawing>
      </w:r>
    </w:p>
    <w:p>
      <w:pPr>
        <w:spacing w:after="0" w:line="18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Mr. Ashton served as a Vice President of the International Union, United Automobile, Aerospace and Agricultural Workers of America (the “UAW”) from 2010 until his retirement in June 2014. Prior to that time, Mr. Ashton served as director of the UAW’s Region 9 (Central New York, New Jersey, and Pennsylvania) from 2006 to 2010 and as assistant director of Region 9 from 2003 to 2006. He had been a member of the UAW International staff since 1986. Mr. Ashton is active in labor and civic affairs, including previously serving as the Executive Vice President of the Pennsylvania AFL-CIO Executive Council and Executive Vice President of the New Jersey AFL-CIO. Under the terms of the Stockholders Agreement dated October 15, 2009, Mr. Ashton was designated for nomination to the GM Board by the VEBA Trust, of which he is a member of the Financial Committee.</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C90D3"/>
        </w:rPr>
        <w:t>Reasons for Nomination:</w:t>
      </w:r>
    </w:p>
    <w:p>
      <w:pPr>
        <w:spacing w:after="0" w:line="21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During his career with the UAW, Mr. Ashton played a key role in organizing campaigns and contract negotiations with major manufacturing and technology companies in a variety of industries including vehicle components, defense, aerospace, steel, and marine products. Based on these experiences, he has developed a deep understanding of how labor strategy can affect a company’s financial success, including expertise in areas such as manufacturing processes, pension and health care costs, government relations, employee engagement and training, and plant safety.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260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135890</wp:posOffset>
            </wp:positionV>
            <wp:extent cx="857885" cy="84899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57885" cy="848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08228B"/>
        </w:rPr>
        <w:t xml:space="preserve">Linda R. Gooden, </w:t>
      </w:r>
      <w:r>
        <w:rPr>
          <w:rFonts w:ascii="Arial" w:cs="Arial" w:eastAsia="Arial" w:hAnsi="Arial"/>
          <w:sz w:val="18"/>
          <w:szCs w:val="18"/>
          <w:b w:val="1"/>
          <w:bCs w:val="1"/>
          <w:color w:val="000000"/>
        </w:rPr>
        <w:t>Retired Executive Vice President, Information Systems &amp; 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5742305</wp:posOffset>
            </wp:positionH>
            <wp:positionV relativeFrom="paragraph">
              <wp:posOffset>-56515</wp:posOffset>
            </wp:positionV>
            <wp:extent cx="1431925" cy="1803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431925" cy="180340"/>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b w:val="1"/>
          <w:bCs w:val="1"/>
          <w:color w:val="auto"/>
        </w:rPr>
        <w:t>Solutions, Lockheed Martin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6915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ind w:left="40"/>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auto"/>
        </w:rPr>
        <w:t>63</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auto"/>
        </w:rPr>
        <w:t>2015</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Committees: </w:t>
      </w:r>
      <w:r>
        <w:rPr>
          <w:rFonts w:ascii="Arial" w:cs="Arial" w:eastAsia="Arial" w:hAnsi="Arial"/>
          <w:sz w:val="16"/>
          <w:szCs w:val="16"/>
          <w:b w:val="1"/>
          <w:bCs w:val="1"/>
          <w:color w:val="auto"/>
        </w:rPr>
        <w:t>Audit, Risk</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Current Public Company Directorships: </w:t>
      </w:r>
      <w:r>
        <w:rPr>
          <w:rFonts w:ascii="Arial" w:cs="Arial" w:eastAsia="Arial" w:hAnsi="Arial"/>
          <w:sz w:val="16"/>
          <w:szCs w:val="16"/>
          <w:b w:val="1"/>
          <w:bCs w:val="1"/>
          <w:color w:val="auto"/>
        </w:rPr>
        <w:t>Automatic Data Processing, Inc., The Home Depot, Inc., WGL Holdings, Inc. (“WGL”), and Washington Gas</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Light Company, a subsidiary of WGL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6915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69150" cy="8890"/>
                    </a:xfrm>
                    <a:prstGeom prst="rect">
                      <a:avLst/>
                    </a:prstGeom>
                    <a:noFill/>
                  </pic:spPr>
                </pic:pic>
              </a:graphicData>
            </a:graphic>
          </wp:anchor>
        </w:drawing>
      </w:r>
    </w:p>
    <w:p>
      <w:pPr>
        <w:spacing w:after="0" w:line="18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Ms. Gooden served as Executive Vice President, Information Systems &amp; Global Solutions (“IS&amp;GS”) of Lockheed Martin Corporation (“Lockheed”) from 2007 to 2013; Deputy Executive Vice President, Information and Technology Services from October to December 2006; and President, Information Technology from 1997 to December 2006.</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C90D3"/>
        </w:rPr>
        <w:t>Reasons for Nomination:</w:t>
      </w:r>
    </w:p>
    <w:p>
      <w:pPr>
        <w:spacing w:after="0" w:line="21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Ms. Gooden brings to our Board her strong leadership capability demonstrated through her various senior leadership positions at Lockheed. She has significant operations and strategic planning expertise and an extensive background in information technology (“IT”). Under her leadership as Executive Vice President of IS&amp;GS, Lockheed expanded its IT capabilities beyond government customers to international and commercial markets. In her role as President of Lockheed’s IT division, Ms. Gooden grew the business to become a multibillion-dollar business. Her deep knowledge of IT adds a valuable perspective to our Board deliberations regarding GM’s IT transformation, cybersecurity matters, and various technology systems and processes. Moreover, Ms. Gooden brings to our Board her experience in business restructuring, finance, cybersecurity, and risk management. She also brings her experience as a director at other public companies, particularly in the areas of finance, audit, strategic investments, acquisitions, and divestitures.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6620" cy="260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13"/>
        </w:trPr>
        <w:tc>
          <w:tcPr>
            <w:tcW w:w="4340" w:type="dxa"/>
            <w:vAlign w:val="bottom"/>
            <w:tcBorders>
              <w:bottom w:val="single" w:sz="8" w:color="08228B"/>
            </w:tcBorders>
          </w:tcPr>
          <w:p>
            <w:pPr>
              <w:spacing w:after="0"/>
              <w:rPr>
                <w:sz w:val="9"/>
                <w:szCs w:val="9"/>
                <w:color w:val="auto"/>
              </w:rPr>
            </w:pPr>
          </w:p>
        </w:tc>
        <w:tc>
          <w:tcPr>
            <w:tcW w:w="2060" w:type="dxa"/>
            <w:vAlign w:val="bottom"/>
            <w:vMerge w:val="restart"/>
          </w:tcPr>
          <w:p>
            <w:pPr>
              <w:ind w:left="60"/>
              <w:spacing w:after="0"/>
              <w:rPr>
                <w:sz w:val="20"/>
                <w:szCs w:val="20"/>
                <w:color w:val="auto"/>
              </w:rPr>
            </w:pPr>
            <w:r>
              <w:rPr>
                <w:rFonts w:ascii="Arial" w:cs="Arial" w:eastAsia="Arial" w:hAnsi="Arial"/>
                <w:sz w:val="16"/>
                <w:szCs w:val="16"/>
                <w:b w:val="1"/>
                <w:bCs w:val="1"/>
                <w:color w:val="1C90D3"/>
              </w:rPr>
              <w:t xml:space="preserve">2016 </w:t>
            </w:r>
            <w:r>
              <w:rPr>
                <w:rFonts w:ascii="Arial" w:cs="Arial" w:eastAsia="Arial" w:hAnsi="Arial"/>
                <w:sz w:val="16"/>
                <w:szCs w:val="16"/>
                <w:color w:val="08228B"/>
              </w:rPr>
              <w:t>PROXY STATEMENT</w:t>
            </w:r>
          </w:p>
        </w:tc>
        <w:tc>
          <w:tcPr>
            <w:tcW w:w="2400" w:type="dxa"/>
            <w:vAlign w:val="bottom"/>
            <w:tcBorders>
              <w:bottom w:val="single" w:sz="8" w:color="08228B"/>
            </w:tcBorders>
          </w:tcPr>
          <w:p>
            <w:pPr>
              <w:spacing w:after="0"/>
              <w:rPr>
                <w:sz w:val="9"/>
                <w:szCs w:val="9"/>
                <w:color w:val="auto"/>
              </w:rPr>
            </w:pPr>
          </w:p>
        </w:tc>
        <w:tc>
          <w:tcPr>
            <w:tcW w:w="2620" w:type="dxa"/>
            <w:vAlign w:val="bottom"/>
            <w:vMerge w:val="restart"/>
          </w:tcPr>
          <w:p>
            <w:pPr>
              <w:jc w:val="right"/>
              <w:ind w:right="39"/>
              <w:spacing w:after="0"/>
              <w:rPr>
                <w:sz w:val="20"/>
                <w:szCs w:val="20"/>
                <w:color w:val="auto"/>
              </w:rPr>
            </w:pPr>
            <w:r>
              <w:rPr>
                <w:rFonts w:ascii="Arial" w:cs="Arial" w:eastAsia="Arial" w:hAnsi="Arial"/>
                <w:sz w:val="16"/>
                <w:szCs w:val="16"/>
                <w:color w:val="08228B"/>
              </w:rPr>
              <w:t>13</w:t>
            </w:r>
          </w:p>
        </w:tc>
        <w:tc>
          <w:tcPr>
            <w:tcW w:w="0" w:type="dxa"/>
            <w:vAlign w:val="bottom"/>
          </w:tcPr>
          <w:p>
            <w:pPr>
              <w:spacing w:after="0"/>
              <w:rPr>
                <w:sz w:val="1"/>
                <w:szCs w:val="1"/>
                <w:color w:val="auto"/>
              </w:rPr>
            </w:pPr>
          </w:p>
        </w:tc>
      </w:tr>
      <w:tr>
        <w:trPr>
          <w:trHeight w:val="82"/>
        </w:trPr>
        <w:tc>
          <w:tcPr>
            <w:tcW w:w="4340" w:type="dxa"/>
            <w:vAlign w:val="bottom"/>
          </w:tcPr>
          <w:p>
            <w:pPr>
              <w:spacing w:after="0"/>
              <w:rPr>
                <w:sz w:val="7"/>
                <w:szCs w:val="7"/>
                <w:color w:val="auto"/>
              </w:rPr>
            </w:pPr>
          </w:p>
        </w:tc>
        <w:tc>
          <w:tcPr>
            <w:tcW w:w="2060" w:type="dxa"/>
            <w:vAlign w:val="bottom"/>
            <w:vMerge w:val="continue"/>
          </w:tcPr>
          <w:p>
            <w:pPr>
              <w:spacing w:after="0"/>
              <w:rPr>
                <w:sz w:val="7"/>
                <w:szCs w:val="7"/>
                <w:color w:val="auto"/>
              </w:rPr>
            </w:pPr>
          </w:p>
        </w:tc>
        <w:tc>
          <w:tcPr>
            <w:tcW w:w="2400" w:type="dxa"/>
            <w:vAlign w:val="bottom"/>
          </w:tcPr>
          <w:p>
            <w:pPr>
              <w:spacing w:after="0"/>
              <w:rPr>
                <w:sz w:val="7"/>
                <w:szCs w:val="7"/>
                <w:color w:val="auto"/>
              </w:rPr>
            </w:pPr>
          </w:p>
        </w:tc>
        <w:tc>
          <w:tcPr>
            <w:tcW w:w="2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7"/>
        </w:trPr>
        <w:tc>
          <w:tcPr>
            <w:tcW w:w="4340" w:type="dxa"/>
            <w:vAlign w:val="bottom"/>
            <w:tcBorders>
              <w:bottom w:val="single" w:sz="8" w:color="C0C0C0"/>
            </w:tcBorders>
          </w:tcPr>
          <w:p>
            <w:pPr>
              <w:spacing w:after="0"/>
              <w:rPr>
                <w:sz w:val="24"/>
                <w:szCs w:val="24"/>
                <w:color w:val="auto"/>
              </w:rPr>
            </w:pPr>
          </w:p>
        </w:tc>
        <w:tc>
          <w:tcPr>
            <w:tcW w:w="2060" w:type="dxa"/>
            <w:vAlign w:val="bottom"/>
            <w:tcBorders>
              <w:bottom w:val="single" w:sz="8" w:color="C0C0C0"/>
            </w:tcBorders>
          </w:tcPr>
          <w:p>
            <w:pPr>
              <w:spacing w:after="0"/>
              <w:rPr>
                <w:sz w:val="24"/>
                <w:szCs w:val="24"/>
                <w:color w:val="auto"/>
              </w:rPr>
            </w:pPr>
          </w:p>
        </w:tc>
        <w:tc>
          <w:tcPr>
            <w:tcW w:w="2400" w:type="dxa"/>
            <w:vAlign w:val="bottom"/>
            <w:tcBorders>
              <w:bottom w:val="single" w:sz="8" w:color="C0C0C0"/>
            </w:tcBorders>
          </w:tcPr>
          <w:p>
            <w:pPr>
              <w:spacing w:after="0"/>
              <w:rPr>
                <w:sz w:val="24"/>
                <w:szCs w:val="24"/>
                <w:color w:val="auto"/>
              </w:rPr>
            </w:pPr>
          </w:p>
        </w:tc>
        <w:tc>
          <w:tcPr>
            <w:tcW w:w="262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5613400</wp:posOffset>
            </wp:positionH>
            <wp:positionV relativeFrom="paragraph">
              <wp:posOffset>-334010</wp:posOffset>
            </wp:positionV>
            <wp:extent cx="1286510" cy="8572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86510" cy="8572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123190</wp:posOffset>
            </wp:positionV>
            <wp:extent cx="857885" cy="84899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57885" cy="848995"/>
                    </a:xfrm>
                    <a:prstGeom prst="rect">
                      <a:avLst/>
                    </a:prstGeom>
                    <a:noFill/>
                  </pic:spPr>
                </pic:pic>
              </a:graphicData>
            </a:graphic>
          </wp:anchor>
        </w:drawing>
        <w:drawing>
          <wp:anchor simplePos="0" relativeHeight="251657728" behindDoc="1" locked="0" layoutInCell="0" allowOverlap="1">
            <wp:simplePos x="0" y="0"/>
            <wp:positionH relativeFrom="column">
              <wp:posOffset>5888355</wp:posOffset>
            </wp:positionH>
            <wp:positionV relativeFrom="paragraph">
              <wp:posOffset>1135380</wp:posOffset>
            </wp:positionV>
            <wp:extent cx="1286510" cy="1803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8651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08228B"/>
        </w:rPr>
        <w:t xml:space="preserve">Joseph Jimenez, </w:t>
      </w:r>
      <w:r>
        <w:rPr>
          <w:rFonts w:ascii="Arial" w:cs="Arial" w:eastAsia="Arial" w:hAnsi="Arial"/>
          <w:sz w:val="18"/>
          <w:szCs w:val="18"/>
          <w:b w:val="1"/>
          <w:bCs w:val="1"/>
          <w:color w:val="000000"/>
        </w:rPr>
        <w:t>Chief Executive Officer, Novartis 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6915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61"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auto"/>
        </w:rPr>
        <w:t>56</w:t>
      </w:r>
    </w:p>
    <w:p>
      <w:pPr>
        <w:spacing w:after="0" w:line="25"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auto"/>
        </w:rPr>
        <w:t>2015</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Committees: </w:t>
      </w:r>
      <w:r>
        <w:rPr>
          <w:rFonts w:ascii="Arial" w:cs="Arial" w:eastAsia="Arial" w:hAnsi="Arial"/>
          <w:sz w:val="16"/>
          <w:szCs w:val="16"/>
          <w:b w:val="1"/>
          <w:bCs w:val="1"/>
          <w:color w:val="auto"/>
        </w:rPr>
        <w:t>Executive Compensation, Governance and Corporate Responsibility</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Current Public Company Directorships: </w:t>
      </w:r>
      <w:r>
        <w:rPr>
          <w:rFonts w:ascii="Arial" w:cs="Arial" w:eastAsia="Arial" w:hAnsi="Arial"/>
          <w:sz w:val="16"/>
          <w:szCs w:val="16"/>
          <w:b w:val="1"/>
          <w:bCs w:val="1"/>
          <w:color w:val="auto"/>
        </w:rPr>
        <w:t>None</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Prior Public Company Directorships: </w:t>
      </w:r>
      <w:r>
        <w:rPr>
          <w:rFonts w:ascii="Arial" w:cs="Arial" w:eastAsia="Arial" w:hAnsi="Arial"/>
          <w:sz w:val="16"/>
          <w:szCs w:val="16"/>
          <w:b w:val="1"/>
          <w:bCs w:val="1"/>
          <w:color w:val="auto"/>
        </w:rPr>
        <w:t>Colgate-Palmolive Company (2010 to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6915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69150" cy="8890"/>
                    </a:xfrm>
                    <a:prstGeom prst="rect">
                      <a:avLst/>
                    </a:prstGeom>
                    <a:noFill/>
                  </pic:spPr>
                </pic:pic>
              </a:graphicData>
            </a:graphic>
          </wp:anchor>
        </w:drawing>
      </w:r>
    </w:p>
    <w:p>
      <w:pPr>
        <w:spacing w:after="0" w:line="18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Mr. Jimenez has been Chief Executive Officer of Novartis AG (“Novartis”) since 2010. He joined Novartis in April 2007 as Head of the Consumer Health Division, and in October 2007, he became Head of the Pharmaceuticals Division, where he served until 2010. Prior to joining Novartis, Mr. Jimenez served as an Advisor to the Blackstone Group L.P., a private equity firm, from 2006 to 2007. He was President and Chief Executive Officer of H. J. Heinz Company (“Heinz”) North America from 2002 to 2006 and Executive Vice President, President and Chief Executive Officer of Heinz Europe from 1999 to 2002. From 1993 to 1998, Mr. Jimenez held various leadership positions at ConAgra Foods Inc. (“ConAgra”), including President and Senior Vice President of two operating divisions. He began his career in 1984 at The Clorox Company, where he held a number of progressive roles in marketing and brand management.</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C90D3"/>
        </w:rPr>
        <w:t>Reasons for Nomination:</w:t>
      </w:r>
    </w:p>
    <w:p>
      <w:pPr>
        <w:spacing w:after="0" w:line="21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Mr. Jimenez brings to our Board significant international and operational leadership, strategic planning, and business and finance experience gained through his role as Chief Executive Officer of Novartis, a complex, global company in a highly regulated industry, and President of various operating divisions at Heinz and ConAgra. Mr. Jimenez has a long track record in consumer businesses, which enables him to bring a consumer orientation and valuable insight to Board deliberations regarding our strategy to earn customers for life. Moreover, he has business restructuring expertise, and he executed significant business transformations at both Heinz and Novartis, which will enable him to make a significant contribution to our Board as we continue to evaluate the structure of our global business. Mr. Jimenez also brings to our Board his prior experience as a director of another large, global public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260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137795</wp:posOffset>
            </wp:positionV>
            <wp:extent cx="857885" cy="84899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57885" cy="848995"/>
                    </a:xfrm>
                    <a:prstGeom prst="rect">
                      <a:avLst/>
                    </a:prstGeom>
                    <a:noFill/>
                  </pic:spPr>
                </pic:pic>
              </a:graphicData>
            </a:graphic>
          </wp:anchor>
        </w:drawing>
        <w:drawing>
          <wp:anchor simplePos="0" relativeHeight="251657728" behindDoc="1" locked="0" layoutInCell="0" allowOverlap="1">
            <wp:simplePos x="0" y="0"/>
            <wp:positionH relativeFrom="column">
              <wp:posOffset>5776595</wp:posOffset>
            </wp:positionH>
            <wp:positionV relativeFrom="paragraph">
              <wp:posOffset>1132205</wp:posOffset>
            </wp:positionV>
            <wp:extent cx="1397635" cy="1803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397635"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08228B"/>
        </w:rPr>
        <w:t xml:space="preserve">Kathryn V. Marinello, </w:t>
      </w:r>
      <w:r>
        <w:rPr>
          <w:rFonts w:ascii="Arial" w:cs="Arial" w:eastAsia="Arial" w:hAnsi="Arial"/>
          <w:sz w:val="18"/>
          <w:szCs w:val="18"/>
          <w:b w:val="1"/>
          <w:bCs w:val="1"/>
          <w:color w:val="000000"/>
        </w:rPr>
        <w:t>Senior Advisor, Ares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6915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61"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auto"/>
        </w:rPr>
        <w:t>59</w:t>
      </w:r>
    </w:p>
    <w:p>
      <w:pPr>
        <w:spacing w:after="0" w:line="25"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auto"/>
        </w:rPr>
        <w:t>2009</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Committees: </w:t>
      </w:r>
      <w:r>
        <w:rPr>
          <w:rFonts w:ascii="Arial" w:cs="Arial" w:eastAsia="Arial" w:hAnsi="Arial"/>
          <w:sz w:val="16"/>
          <w:szCs w:val="16"/>
          <w:b w:val="1"/>
          <w:bCs w:val="1"/>
          <w:color w:val="auto"/>
        </w:rPr>
        <w:t>Audit, Governance and Corporate Responsibility, Finance</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Current Public Company Directorships: </w:t>
      </w:r>
      <w:r>
        <w:rPr>
          <w:rFonts w:ascii="Arial" w:cs="Arial" w:eastAsia="Arial" w:hAnsi="Arial"/>
          <w:sz w:val="16"/>
          <w:szCs w:val="16"/>
          <w:b w:val="1"/>
          <w:bCs w:val="1"/>
          <w:color w:val="auto"/>
        </w:rPr>
        <w:t>AB Volvo and Nielsen Holdings N.V.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6915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69150" cy="8890"/>
                    </a:xfrm>
                    <a:prstGeom prst="rect">
                      <a:avLst/>
                    </a:prstGeom>
                    <a:noFill/>
                  </pic:spPr>
                </pic:pic>
              </a:graphicData>
            </a:graphic>
          </wp:anchor>
        </w:drawing>
      </w:r>
    </w:p>
    <w:p>
      <w:pPr>
        <w:spacing w:after="0" w:line="18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Ms. Marinello has served as Senior Advisor of Ares Management LLC (“Ares”), a global asset manager, since rejoining the company in March 2014. Prior to that, she served as Chairman and Chief Executive Officer of Stream Global Services, Inc. (“Stream”), a global business process outsource service provider specializing in customer relationship management, since August 2010. Ms. Marinello served as senior advisor and consultant at Providence Equity Partners LLC, a private equity firm, and Ares from June to August 2010. She served as Chairman and Chief Executive Officer of Ceridian Corporation, a human resources outsourcing company, from December 2007 to January 2010 and President and Chief Executive Officer from 2006 to 2007. Prior to joining Ceridian, Ms. Marinello spent 10 years at General Electric Company (“GE”), serving in a variety of senior roles, including President and Chief Executive Officer of GE Fleet Services, a division of GE, from 2002 to 2006.</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C90D3"/>
        </w:rPr>
        <w:t>Reasons for Nomination:</w:t>
      </w:r>
    </w:p>
    <w:p>
      <w:pPr>
        <w:spacing w:after="0" w:line="21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Ms. Marinello’s experience at large, complex service companies in various industries enables her to bring a varied perspective to our Board. As Chairman and CEO of Stream, she was focused on using information technology to enhance customer service, an area that is key to GM’s long-term business strategy. At Ceridian, she led a business service company providing integrated human resource systems, that involved a wide range of issues including audit and financial reporting, compliance and controls, and mergers and acquisitions. As the former President and CEO of GE Fleet Services, Ms. Marinello has significant experience with vehicle fleet sales and financing and dealer relations, which enables her to bring the customer perspective to Board decision-making. Moreover, at GE Capital, as well as in her prior roles at Chemical Bank, Citibank, and First Bank Systems, Inc., Ms. Marinello operated large consumer financial services divisions, which included auto lending, auto warranty, telematics, and auto insurance companies, further broadening her contributions to our Board. She also brings her experience as a director of other large, global public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260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13"/>
        </w:trPr>
        <w:tc>
          <w:tcPr>
            <w:tcW w:w="4340" w:type="dxa"/>
            <w:vAlign w:val="bottom"/>
            <w:tcBorders>
              <w:bottom w:val="single" w:sz="8" w:color="08228B"/>
            </w:tcBorders>
          </w:tcPr>
          <w:p>
            <w:pPr>
              <w:spacing w:after="0"/>
              <w:rPr>
                <w:sz w:val="9"/>
                <w:szCs w:val="9"/>
                <w:color w:val="auto"/>
              </w:rPr>
            </w:pPr>
          </w:p>
        </w:tc>
        <w:tc>
          <w:tcPr>
            <w:tcW w:w="2060" w:type="dxa"/>
            <w:vAlign w:val="bottom"/>
            <w:vMerge w:val="restart"/>
          </w:tcPr>
          <w:p>
            <w:pPr>
              <w:ind w:left="60"/>
              <w:spacing w:after="0"/>
              <w:rPr>
                <w:sz w:val="20"/>
                <w:szCs w:val="20"/>
                <w:color w:val="auto"/>
              </w:rPr>
            </w:pPr>
            <w:r>
              <w:rPr>
                <w:rFonts w:ascii="Arial" w:cs="Arial" w:eastAsia="Arial" w:hAnsi="Arial"/>
                <w:sz w:val="16"/>
                <w:szCs w:val="16"/>
                <w:b w:val="1"/>
                <w:bCs w:val="1"/>
                <w:color w:val="1C90D3"/>
              </w:rPr>
              <w:t xml:space="preserve">2016 </w:t>
            </w:r>
            <w:r>
              <w:rPr>
                <w:rFonts w:ascii="Arial" w:cs="Arial" w:eastAsia="Arial" w:hAnsi="Arial"/>
                <w:sz w:val="16"/>
                <w:szCs w:val="16"/>
                <w:color w:val="08228B"/>
              </w:rPr>
              <w:t>PROXY STATEMENT</w:t>
            </w:r>
          </w:p>
        </w:tc>
        <w:tc>
          <w:tcPr>
            <w:tcW w:w="2400" w:type="dxa"/>
            <w:vAlign w:val="bottom"/>
            <w:tcBorders>
              <w:bottom w:val="single" w:sz="8" w:color="08228B"/>
            </w:tcBorders>
          </w:tcPr>
          <w:p>
            <w:pPr>
              <w:spacing w:after="0"/>
              <w:rPr>
                <w:sz w:val="9"/>
                <w:szCs w:val="9"/>
                <w:color w:val="auto"/>
              </w:rPr>
            </w:pPr>
          </w:p>
        </w:tc>
        <w:tc>
          <w:tcPr>
            <w:tcW w:w="2620" w:type="dxa"/>
            <w:vAlign w:val="bottom"/>
            <w:vMerge w:val="restart"/>
          </w:tcPr>
          <w:p>
            <w:pPr>
              <w:jc w:val="right"/>
              <w:ind w:right="39"/>
              <w:spacing w:after="0"/>
              <w:rPr>
                <w:sz w:val="20"/>
                <w:szCs w:val="20"/>
                <w:color w:val="auto"/>
              </w:rPr>
            </w:pPr>
            <w:r>
              <w:rPr>
                <w:rFonts w:ascii="Arial" w:cs="Arial" w:eastAsia="Arial" w:hAnsi="Arial"/>
                <w:sz w:val="16"/>
                <w:szCs w:val="16"/>
                <w:color w:val="08228B"/>
              </w:rPr>
              <w:t>14</w:t>
            </w:r>
          </w:p>
        </w:tc>
        <w:tc>
          <w:tcPr>
            <w:tcW w:w="0" w:type="dxa"/>
            <w:vAlign w:val="bottom"/>
          </w:tcPr>
          <w:p>
            <w:pPr>
              <w:spacing w:after="0"/>
              <w:rPr>
                <w:sz w:val="1"/>
                <w:szCs w:val="1"/>
                <w:color w:val="auto"/>
              </w:rPr>
            </w:pPr>
          </w:p>
        </w:tc>
      </w:tr>
      <w:tr>
        <w:trPr>
          <w:trHeight w:val="82"/>
        </w:trPr>
        <w:tc>
          <w:tcPr>
            <w:tcW w:w="4340" w:type="dxa"/>
            <w:vAlign w:val="bottom"/>
          </w:tcPr>
          <w:p>
            <w:pPr>
              <w:spacing w:after="0"/>
              <w:rPr>
                <w:sz w:val="7"/>
                <w:szCs w:val="7"/>
                <w:color w:val="auto"/>
              </w:rPr>
            </w:pPr>
          </w:p>
        </w:tc>
        <w:tc>
          <w:tcPr>
            <w:tcW w:w="2060" w:type="dxa"/>
            <w:vAlign w:val="bottom"/>
            <w:vMerge w:val="continue"/>
          </w:tcPr>
          <w:p>
            <w:pPr>
              <w:spacing w:after="0"/>
              <w:rPr>
                <w:sz w:val="7"/>
                <w:szCs w:val="7"/>
                <w:color w:val="auto"/>
              </w:rPr>
            </w:pPr>
          </w:p>
        </w:tc>
        <w:tc>
          <w:tcPr>
            <w:tcW w:w="2400" w:type="dxa"/>
            <w:vAlign w:val="bottom"/>
          </w:tcPr>
          <w:p>
            <w:pPr>
              <w:spacing w:after="0"/>
              <w:rPr>
                <w:sz w:val="7"/>
                <w:szCs w:val="7"/>
                <w:color w:val="auto"/>
              </w:rPr>
            </w:pPr>
          </w:p>
        </w:tc>
        <w:tc>
          <w:tcPr>
            <w:tcW w:w="2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7"/>
        </w:trPr>
        <w:tc>
          <w:tcPr>
            <w:tcW w:w="4340" w:type="dxa"/>
            <w:vAlign w:val="bottom"/>
            <w:tcBorders>
              <w:bottom w:val="single" w:sz="8" w:color="C0C0C0"/>
            </w:tcBorders>
          </w:tcPr>
          <w:p>
            <w:pPr>
              <w:spacing w:after="0"/>
              <w:rPr>
                <w:sz w:val="24"/>
                <w:szCs w:val="24"/>
                <w:color w:val="auto"/>
              </w:rPr>
            </w:pPr>
          </w:p>
        </w:tc>
        <w:tc>
          <w:tcPr>
            <w:tcW w:w="2060" w:type="dxa"/>
            <w:vAlign w:val="bottom"/>
            <w:tcBorders>
              <w:bottom w:val="single" w:sz="8" w:color="C0C0C0"/>
            </w:tcBorders>
          </w:tcPr>
          <w:p>
            <w:pPr>
              <w:spacing w:after="0"/>
              <w:rPr>
                <w:sz w:val="24"/>
                <w:szCs w:val="24"/>
                <w:color w:val="auto"/>
              </w:rPr>
            </w:pPr>
          </w:p>
        </w:tc>
        <w:tc>
          <w:tcPr>
            <w:tcW w:w="2400" w:type="dxa"/>
            <w:vAlign w:val="bottom"/>
            <w:tcBorders>
              <w:bottom w:val="single" w:sz="8" w:color="C0C0C0"/>
            </w:tcBorders>
          </w:tcPr>
          <w:p>
            <w:pPr>
              <w:spacing w:after="0"/>
              <w:rPr>
                <w:sz w:val="24"/>
                <w:szCs w:val="24"/>
                <w:color w:val="auto"/>
              </w:rPr>
            </w:pPr>
          </w:p>
        </w:tc>
        <w:tc>
          <w:tcPr>
            <w:tcW w:w="262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5613400</wp:posOffset>
            </wp:positionH>
            <wp:positionV relativeFrom="paragraph">
              <wp:posOffset>-334010</wp:posOffset>
            </wp:positionV>
            <wp:extent cx="1286510" cy="8572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86510" cy="8572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123190</wp:posOffset>
            </wp:positionV>
            <wp:extent cx="857885" cy="85788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57885" cy="857885"/>
                    </a:xfrm>
                    <a:prstGeom prst="rect">
                      <a:avLst/>
                    </a:prstGeom>
                    <a:noFill/>
                  </pic:spPr>
                </pic:pic>
              </a:graphicData>
            </a:graphic>
          </wp:anchor>
        </w:drawing>
        <w:drawing>
          <wp:anchor simplePos="0" relativeHeight="251657728" behindDoc="1" locked="0" layoutInCell="0" allowOverlap="1">
            <wp:simplePos x="0" y="0"/>
            <wp:positionH relativeFrom="column">
              <wp:posOffset>6359525</wp:posOffset>
            </wp:positionH>
            <wp:positionV relativeFrom="paragraph">
              <wp:posOffset>1152525</wp:posOffset>
            </wp:positionV>
            <wp:extent cx="814705" cy="1803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14705"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08228B"/>
        </w:rPr>
        <w:t xml:space="preserve">Jane L. Mendillo, </w:t>
      </w:r>
      <w:r>
        <w:rPr>
          <w:rFonts w:ascii="Arial" w:cs="Arial" w:eastAsia="Arial" w:hAnsi="Arial"/>
          <w:sz w:val="18"/>
          <w:szCs w:val="18"/>
          <w:b w:val="1"/>
          <w:bCs w:val="1"/>
          <w:color w:val="000000"/>
        </w:rPr>
        <w:t>Retired President and Chief Executive Officer, Harvard Management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6915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88"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auto"/>
        </w:rPr>
        <w:t>57</w:t>
      </w:r>
    </w:p>
    <w:p>
      <w:pPr>
        <w:spacing w:after="0" w:line="25"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New Director Nominee</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Current Public Company Directorships: </w:t>
      </w:r>
      <w:r>
        <w:rPr>
          <w:rFonts w:ascii="Arial" w:cs="Arial" w:eastAsia="Arial" w:hAnsi="Arial"/>
          <w:sz w:val="16"/>
          <w:szCs w:val="16"/>
          <w:b w:val="1"/>
          <w:bCs w:val="1"/>
          <w:color w:val="auto"/>
        </w:rPr>
        <w:t>Lazard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6915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69150" cy="8890"/>
                    </a:xfrm>
                    <a:prstGeom prst="rect">
                      <a:avLst/>
                    </a:prstGeom>
                    <a:noFill/>
                  </pic:spPr>
                </pic:pic>
              </a:graphicData>
            </a:graphic>
          </wp:anchor>
        </w:drawing>
      </w:r>
    </w:p>
    <w:p>
      <w:pPr>
        <w:spacing w:after="0" w:line="18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Ms. Mendillo served as President and Chief Executive Officer of the Harvard Management Company (“HMC”) from 2008 to 2014, where she managed Harvard University’s approximately $37 billion global endowment and related assets. From 2002 to 2008, she served as the Chief Investment Officer of Wellesley College. Prior to that, Ms. Mendillo spent 15 years at HMC in various investment roles. She serves as chair of the investment committee of the Partners Healthcare System, is a member of the board of directors and investment committees of the Mellon Foundation and the Boston Foundation, and serves as a Senior Investment Advisor to the Old Mountain Private Trust Company.</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C90D3"/>
        </w:rPr>
        <w:t>Reasons for Nomination:</w:t>
      </w:r>
    </w:p>
    <w:p>
      <w:pPr>
        <w:spacing w:after="0" w:line="21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Ms. Mendillo brings to the Board valuable financial perspective and extensive investment management experience. In addition, she brings to our Board strong senior leadership and risk management experience, as well as capital markets expertise, from her over 30 years in the endowment and investment management field. As President and CEO of HMC, she successfully led the company through the financial crisis, repositioning the endowment and reestablishing a world-class investment platform to support Harvard’s future educational and research goals. As the Chief Investment Officer of Wellesley College, she built the college’s first investment office and delivered substantial growth in the college endowment through a period of rapidly changing market conditions. Ms. Mendillo’s background and extensive experience will enable her to make a significant contribution in the Board’s oversight of GM’s strategic initiatives and varied financial and risk management issues.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6620" cy="260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139700</wp:posOffset>
            </wp:positionV>
            <wp:extent cx="857885" cy="85788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57885" cy="857885"/>
                    </a:xfrm>
                    <a:prstGeom prst="rect">
                      <a:avLst/>
                    </a:prstGeom>
                    <a:noFill/>
                  </pic:spPr>
                </pic:pic>
              </a:graphicData>
            </a:graphic>
          </wp:anchor>
        </w:drawing>
        <w:drawing>
          <wp:anchor simplePos="0" relativeHeight="251657728" behindDoc="1" locked="0" layoutInCell="0" allowOverlap="1">
            <wp:simplePos x="0" y="0"/>
            <wp:positionH relativeFrom="column">
              <wp:posOffset>6033770</wp:posOffset>
            </wp:positionH>
            <wp:positionV relativeFrom="paragraph">
              <wp:posOffset>1143000</wp:posOffset>
            </wp:positionV>
            <wp:extent cx="1115060" cy="1803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11506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08228B"/>
        </w:rPr>
        <w:t xml:space="preserve">Admiral Michael G. Mullen, </w:t>
      </w:r>
      <w:r>
        <w:rPr>
          <w:rFonts w:ascii="Arial" w:cs="Arial" w:eastAsia="Arial" w:hAnsi="Arial"/>
          <w:sz w:val="18"/>
          <w:szCs w:val="18"/>
          <w:b w:val="1"/>
          <w:bCs w:val="1"/>
          <w:color w:val="000000"/>
        </w:rPr>
        <w:t>Former Chairman, Joint Chiefs of Staff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6915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12"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auto"/>
        </w:rPr>
        <w:t>69</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auto"/>
        </w:rPr>
        <w:t>2013</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Committees: </w:t>
      </w:r>
      <w:r>
        <w:rPr>
          <w:rFonts w:ascii="Arial" w:cs="Arial" w:eastAsia="Arial" w:hAnsi="Arial"/>
          <w:sz w:val="16"/>
          <w:szCs w:val="16"/>
          <w:b w:val="1"/>
          <w:bCs w:val="1"/>
          <w:color w:val="auto"/>
        </w:rPr>
        <w:t>Audit, Executive, Risk (Chair)</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Current Public Company Directorships: </w:t>
      </w:r>
      <w:r>
        <w:rPr>
          <w:rFonts w:ascii="Arial" w:cs="Arial" w:eastAsia="Arial" w:hAnsi="Arial"/>
          <w:sz w:val="16"/>
          <w:szCs w:val="16"/>
          <w:b w:val="1"/>
          <w:bCs w:val="1"/>
          <w:color w:val="auto"/>
        </w:rPr>
        <w:t>Sprint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6915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69150" cy="8890"/>
                    </a:xfrm>
                    <a:prstGeom prst="rect">
                      <a:avLst/>
                    </a:prstGeom>
                    <a:noFill/>
                  </pic:spPr>
                </pic:pic>
              </a:graphicData>
            </a:graphic>
          </wp:anchor>
        </w:drawing>
      </w:r>
    </w:p>
    <w:p>
      <w:pPr>
        <w:spacing w:after="0" w:line="18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Admiral Mullen served as the 17th Chairman of the Joint Chiefs of Staff from October 2007 until his retirement in 2011. Previously, he served as the 28th Chief of Naval Operations (“CNO”) from July 2005 to 2007. CNO was one of four different four-star assignments Admiral Mullen held; the other three included Commander, U.S. Naval Forces Europe, Commander, Allied Joint Force Command, and the 32nd Vice Chief of Naval Operations. Since 2012, Admiral Mullen has served as President of MGM Consulting LLC and is the Charles and Marie Robertson Visiting Professor at the Woodrow Wilson School of Public and International Affairs at Princeton University.</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C90D3"/>
        </w:rPr>
        <w:t>Reasons for Nomination:</w:t>
      </w:r>
    </w:p>
    <w:p>
      <w:pPr>
        <w:spacing w:after="0" w:line="21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Admiral Mullen brings to our Board extensive senior leadership experience gained over his 43-year career in the U.S. military. As Chairman of the Joint Chiefs of Staff, the highest-ranking officer in the U.S. military, Admiral Mullen led the armed forces during a critical period of transition, overseeing two active war zones. His involvement in key aspects of U.S. diplomacy, including forging vital relationships with diverse countries around the world, brings valuable insight to our Board as we continue to evaluate the structure of our global business. In addition to having strong global relationships, Admiral Mullen has deep experience in leading change in complex organizations, risk management, crisis management, executive development and succession planning, diversity implementation, strategic planning, budget policy, cybersecurity, and technical innovation, all of which are important to the oversight of GM’s strategic initiatives. This depth of experience enables him to make a significant contribution to our Board. Admiral Mullen also brings his experience as a director of another large public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260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13"/>
        </w:trPr>
        <w:tc>
          <w:tcPr>
            <w:tcW w:w="4340" w:type="dxa"/>
            <w:vAlign w:val="bottom"/>
            <w:tcBorders>
              <w:bottom w:val="single" w:sz="8" w:color="08228B"/>
            </w:tcBorders>
          </w:tcPr>
          <w:p>
            <w:pPr>
              <w:spacing w:after="0"/>
              <w:rPr>
                <w:sz w:val="9"/>
                <w:szCs w:val="9"/>
                <w:color w:val="auto"/>
              </w:rPr>
            </w:pPr>
          </w:p>
        </w:tc>
        <w:tc>
          <w:tcPr>
            <w:tcW w:w="2060" w:type="dxa"/>
            <w:vAlign w:val="bottom"/>
            <w:vMerge w:val="restart"/>
          </w:tcPr>
          <w:p>
            <w:pPr>
              <w:ind w:left="60"/>
              <w:spacing w:after="0"/>
              <w:rPr>
                <w:sz w:val="20"/>
                <w:szCs w:val="20"/>
                <w:color w:val="auto"/>
              </w:rPr>
            </w:pPr>
            <w:r>
              <w:rPr>
                <w:rFonts w:ascii="Arial" w:cs="Arial" w:eastAsia="Arial" w:hAnsi="Arial"/>
                <w:sz w:val="16"/>
                <w:szCs w:val="16"/>
                <w:b w:val="1"/>
                <w:bCs w:val="1"/>
                <w:color w:val="1C90D3"/>
              </w:rPr>
              <w:t xml:space="preserve">2016 </w:t>
            </w:r>
            <w:r>
              <w:rPr>
                <w:rFonts w:ascii="Arial" w:cs="Arial" w:eastAsia="Arial" w:hAnsi="Arial"/>
                <w:sz w:val="16"/>
                <w:szCs w:val="16"/>
                <w:color w:val="08228B"/>
              </w:rPr>
              <w:t>PROXY STATEMENT</w:t>
            </w:r>
          </w:p>
        </w:tc>
        <w:tc>
          <w:tcPr>
            <w:tcW w:w="2400" w:type="dxa"/>
            <w:vAlign w:val="bottom"/>
            <w:tcBorders>
              <w:bottom w:val="single" w:sz="8" w:color="08228B"/>
            </w:tcBorders>
          </w:tcPr>
          <w:p>
            <w:pPr>
              <w:spacing w:after="0"/>
              <w:rPr>
                <w:sz w:val="9"/>
                <w:szCs w:val="9"/>
                <w:color w:val="auto"/>
              </w:rPr>
            </w:pPr>
          </w:p>
        </w:tc>
        <w:tc>
          <w:tcPr>
            <w:tcW w:w="2620" w:type="dxa"/>
            <w:vAlign w:val="bottom"/>
            <w:vMerge w:val="restart"/>
          </w:tcPr>
          <w:p>
            <w:pPr>
              <w:jc w:val="right"/>
              <w:ind w:right="39"/>
              <w:spacing w:after="0"/>
              <w:rPr>
                <w:sz w:val="20"/>
                <w:szCs w:val="20"/>
                <w:color w:val="auto"/>
              </w:rPr>
            </w:pPr>
            <w:r>
              <w:rPr>
                <w:rFonts w:ascii="Arial" w:cs="Arial" w:eastAsia="Arial" w:hAnsi="Arial"/>
                <w:sz w:val="16"/>
                <w:szCs w:val="16"/>
                <w:color w:val="08228B"/>
              </w:rPr>
              <w:t>15</w:t>
            </w:r>
          </w:p>
        </w:tc>
        <w:tc>
          <w:tcPr>
            <w:tcW w:w="0" w:type="dxa"/>
            <w:vAlign w:val="bottom"/>
          </w:tcPr>
          <w:p>
            <w:pPr>
              <w:spacing w:after="0"/>
              <w:rPr>
                <w:sz w:val="1"/>
                <w:szCs w:val="1"/>
                <w:color w:val="auto"/>
              </w:rPr>
            </w:pPr>
          </w:p>
        </w:tc>
      </w:tr>
      <w:tr>
        <w:trPr>
          <w:trHeight w:val="82"/>
        </w:trPr>
        <w:tc>
          <w:tcPr>
            <w:tcW w:w="4340" w:type="dxa"/>
            <w:vAlign w:val="bottom"/>
          </w:tcPr>
          <w:p>
            <w:pPr>
              <w:spacing w:after="0"/>
              <w:rPr>
                <w:sz w:val="7"/>
                <w:szCs w:val="7"/>
                <w:color w:val="auto"/>
              </w:rPr>
            </w:pPr>
          </w:p>
        </w:tc>
        <w:tc>
          <w:tcPr>
            <w:tcW w:w="2060" w:type="dxa"/>
            <w:vAlign w:val="bottom"/>
            <w:vMerge w:val="continue"/>
          </w:tcPr>
          <w:p>
            <w:pPr>
              <w:spacing w:after="0"/>
              <w:rPr>
                <w:sz w:val="7"/>
                <w:szCs w:val="7"/>
                <w:color w:val="auto"/>
              </w:rPr>
            </w:pPr>
          </w:p>
        </w:tc>
        <w:tc>
          <w:tcPr>
            <w:tcW w:w="2400" w:type="dxa"/>
            <w:vAlign w:val="bottom"/>
          </w:tcPr>
          <w:p>
            <w:pPr>
              <w:spacing w:after="0"/>
              <w:rPr>
                <w:sz w:val="7"/>
                <w:szCs w:val="7"/>
                <w:color w:val="auto"/>
              </w:rPr>
            </w:pPr>
          </w:p>
        </w:tc>
        <w:tc>
          <w:tcPr>
            <w:tcW w:w="2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7"/>
        </w:trPr>
        <w:tc>
          <w:tcPr>
            <w:tcW w:w="4340" w:type="dxa"/>
            <w:vAlign w:val="bottom"/>
            <w:tcBorders>
              <w:bottom w:val="single" w:sz="8" w:color="C0C0C0"/>
            </w:tcBorders>
          </w:tcPr>
          <w:p>
            <w:pPr>
              <w:spacing w:after="0"/>
              <w:rPr>
                <w:sz w:val="24"/>
                <w:szCs w:val="24"/>
                <w:color w:val="auto"/>
              </w:rPr>
            </w:pPr>
          </w:p>
        </w:tc>
        <w:tc>
          <w:tcPr>
            <w:tcW w:w="2060" w:type="dxa"/>
            <w:vAlign w:val="bottom"/>
            <w:tcBorders>
              <w:bottom w:val="single" w:sz="8" w:color="C0C0C0"/>
            </w:tcBorders>
          </w:tcPr>
          <w:p>
            <w:pPr>
              <w:spacing w:after="0"/>
              <w:rPr>
                <w:sz w:val="24"/>
                <w:szCs w:val="24"/>
                <w:color w:val="auto"/>
              </w:rPr>
            </w:pPr>
          </w:p>
        </w:tc>
        <w:tc>
          <w:tcPr>
            <w:tcW w:w="2400" w:type="dxa"/>
            <w:vAlign w:val="bottom"/>
            <w:tcBorders>
              <w:bottom w:val="single" w:sz="8" w:color="C0C0C0"/>
            </w:tcBorders>
          </w:tcPr>
          <w:p>
            <w:pPr>
              <w:spacing w:after="0"/>
              <w:rPr>
                <w:sz w:val="24"/>
                <w:szCs w:val="24"/>
                <w:color w:val="auto"/>
              </w:rPr>
            </w:pPr>
          </w:p>
        </w:tc>
        <w:tc>
          <w:tcPr>
            <w:tcW w:w="262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5613400</wp:posOffset>
            </wp:positionH>
            <wp:positionV relativeFrom="paragraph">
              <wp:posOffset>-334010</wp:posOffset>
            </wp:positionV>
            <wp:extent cx="1286510" cy="8572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86510" cy="8572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123190</wp:posOffset>
            </wp:positionV>
            <wp:extent cx="857885" cy="85788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57885" cy="857885"/>
                    </a:xfrm>
                    <a:prstGeom prst="rect">
                      <a:avLst/>
                    </a:prstGeom>
                    <a:noFill/>
                  </pic:spPr>
                </pic:pic>
              </a:graphicData>
            </a:graphic>
          </wp:anchor>
        </w:drawing>
        <w:drawing>
          <wp:anchor simplePos="0" relativeHeight="251657728" behindDoc="1" locked="0" layoutInCell="0" allowOverlap="1">
            <wp:simplePos x="0" y="0"/>
            <wp:positionH relativeFrom="column">
              <wp:posOffset>6059805</wp:posOffset>
            </wp:positionH>
            <wp:positionV relativeFrom="paragraph">
              <wp:posOffset>1126490</wp:posOffset>
            </wp:positionV>
            <wp:extent cx="1115060" cy="1803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11506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08228B"/>
        </w:rPr>
        <w:t xml:space="preserve">James J. Mulva, </w:t>
      </w:r>
      <w:r>
        <w:rPr>
          <w:rFonts w:ascii="Arial" w:cs="Arial" w:eastAsia="Arial" w:hAnsi="Arial"/>
          <w:sz w:val="18"/>
          <w:szCs w:val="18"/>
          <w:b w:val="1"/>
          <w:bCs w:val="1"/>
          <w:color w:val="000000"/>
        </w:rPr>
        <w:t>Retired Chairman and Chief Executive Officer, ConocoPhillips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6915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61"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auto"/>
        </w:rPr>
        <w:t>69</w:t>
      </w:r>
    </w:p>
    <w:p>
      <w:pPr>
        <w:spacing w:after="0" w:line="25"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auto"/>
        </w:rPr>
        <w:t>2012</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Committees: </w:t>
      </w:r>
      <w:r>
        <w:rPr>
          <w:rFonts w:ascii="Arial" w:cs="Arial" w:eastAsia="Arial" w:hAnsi="Arial"/>
          <w:sz w:val="16"/>
          <w:szCs w:val="16"/>
          <w:b w:val="1"/>
          <w:bCs w:val="1"/>
          <w:color w:val="auto"/>
        </w:rPr>
        <w:t>Executive, Executive Compensation, Finance (Chair), Risk</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Current Public Company Directorships: </w:t>
      </w:r>
      <w:r>
        <w:rPr>
          <w:rFonts w:ascii="Arial" w:cs="Arial" w:eastAsia="Arial" w:hAnsi="Arial"/>
          <w:sz w:val="16"/>
          <w:szCs w:val="16"/>
          <w:b w:val="1"/>
          <w:bCs w:val="1"/>
          <w:color w:val="auto"/>
        </w:rPr>
        <w:t>General Electric Company</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Prior Public Company Directorships: </w:t>
      </w:r>
      <w:r>
        <w:rPr>
          <w:rFonts w:ascii="Arial" w:cs="Arial" w:eastAsia="Arial" w:hAnsi="Arial"/>
          <w:sz w:val="16"/>
          <w:szCs w:val="16"/>
          <w:b w:val="1"/>
          <w:bCs w:val="1"/>
          <w:color w:val="auto"/>
        </w:rPr>
        <w:t>Statoil ASA (2013 to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6915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69150" cy="8890"/>
                    </a:xfrm>
                    <a:prstGeom prst="rect">
                      <a:avLst/>
                    </a:prstGeom>
                    <a:noFill/>
                  </pic:spPr>
                </pic:pic>
              </a:graphicData>
            </a:graphic>
          </wp:anchor>
        </w:drawing>
      </w:r>
    </w:p>
    <w:p>
      <w:pPr>
        <w:spacing w:after="0" w:line="18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Mr. Mulva served as Chairman and Chief Executive Officer of ConocoPhillips, an international integrated oil and gas company, from 2004 until his retirement in 2012; Chairman, President and Chief Executive Officer from 2004 to 2008; and President and Chief Executive Officer from 2002 to 2004.</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C90D3"/>
        </w:rPr>
        <w:t>Reasons for Nomination:</w:t>
      </w:r>
    </w:p>
    <w:p>
      <w:pPr>
        <w:spacing w:after="0" w:line="21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Mr. Mulva brings to our Board 39 years of experience in the energy industry, first at Phillips Petroleum Company (“Phillips”) and then ConocoPhillips. Prior to overseeing the merger of Conoco and Phillips in 2002, Mr. Mulva served as Chairman and Chief Executive Officer of Phillips, where he also held various domestic and international senior management positions in finance, including Executive Vice President and Chief Financial Officer. As Chief Executive Officer of Phillips and later ConocoPhillips, Mr. Mulva oversaw mergers and acquisitions, business restructurings and negotiated joint ventures, positioning the company to compete in an increasingly challenging and highly competitive industry. Prior to his retirement from ConocoPhillips, Mr. Mulva oversaw the strategic repositioning of the company to split its fuel production and refining businesses. Mr. Mulva’s expertise in the energy industry provides valuable insight to our Board in developing GM’s long-term energy diversity strategy. Mr. Mulva also brings to our Board an in-depth background in finance and his experience as a director of other large, global public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260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139065</wp:posOffset>
            </wp:positionV>
            <wp:extent cx="857885" cy="84899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57885" cy="848995"/>
                    </a:xfrm>
                    <a:prstGeom prst="rect">
                      <a:avLst/>
                    </a:prstGeom>
                    <a:noFill/>
                  </pic:spPr>
                </pic:pic>
              </a:graphicData>
            </a:graphic>
          </wp:anchor>
        </w:drawing>
        <w:drawing>
          <wp:anchor simplePos="0" relativeHeight="251657728" behindDoc="1" locked="0" layoutInCell="0" allowOverlap="1">
            <wp:simplePos x="0" y="0"/>
            <wp:positionH relativeFrom="column">
              <wp:posOffset>5965190</wp:posOffset>
            </wp:positionH>
            <wp:positionV relativeFrom="paragraph">
              <wp:posOffset>1134110</wp:posOffset>
            </wp:positionV>
            <wp:extent cx="1209040" cy="18034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0904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08228B"/>
        </w:rPr>
        <w:t xml:space="preserve">Patricia F. Russo, </w:t>
      </w:r>
      <w:r>
        <w:rPr>
          <w:rFonts w:ascii="Arial" w:cs="Arial" w:eastAsia="Arial" w:hAnsi="Arial"/>
          <w:sz w:val="18"/>
          <w:szCs w:val="18"/>
          <w:b w:val="1"/>
          <w:bCs w:val="1"/>
          <w:color w:val="000000"/>
        </w:rPr>
        <w:t>Chairman, Hewlett Packard Enterprise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6915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61"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auto"/>
        </w:rPr>
        <w:t>63</w:t>
      </w:r>
    </w:p>
    <w:p>
      <w:pPr>
        <w:spacing w:after="0" w:line="25"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auto"/>
        </w:rPr>
        <w:t>2009</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Committees: </w:t>
      </w:r>
      <w:r>
        <w:rPr>
          <w:rFonts w:ascii="Arial" w:cs="Arial" w:eastAsia="Arial" w:hAnsi="Arial"/>
          <w:sz w:val="16"/>
          <w:szCs w:val="16"/>
          <w:b w:val="1"/>
          <w:bCs w:val="1"/>
          <w:color w:val="auto"/>
        </w:rPr>
        <w:t>Executive, Executive Compensation, Finance, Governance and Corporate Responsibility (Chair)</w:t>
      </w:r>
    </w:p>
    <w:p>
      <w:pPr>
        <w:spacing w:after="0" w:line="5" w:lineRule="exact"/>
        <w:rPr>
          <w:sz w:val="20"/>
          <w:szCs w:val="20"/>
          <w:color w:val="auto"/>
        </w:rPr>
      </w:pPr>
    </w:p>
    <w:p>
      <w:pPr>
        <w:ind w:left="40" w:right="520"/>
        <w:spacing w:after="0" w:line="246" w:lineRule="auto"/>
        <w:rPr>
          <w:sz w:val="20"/>
          <w:szCs w:val="20"/>
          <w:color w:val="auto"/>
        </w:rPr>
      </w:pPr>
      <w:r>
        <w:rPr>
          <w:rFonts w:ascii="Arial" w:cs="Arial" w:eastAsia="Arial" w:hAnsi="Arial"/>
          <w:sz w:val="16"/>
          <w:szCs w:val="16"/>
          <w:color w:val="auto"/>
        </w:rPr>
        <w:t xml:space="preserve">Current Public Company Directorships: </w:t>
      </w:r>
      <w:r>
        <w:rPr>
          <w:rFonts w:ascii="Arial" w:cs="Arial" w:eastAsia="Arial" w:hAnsi="Arial"/>
          <w:sz w:val="16"/>
          <w:szCs w:val="16"/>
          <w:b w:val="1"/>
          <w:bCs w:val="1"/>
          <w:color w:val="auto"/>
        </w:rPr>
        <w:t>Alcoa Inc. (Lead Director), Hewlett Packard Enterprise Company (Chairman), KKR Management LLC (the</w:t>
      </w:r>
      <w:r>
        <w:rPr>
          <w:rFonts w:ascii="Arial" w:cs="Arial" w:eastAsia="Arial" w:hAnsi="Arial"/>
          <w:sz w:val="16"/>
          <w:szCs w:val="16"/>
          <w:color w:val="auto"/>
        </w:rPr>
        <w:t xml:space="preserve"> </w:t>
      </w:r>
      <w:r>
        <w:rPr>
          <w:rFonts w:ascii="Arial" w:cs="Arial" w:eastAsia="Arial" w:hAnsi="Arial"/>
          <w:sz w:val="16"/>
          <w:szCs w:val="16"/>
          <w:b w:val="1"/>
          <w:bCs w:val="1"/>
          <w:color w:val="auto"/>
        </w:rPr>
        <w:t>managing partner of KKR &amp; Co. L.P.), and Merck &amp; Co. Inc.</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Prior Public Company Directorships: </w:t>
      </w:r>
      <w:r>
        <w:rPr>
          <w:rFonts w:ascii="Arial" w:cs="Arial" w:eastAsia="Arial" w:hAnsi="Arial"/>
          <w:sz w:val="16"/>
          <w:szCs w:val="16"/>
          <w:b w:val="1"/>
          <w:bCs w:val="1"/>
          <w:color w:val="auto"/>
        </w:rPr>
        <w:t>Hewlett Packard Company (2011 to 2015), where she was Lead Director from 2014 to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6915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69150" cy="8890"/>
                    </a:xfrm>
                    <a:prstGeom prst="rect">
                      <a:avLst/>
                    </a:prstGeom>
                    <a:noFill/>
                  </pic:spPr>
                </pic:pic>
              </a:graphicData>
            </a:graphic>
          </wp:anchor>
        </w:drawing>
      </w:r>
    </w:p>
    <w:p>
      <w:pPr>
        <w:spacing w:after="0" w:line="18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Ms. Russo has served as Chairman of Hewlett Packard Enterprise Company since November 2015, after the separation of Hewlett-Packard Company (“HP”) into two companies. She had been Lead Director of HP since 2014. She served as Chief Executive Officer of Alcatel-Lucent S.A. from 2006 to 2008. Prior to the merger of Alcatel S.A. (“Alcatel”) and Lucent Technologies, Inc. (“Lucent”) in 2006, she served as Chairman and Chief Executive Officer of Lucent from 2003 to 2006 and President and Chief Executive Officer from 2002 to 2003. Ms. Russo served as Lead Director of our Board from March 2010 to January 2014.</w:t>
      </w:r>
    </w:p>
    <w:p>
      <w:pPr>
        <w:spacing w:after="0" w:line="3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C90D3"/>
        </w:rPr>
        <w:t>Reasons for Nomination:</w:t>
      </w:r>
    </w:p>
    <w:p>
      <w:pPr>
        <w:spacing w:after="0" w:line="21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As the chief executive officer of highly technical, global, complex companies, Ms. Russo demonstrated leadership that strongly supported her nomination to our Board. She dealt with a wide range of issues including mergers and acquisitions, technology disruptions and business restructuring as she led Lucent’s recovery through a severe industry downturn and later a merger with Alcatel, a French company. She has recently led the HP board of directors in connection with its split into two public companies, gaining valuable experience in connection with a highly complex business restructuring transaction. In addition, she brings to the Board extensive global experience in corporate strategy, finance, sales and marketing, technology, and leadership development. Ms. Russo also has extensive expertise in corporate governance and executive compensation as a member of the board and board committees of other large, global public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246620" cy="260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13"/>
        </w:trPr>
        <w:tc>
          <w:tcPr>
            <w:tcW w:w="4340" w:type="dxa"/>
            <w:vAlign w:val="bottom"/>
            <w:tcBorders>
              <w:bottom w:val="single" w:sz="8" w:color="08228B"/>
            </w:tcBorders>
          </w:tcPr>
          <w:p>
            <w:pPr>
              <w:spacing w:after="0"/>
              <w:rPr>
                <w:sz w:val="9"/>
                <w:szCs w:val="9"/>
                <w:color w:val="auto"/>
              </w:rPr>
            </w:pPr>
          </w:p>
        </w:tc>
        <w:tc>
          <w:tcPr>
            <w:tcW w:w="2060" w:type="dxa"/>
            <w:vAlign w:val="bottom"/>
            <w:vMerge w:val="restart"/>
          </w:tcPr>
          <w:p>
            <w:pPr>
              <w:ind w:left="60"/>
              <w:spacing w:after="0"/>
              <w:rPr>
                <w:sz w:val="20"/>
                <w:szCs w:val="20"/>
                <w:color w:val="auto"/>
              </w:rPr>
            </w:pPr>
            <w:r>
              <w:rPr>
                <w:rFonts w:ascii="Arial" w:cs="Arial" w:eastAsia="Arial" w:hAnsi="Arial"/>
                <w:sz w:val="16"/>
                <w:szCs w:val="16"/>
                <w:b w:val="1"/>
                <w:bCs w:val="1"/>
                <w:color w:val="1C90D3"/>
              </w:rPr>
              <w:t xml:space="preserve">2016 </w:t>
            </w:r>
            <w:r>
              <w:rPr>
                <w:rFonts w:ascii="Arial" w:cs="Arial" w:eastAsia="Arial" w:hAnsi="Arial"/>
                <w:sz w:val="16"/>
                <w:szCs w:val="16"/>
                <w:color w:val="08228B"/>
              </w:rPr>
              <w:t>PROXY STATEMENT</w:t>
            </w:r>
          </w:p>
        </w:tc>
        <w:tc>
          <w:tcPr>
            <w:tcW w:w="2400" w:type="dxa"/>
            <w:vAlign w:val="bottom"/>
            <w:tcBorders>
              <w:bottom w:val="single" w:sz="8" w:color="08228B"/>
            </w:tcBorders>
          </w:tcPr>
          <w:p>
            <w:pPr>
              <w:spacing w:after="0"/>
              <w:rPr>
                <w:sz w:val="9"/>
                <w:szCs w:val="9"/>
                <w:color w:val="auto"/>
              </w:rPr>
            </w:pPr>
          </w:p>
        </w:tc>
        <w:tc>
          <w:tcPr>
            <w:tcW w:w="2620" w:type="dxa"/>
            <w:vAlign w:val="bottom"/>
            <w:vMerge w:val="restart"/>
          </w:tcPr>
          <w:p>
            <w:pPr>
              <w:jc w:val="right"/>
              <w:ind w:right="39"/>
              <w:spacing w:after="0"/>
              <w:rPr>
                <w:sz w:val="20"/>
                <w:szCs w:val="20"/>
                <w:color w:val="auto"/>
              </w:rPr>
            </w:pPr>
            <w:r>
              <w:rPr>
                <w:rFonts w:ascii="Arial" w:cs="Arial" w:eastAsia="Arial" w:hAnsi="Arial"/>
                <w:sz w:val="16"/>
                <w:szCs w:val="16"/>
                <w:color w:val="08228B"/>
              </w:rPr>
              <w:t>16</w:t>
            </w:r>
          </w:p>
        </w:tc>
        <w:tc>
          <w:tcPr>
            <w:tcW w:w="0" w:type="dxa"/>
            <w:vAlign w:val="bottom"/>
          </w:tcPr>
          <w:p>
            <w:pPr>
              <w:spacing w:after="0"/>
              <w:rPr>
                <w:sz w:val="1"/>
                <w:szCs w:val="1"/>
                <w:color w:val="auto"/>
              </w:rPr>
            </w:pPr>
          </w:p>
        </w:tc>
      </w:tr>
      <w:tr>
        <w:trPr>
          <w:trHeight w:val="82"/>
        </w:trPr>
        <w:tc>
          <w:tcPr>
            <w:tcW w:w="4340" w:type="dxa"/>
            <w:vAlign w:val="bottom"/>
          </w:tcPr>
          <w:p>
            <w:pPr>
              <w:spacing w:after="0"/>
              <w:rPr>
                <w:sz w:val="7"/>
                <w:szCs w:val="7"/>
                <w:color w:val="auto"/>
              </w:rPr>
            </w:pPr>
          </w:p>
        </w:tc>
        <w:tc>
          <w:tcPr>
            <w:tcW w:w="2060" w:type="dxa"/>
            <w:vAlign w:val="bottom"/>
            <w:vMerge w:val="continue"/>
          </w:tcPr>
          <w:p>
            <w:pPr>
              <w:spacing w:after="0"/>
              <w:rPr>
                <w:sz w:val="7"/>
                <w:szCs w:val="7"/>
                <w:color w:val="auto"/>
              </w:rPr>
            </w:pPr>
          </w:p>
        </w:tc>
        <w:tc>
          <w:tcPr>
            <w:tcW w:w="2400" w:type="dxa"/>
            <w:vAlign w:val="bottom"/>
          </w:tcPr>
          <w:p>
            <w:pPr>
              <w:spacing w:after="0"/>
              <w:rPr>
                <w:sz w:val="7"/>
                <w:szCs w:val="7"/>
                <w:color w:val="auto"/>
              </w:rPr>
            </w:pPr>
          </w:p>
        </w:tc>
        <w:tc>
          <w:tcPr>
            <w:tcW w:w="2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7"/>
        </w:trPr>
        <w:tc>
          <w:tcPr>
            <w:tcW w:w="4340" w:type="dxa"/>
            <w:vAlign w:val="bottom"/>
            <w:tcBorders>
              <w:bottom w:val="single" w:sz="8" w:color="C0C0C0"/>
            </w:tcBorders>
          </w:tcPr>
          <w:p>
            <w:pPr>
              <w:spacing w:after="0"/>
              <w:rPr>
                <w:sz w:val="24"/>
                <w:szCs w:val="24"/>
                <w:color w:val="auto"/>
              </w:rPr>
            </w:pPr>
          </w:p>
        </w:tc>
        <w:tc>
          <w:tcPr>
            <w:tcW w:w="2060" w:type="dxa"/>
            <w:vAlign w:val="bottom"/>
            <w:tcBorders>
              <w:bottom w:val="single" w:sz="8" w:color="C0C0C0"/>
            </w:tcBorders>
          </w:tcPr>
          <w:p>
            <w:pPr>
              <w:spacing w:after="0"/>
              <w:rPr>
                <w:sz w:val="24"/>
                <w:szCs w:val="24"/>
                <w:color w:val="auto"/>
              </w:rPr>
            </w:pPr>
          </w:p>
        </w:tc>
        <w:tc>
          <w:tcPr>
            <w:tcW w:w="2400" w:type="dxa"/>
            <w:vAlign w:val="bottom"/>
            <w:tcBorders>
              <w:bottom w:val="single" w:sz="8" w:color="C0C0C0"/>
            </w:tcBorders>
          </w:tcPr>
          <w:p>
            <w:pPr>
              <w:spacing w:after="0"/>
              <w:rPr>
                <w:sz w:val="24"/>
                <w:szCs w:val="24"/>
                <w:color w:val="auto"/>
              </w:rPr>
            </w:pPr>
          </w:p>
        </w:tc>
        <w:tc>
          <w:tcPr>
            <w:tcW w:w="262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5613400</wp:posOffset>
            </wp:positionH>
            <wp:positionV relativeFrom="paragraph">
              <wp:posOffset>-334010</wp:posOffset>
            </wp:positionV>
            <wp:extent cx="1286510" cy="8572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86510" cy="8572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857885" cy="84899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57885" cy="848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08228B"/>
        </w:rPr>
        <w:t xml:space="preserve">Thomas M. Schoewe, </w:t>
      </w:r>
      <w:r>
        <w:rPr>
          <w:rFonts w:ascii="Arial" w:cs="Arial" w:eastAsia="Arial" w:hAnsi="Arial"/>
          <w:sz w:val="18"/>
          <w:szCs w:val="18"/>
          <w:b w:val="1"/>
          <w:bCs w:val="1"/>
          <w:color w:val="000000"/>
        </w:rPr>
        <w:t>Retired Executive Vice President and Chief Financial Officer, 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5888355</wp:posOffset>
            </wp:positionH>
            <wp:positionV relativeFrom="paragraph">
              <wp:posOffset>-56515</wp:posOffset>
            </wp:positionV>
            <wp:extent cx="1286510" cy="18034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86510" cy="180340"/>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b w:val="1"/>
          <w:bCs w:val="1"/>
          <w:color w:val="auto"/>
        </w:rPr>
        <w:t>Mart Stores,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6915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ind w:left="40"/>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auto"/>
        </w:rPr>
        <w:t>63</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auto"/>
        </w:rPr>
        <w:t>2011</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Committees: </w:t>
      </w:r>
      <w:r>
        <w:rPr>
          <w:rFonts w:ascii="Arial" w:cs="Arial" w:eastAsia="Arial" w:hAnsi="Arial"/>
          <w:sz w:val="16"/>
          <w:szCs w:val="16"/>
          <w:b w:val="1"/>
          <w:bCs w:val="1"/>
          <w:color w:val="auto"/>
        </w:rPr>
        <w:t>Audit (Chair), Executive, Finance, Risk</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Current Public Company Directorships: </w:t>
      </w:r>
      <w:r>
        <w:rPr>
          <w:rFonts w:ascii="Arial" w:cs="Arial" w:eastAsia="Arial" w:hAnsi="Arial"/>
          <w:sz w:val="16"/>
          <w:szCs w:val="16"/>
          <w:b w:val="1"/>
          <w:bCs w:val="1"/>
          <w:color w:val="auto"/>
        </w:rPr>
        <w:t>KKR Management LLC and Northrop Grumman Corporation</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Prior Public Company Directorships: </w:t>
      </w:r>
      <w:r>
        <w:rPr>
          <w:rFonts w:ascii="Arial" w:cs="Arial" w:eastAsia="Arial" w:hAnsi="Arial"/>
          <w:sz w:val="16"/>
          <w:szCs w:val="16"/>
          <w:b w:val="1"/>
          <w:bCs w:val="1"/>
          <w:color w:val="auto"/>
        </w:rPr>
        <w:t>PulteGroup, Inc. (2009 to 2012</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6915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69150" cy="8890"/>
                    </a:xfrm>
                    <a:prstGeom prst="rect">
                      <a:avLst/>
                    </a:prstGeom>
                    <a:noFill/>
                  </pic:spPr>
                </pic:pic>
              </a:graphicData>
            </a:graphic>
          </wp:anchor>
        </w:drawing>
      </w:r>
    </w:p>
    <w:p>
      <w:pPr>
        <w:spacing w:after="0" w:line="18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Mr. Schoewe served as Executive Vice President and Chief Financial Officer of Wal-Mart Stores, Inc. (“Wal-Mart”) from 2000 to 2011. Prior to joining Wal-Mart, Mr. Schoewe worked for Black &amp; Decker Corporation from 1986 to 1999, most recently serving as Senior Vice President and Chief Financial Officer.</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C90D3"/>
        </w:rPr>
        <w:t>Reasons for Nomination:</w:t>
      </w:r>
    </w:p>
    <w:p>
      <w:pPr>
        <w:spacing w:after="0" w:line="21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With extensive experience in finance, including serving as the chief financial officer of large multinational, consumer-facing companies, Mr. Schoewe brings financial expertise, corporate leadership, and operational experience to our Board. His extensive experience as a senior leader in corporate finance has provided him with key skills, including financial reporting, accounting and control, business planning and analysis, and risk management that are valuable to the oversight of our business. Mr. Schoewe also brings to our Board his experience at Wal-Mart and Black &amp; Decker with large-scale, transformational information technology implementations, which provides valuable insight as we continue to restructure our IT operations. Further, Mr. Schoewe’s previous and current board positions at public companies involved with home building, security, and investments provides exposure to diverse industries with unique challenges enabling him to make a significant contribution to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6620" cy="260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857885" cy="85788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857885" cy="857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08228B"/>
        </w:rPr>
        <w:t xml:space="preserve">Carol M. Stephenson, </w:t>
      </w:r>
      <w:r>
        <w:rPr>
          <w:rFonts w:ascii="Arial" w:cs="Arial" w:eastAsia="Arial" w:hAnsi="Arial"/>
          <w:sz w:val="18"/>
          <w:szCs w:val="18"/>
          <w:b w:val="1"/>
          <w:bCs w:val="1"/>
          <w:color w:val="000000"/>
        </w:rPr>
        <w:t>Retired Dean, Ivey Business School, The University of Western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5802630</wp:posOffset>
            </wp:positionH>
            <wp:positionV relativeFrom="paragraph">
              <wp:posOffset>-56515</wp:posOffset>
            </wp:positionV>
            <wp:extent cx="1372235" cy="18034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372235" cy="180340"/>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b w:val="1"/>
          <w:bCs w:val="1"/>
          <w:color w:val="auto"/>
        </w:rPr>
        <w:t>Ontario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6915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ind w:left="40"/>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auto"/>
        </w:rPr>
        <w:t>65</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auto"/>
        </w:rPr>
        <w:t>2009</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Committees: </w:t>
      </w:r>
      <w:r>
        <w:rPr>
          <w:rFonts w:ascii="Arial" w:cs="Arial" w:eastAsia="Arial" w:hAnsi="Arial"/>
          <w:sz w:val="16"/>
          <w:szCs w:val="16"/>
          <w:b w:val="1"/>
          <w:bCs w:val="1"/>
          <w:color w:val="auto"/>
        </w:rPr>
        <w:t>Executive, Executive Compensation (Chair), Governance and Corporate Responsibility</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Current Public Company Directorships: </w:t>
      </w:r>
      <w:r>
        <w:rPr>
          <w:rFonts w:ascii="Arial" w:cs="Arial" w:eastAsia="Arial" w:hAnsi="Arial"/>
          <w:sz w:val="16"/>
          <w:szCs w:val="16"/>
          <w:b w:val="1"/>
          <w:bCs w:val="1"/>
          <w:color w:val="auto"/>
        </w:rPr>
        <w:t>Ballard Power Systems, Inc., Intact Financial Corporation (formerly ING Canada), and Manitoba Telecom</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6915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69150" cy="8890"/>
                    </a:xfrm>
                    <a:prstGeom prst="rect">
                      <a:avLst/>
                    </a:prstGeom>
                    <a:noFill/>
                  </pic:spPr>
                </pic:pic>
              </a:graphicData>
            </a:graphic>
          </wp:anchor>
        </w:drawing>
      </w:r>
    </w:p>
    <w:p>
      <w:pPr>
        <w:spacing w:after="0" w:line="18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Ms. Stephenson served as Dean of the Ivey Business School at The University of Western Ontario (“Ivey”) from 2003 until her retirement in September 2013. Prior to joining Ivey, Ms. Stephenson served as President and Chief Executive Officer, Lucent Technologies Canada from 1999 to 2003. She was a member of the Advisory Board of General Motors of Canada, Limited (“GM Canada”), a GM subsidiary, from 2005 to 2009. Ms. Stephenson was appointed an Officer of the Order of Canada in 2009.</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C90D3"/>
        </w:rPr>
        <w:t>Reasons for Nomination:</w:t>
      </w:r>
    </w:p>
    <w:p>
      <w:pPr>
        <w:spacing w:after="0" w:line="21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Ms. Stephenson’s experience as Dean of Ivey and President and Chief Executive Officer of Lucent Technologies Canada provides our Board with diverse perspectives and progressive management expertise in marketing, operations, strategic planning, technology development, and financial management. Her experience on the boards of several top Canadian companies provides our Board with a broad perspective on successful management strategies and insight on matters affecting the business interests of GM and GM Canada. Ms. Stephenson also brings her experience in serving on the compensation and governance committees of other public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260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13"/>
        </w:trPr>
        <w:tc>
          <w:tcPr>
            <w:tcW w:w="4340" w:type="dxa"/>
            <w:vAlign w:val="bottom"/>
            <w:tcBorders>
              <w:bottom w:val="single" w:sz="8" w:color="08228B"/>
            </w:tcBorders>
          </w:tcPr>
          <w:p>
            <w:pPr>
              <w:spacing w:after="0"/>
              <w:rPr>
                <w:sz w:val="9"/>
                <w:szCs w:val="9"/>
                <w:color w:val="auto"/>
              </w:rPr>
            </w:pPr>
          </w:p>
        </w:tc>
        <w:tc>
          <w:tcPr>
            <w:tcW w:w="2060" w:type="dxa"/>
            <w:vAlign w:val="bottom"/>
            <w:vMerge w:val="restart"/>
          </w:tcPr>
          <w:p>
            <w:pPr>
              <w:ind w:left="60"/>
              <w:spacing w:after="0"/>
              <w:rPr>
                <w:sz w:val="20"/>
                <w:szCs w:val="20"/>
                <w:color w:val="auto"/>
              </w:rPr>
            </w:pPr>
            <w:r>
              <w:rPr>
                <w:rFonts w:ascii="Arial" w:cs="Arial" w:eastAsia="Arial" w:hAnsi="Arial"/>
                <w:sz w:val="16"/>
                <w:szCs w:val="16"/>
                <w:b w:val="1"/>
                <w:bCs w:val="1"/>
                <w:color w:val="1C90D3"/>
              </w:rPr>
              <w:t xml:space="preserve">2016 </w:t>
            </w:r>
            <w:r>
              <w:rPr>
                <w:rFonts w:ascii="Arial" w:cs="Arial" w:eastAsia="Arial" w:hAnsi="Arial"/>
                <w:sz w:val="16"/>
                <w:szCs w:val="16"/>
                <w:color w:val="08228B"/>
              </w:rPr>
              <w:t>PROXY STATEMENT</w:t>
            </w:r>
          </w:p>
        </w:tc>
        <w:tc>
          <w:tcPr>
            <w:tcW w:w="2400" w:type="dxa"/>
            <w:vAlign w:val="bottom"/>
            <w:tcBorders>
              <w:bottom w:val="single" w:sz="8" w:color="08228B"/>
            </w:tcBorders>
          </w:tcPr>
          <w:p>
            <w:pPr>
              <w:spacing w:after="0"/>
              <w:rPr>
                <w:sz w:val="9"/>
                <w:szCs w:val="9"/>
                <w:color w:val="auto"/>
              </w:rPr>
            </w:pPr>
          </w:p>
        </w:tc>
        <w:tc>
          <w:tcPr>
            <w:tcW w:w="2620" w:type="dxa"/>
            <w:vAlign w:val="bottom"/>
            <w:vMerge w:val="restart"/>
          </w:tcPr>
          <w:p>
            <w:pPr>
              <w:jc w:val="right"/>
              <w:ind w:right="39"/>
              <w:spacing w:after="0"/>
              <w:rPr>
                <w:sz w:val="20"/>
                <w:szCs w:val="20"/>
                <w:color w:val="auto"/>
              </w:rPr>
            </w:pPr>
            <w:r>
              <w:rPr>
                <w:rFonts w:ascii="Arial" w:cs="Arial" w:eastAsia="Arial" w:hAnsi="Arial"/>
                <w:sz w:val="16"/>
                <w:szCs w:val="16"/>
                <w:color w:val="08228B"/>
              </w:rPr>
              <w:t>17</w:t>
            </w:r>
          </w:p>
        </w:tc>
        <w:tc>
          <w:tcPr>
            <w:tcW w:w="0" w:type="dxa"/>
            <w:vAlign w:val="bottom"/>
          </w:tcPr>
          <w:p>
            <w:pPr>
              <w:spacing w:after="0"/>
              <w:rPr>
                <w:sz w:val="1"/>
                <w:szCs w:val="1"/>
                <w:color w:val="auto"/>
              </w:rPr>
            </w:pPr>
          </w:p>
        </w:tc>
      </w:tr>
      <w:tr>
        <w:trPr>
          <w:trHeight w:val="82"/>
        </w:trPr>
        <w:tc>
          <w:tcPr>
            <w:tcW w:w="4340" w:type="dxa"/>
            <w:vAlign w:val="bottom"/>
          </w:tcPr>
          <w:p>
            <w:pPr>
              <w:spacing w:after="0"/>
              <w:rPr>
                <w:sz w:val="7"/>
                <w:szCs w:val="7"/>
                <w:color w:val="auto"/>
              </w:rPr>
            </w:pPr>
          </w:p>
        </w:tc>
        <w:tc>
          <w:tcPr>
            <w:tcW w:w="2060" w:type="dxa"/>
            <w:vAlign w:val="bottom"/>
            <w:vMerge w:val="continue"/>
          </w:tcPr>
          <w:p>
            <w:pPr>
              <w:spacing w:after="0"/>
              <w:rPr>
                <w:sz w:val="7"/>
                <w:szCs w:val="7"/>
                <w:color w:val="auto"/>
              </w:rPr>
            </w:pPr>
          </w:p>
        </w:tc>
        <w:tc>
          <w:tcPr>
            <w:tcW w:w="2400" w:type="dxa"/>
            <w:vAlign w:val="bottom"/>
          </w:tcPr>
          <w:p>
            <w:pPr>
              <w:spacing w:after="0"/>
              <w:rPr>
                <w:sz w:val="7"/>
                <w:szCs w:val="7"/>
                <w:color w:val="auto"/>
              </w:rPr>
            </w:pPr>
          </w:p>
        </w:tc>
        <w:tc>
          <w:tcPr>
            <w:tcW w:w="2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7"/>
        </w:trPr>
        <w:tc>
          <w:tcPr>
            <w:tcW w:w="4340" w:type="dxa"/>
            <w:vAlign w:val="bottom"/>
            <w:tcBorders>
              <w:bottom w:val="single" w:sz="8" w:color="C0C0C0"/>
            </w:tcBorders>
          </w:tcPr>
          <w:p>
            <w:pPr>
              <w:spacing w:after="0"/>
              <w:rPr>
                <w:sz w:val="24"/>
                <w:szCs w:val="24"/>
                <w:color w:val="auto"/>
              </w:rPr>
            </w:pPr>
          </w:p>
        </w:tc>
        <w:tc>
          <w:tcPr>
            <w:tcW w:w="2060" w:type="dxa"/>
            <w:vAlign w:val="bottom"/>
            <w:tcBorders>
              <w:bottom w:val="single" w:sz="8" w:color="C0C0C0"/>
            </w:tcBorders>
          </w:tcPr>
          <w:p>
            <w:pPr>
              <w:spacing w:after="0"/>
              <w:rPr>
                <w:sz w:val="24"/>
                <w:szCs w:val="24"/>
                <w:color w:val="auto"/>
              </w:rPr>
            </w:pPr>
          </w:p>
        </w:tc>
        <w:tc>
          <w:tcPr>
            <w:tcW w:w="2400" w:type="dxa"/>
            <w:vAlign w:val="bottom"/>
            <w:tcBorders>
              <w:bottom w:val="single" w:sz="8" w:color="C0C0C0"/>
            </w:tcBorders>
          </w:tcPr>
          <w:p>
            <w:pPr>
              <w:spacing w:after="0"/>
              <w:rPr>
                <w:sz w:val="24"/>
                <w:szCs w:val="24"/>
                <w:color w:val="auto"/>
              </w:rPr>
            </w:pPr>
          </w:p>
        </w:tc>
        <w:tc>
          <w:tcPr>
            <w:tcW w:w="262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5613400</wp:posOffset>
            </wp:positionH>
            <wp:positionV relativeFrom="paragraph">
              <wp:posOffset>-334010</wp:posOffset>
            </wp:positionV>
            <wp:extent cx="1286510" cy="8572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86510" cy="8572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Back to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32"/>
          <w:szCs w:val="32"/>
          <w:color w:val="1C90D3"/>
        </w:rPr>
        <w:t>Non-Employee Director Compensation</w:t>
      </w:r>
    </w:p>
    <w:p>
      <w:pPr>
        <w:spacing w:after="0" w:line="31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strive to provide a level of compensation we believe is necessary to attract and retain high-quality non-employee directors. Ms. Barra, our sole employee director, does not receive additional compensation for her Board service. Compensation for our non-employee directors is set by our Board at the recommendation of the Governance Committee.</w:t>
      </w:r>
    </w:p>
    <w:p>
      <w:pPr>
        <w:spacing w:after="0" w:line="17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Governance Committee, which consists solely of independent directors, annually assesses the form and amount of non-employee director compensation and recommends changes, if appropriate, to the Board based upon competitive market practices. The Governance Committee reviews director compensation data for the same companies that comprise the peer group we use for benchmarking executive compensation described on page 38. The process for setting director pay is guided by the following principles:</w:t>
      </w:r>
    </w:p>
    <w:p>
      <w:pPr>
        <w:spacing w:after="0" w:line="176" w:lineRule="exact"/>
        <w:rPr>
          <w:sz w:val="20"/>
          <w:szCs w:val="20"/>
          <w:color w:val="auto"/>
        </w:rPr>
      </w:pPr>
    </w:p>
    <w:p>
      <w:pPr>
        <w:ind w:left="180" w:hanging="172"/>
        <w:spacing w:after="0"/>
        <w:tabs>
          <w:tab w:leader="none" w:pos="180" w:val="left"/>
        </w:tabs>
        <w:numPr>
          <w:ilvl w:val="0"/>
          <w:numId w:val="5"/>
        </w:numPr>
        <w:rPr>
          <w:rFonts w:ascii="Arial" w:cs="Arial" w:eastAsia="Arial" w:hAnsi="Arial"/>
          <w:sz w:val="16"/>
          <w:szCs w:val="16"/>
          <w:color w:val="08228B"/>
        </w:rPr>
      </w:pPr>
      <w:r>
        <w:rPr>
          <w:rFonts w:ascii="Arial" w:cs="Arial" w:eastAsia="Arial" w:hAnsi="Arial"/>
          <w:sz w:val="16"/>
          <w:szCs w:val="16"/>
          <w:color w:val="auto"/>
        </w:rPr>
        <w:t>Fairly compensate directors for their responsibilities and time commitments;</w:t>
      </w:r>
    </w:p>
    <w:p>
      <w:pPr>
        <w:spacing w:after="0" w:line="194" w:lineRule="exact"/>
        <w:rPr>
          <w:rFonts w:ascii="Arial" w:cs="Arial" w:eastAsia="Arial" w:hAnsi="Arial"/>
          <w:sz w:val="16"/>
          <w:szCs w:val="16"/>
          <w:color w:val="08228B"/>
        </w:rPr>
      </w:pPr>
    </w:p>
    <w:p>
      <w:pPr>
        <w:ind w:left="180" w:right="120" w:hanging="172"/>
        <w:spacing w:after="0" w:line="260" w:lineRule="auto"/>
        <w:tabs>
          <w:tab w:leader="none" w:pos="180" w:val="left"/>
        </w:tabs>
        <w:numPr>
          <w:ilvl w:val="0"/>
          <w:numId w:val="5"/>
        </w:numPr>
        <w:rPr>
          <w:rFonts w:ascii="Arial" w:cs="Arial" w:eastAsia="Arial" w:hAnsi="Arial"/>
          <w:sz w:val="16"/>
          <w:szCs w:val="16"/>
          <w:color w:val="08228B"/>
        </w:rPr>
      </w:pPr>
      <w:r>
        <w:rPr>
          <w:rFonts w:ascii="Arial" w:cs="Arial" w:eastAsia="Arial" w:hAnsi="Arial"/>
          <w:sz w:val="16"/>
          <w:szCs w:val="16"/>
          <w:color w:val="auto"/>
        </w:rPr>
        <w:t>Attract and retain highly qualified directors by offering a compensation program consistent with those at companies having similar size, scope, and complexity;</w:t>
      </w:r>
    </w:p>
    <w:p>
      <w:pPr>
        <w:spacing w:after="0" w:line="168" w:lineRule="exact"/>
        <w:rPr>
          <w:rFonts w:ascii="Arial" w:cs="Arial" w:eastAsia="Arial" w:hAnsi="Arial"/>
          <w:sz w:val="16"/>
          <w:szCs w:val="16"/>
          <w:color w:val="08228B"/>
        </w:rPr>
      </w:pPr>
    </w:p>
    <w:p>
      <w:pPr>
        <w:ind w:left="180" w:right="120" w:hanging="172"/>
        <w:spacing w:after="0" w:line="260" w:lineRule="auto"/>
        <w:tabs>
          <w:tab w:leader="none" w:pos="180" w:val="left"/>
        </w:tabs>
        <w:numPr>
          <w:ilvl w:val="0"/>
          <w:numId w:val="5"/>
        </w:numPr>
        <w:rPr>
          <w:rFonts w:ascii="Arial" w:cs="Arial" w:eastAsia="Arial" w:hAnsi="Arial"/>
          <w:sz w:val="16"/>
          <w:szCs w:val="16"/>
          <w:color w:val="08228B"/>
        </w:rPr>
      </w:pPr>
      <w:r>
        <w:rPr>
          <w:rFonts w:ascii="Arial" w:cs="Arial" w:eastAsia="Arial" w:hAnsi="Arial"/>
          <w:sz w:val="16"/>
          <w:szCs w:val="16"/>
          <w:color w:val="auto"/>
        </w:rPr>
        <w:t>Align the interests of directors with our shareholders by providing a significant portion of compensation in equity and requiring directors to own our common stock (or common stock equivalents); and</w:t>
      </w:r>
    </w:p>
    <w:p>
      <w:pPr>
        <w:spacing w:after="0" w:line="168" w:lineRule="exact"/>
        <w:rPr>
          <w:rFonts w:ascii="Arial" w:cs="Arial" w:eastAsia="Arial" w:hAnsi="Arial"/>
          <w:sz w:val="16"/>
          <w:szCs w:val="16"/>
          <w:color w:val="08228B"/>
        </w:rPr>
      </w:pPr>
    </w:p>
    <w:p>
      <w:pPr>
        <w:ind w:left="180" w:hanging="172"/>
        <w:spacing w:after="0"/>
        <w:tabs>
          <w:tab w:leader="none" w:pos="180" w:val="left"/>
        </w:tabs>
        <w:numPr>
          <w:ilvl w:val="0"/>
          <w:numId w:val="5"/>
        </w:numPr>
        <w:rPr>
          <w:rFonts w:ascii="Arial" w:cs="Arial" w:eastAsia="Arial" w:hAnsi="Arial"/>
          <w:sz w:val="16"/>
          <w:szCs w:val="16"/>
          <w:color w:val="08228B"/>
        </w:rPr>
      </w:pPr>
      <w:r>
        <w:rPr>
          <w:rFonts w:ascii="Arial" w:cs="Arial" w:eastAsia="Arial" w:hAnsi="Arial"/>
          <w:sz w:val="16"/>
          <w:szCs w:val="16"/>
          <w:color w:val="auto"/>
        </w:rPr>
        <w:t>Provide compensation that is simple and transparent to shareholders.</w:t>
      </w:r>
    </w:p>
    <w:p>
      <w:pPr>
        <w:spacing w:after="0" w:line="194"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In addition, the Governance Committee can engage the services of outside consultants, experts, and others to assist the Committee. During 2015, the Governance Committee did not engage any consultants in reviewing and setting director compensation.</w:t>
      </w:r>
    </w:p>
    <w:p>
      <w:pPr>
        <w:spacing w:after="0" w:line="290" w:lineRule="exact"/>
        <w:rPr>
          <w:sz w:val="20"/>
          <w:szCs w:val="20"/>
          <w:color w:val="auto"/>
        </w:rPr>
      </w:pPr>
    </w:p>
    <w:p>
      <w:pPr>
        <w:ind w:left="500" w:hanging="492"/>
        <w:spacing w:after="0"/>
        <w:tabs>
          <w:tab w:leader="none" w:pos="500" w:val="left"/>
        </w:tabs>
        <w:numPr>
          <w:ilvl w:val="0"/>
          <w:numId w:val="6"/>
        </w:numPr>
        <w:rPr>
          <w:rFonts w:ascii="Arial" w:cs="Arial" w:eastAsia="Arial" w:hAnsi="Arial"/>
          <w:sz w:val="25"/>
          <w:szCs w:val="25"/>
          <w:color w:val="08228B"/>
        </w:rPr>
      </w:pPr>
      <w:r>
        <w:rPr>
          <w:rFonts w:ascii="Arial" w:cs="Arial" w:eastAsia="Arial" w:hAnsi="Arial"/>
          <w:sz w:val="25"/>
          <w:szCs w:val="25"/>
          <w:color w:val="auto"/>
        </w:rPr>
        <w:t>Annual Compensation</w:t>
      </w:r>
    </w:p>
    <w:p>
      <w:pPr>
        <w:spacing w:after="0" w:line="19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2015, each non-employee member of the Board received an annual retainer of $250,000 for service on the Board. The Chair of the Audit Committee received an additional annual retainer of $30,000 and the Chair of the Compensation Committee received an additional retainer of $20,000. The Chairs of all other Board Committees (excluding the Executive Committee) received an additional annual retainer of $15,000. The additional fee paid to Mr. Solso for service as non-executive Chairman of the Board was $300,000 per year. The fees for a director who joins or leaves the Board or assumes additional responsibilities during the year are prorated for his or her period of service.</w:t>
      </w:r>
    </w:p>
    <w:p>
      <w:pPr>
        <w:spacing w:after="0" w:line="17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Under the General Motors Company Deferred Compensation Plan for Non-Employee Directors (the “Director Compensation Plan”), non-employee directors are required to defer 50 percent of their annual Board retainer (i.e., $125,000) into Deferred Share Units (“DSUs”) of the Company’s common stock. Non-employee directors may elect to defer all or half of their remaining Board retainer or amounts payable (if any) for serving as Committee Chair, Chairman or Lead Director into additional DSUs.</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Following the recommendation of the Governance Committee, our Board determined that no change would be made to director compensation for 2016. The Board also determined that for the first two months of 2016, Mr. Solso would receive an additional fee of $50,000 (i.e., the annual Chairman fee of $300,000 prorated for two months of service) for transitional services following Ms. Barra’s assumption of the Chairman role on January 4, 2016.</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Effective March 4, 2016, the additional retainer paid for service as Lead Director is $100,000 per year. Mr. Solso’s pay as Lead Director reflects the additional time commitment for this role, which includes, among other responsibilities, attending all Board Committee meetings and meeting with the Company’s investors, and attending additional meetings with the Company’s senior management, including the CEO, CFO, and others.</w:t>
      </w:r>
    </w:p>
    <w:p>
      <w:pPr>
        <w:spacing w:after="0" w:line="296" w:lineRule="exact"/>
        <w:rPr>
          <w:sz w:val="20"/>
          <w:szCs w:val="20"/>
          <w:color w:val="auto"/>
        </w:rPr>
      </w:pPr>
    </w:p>
    <w:p>
      <w:pPr>
        <w:ind w:left="500" w:hanging="492"/>
        <w:spacing w:after="0"/>
        <w:tabs>
          <w:tab w:leader="none" w:pos="500" w:val="left"/>
        </w:tabs>
        <w:numPr>
          <w:ilvl w:val="0"/>
          <w:numId w:val="7"/>
        </w:numPr>
        <w:rPr>
          <w:rFonts w:ascii="Arial" w:cs="Arial" w:eastAsia="Arial" w:hAnsi="Arial"/>
          <w:sz w:val="25"/>
          <w:szCs w:val="25"/>
          <w:color w:val="08228B"/>
        </w:rPr>
      </w:pPr>
      <w:r>
        <w:rPr>
          <w:rFonts w:ascii="Arial" w:cs="Arial" w:eastAsia="Arial" w:hAnsi="Arial"/>
          <w:sz w:val="25"/>
          <w:szCs w:val="25"/>
          <w:color w:val="auto"/>
        </w:rPr>
        <w:t>How Deferred Share Units Work</w:t>
      </w:r>
    </w:p>
    <w:p>
      <w:pPr>
        <w:spacing w:after="0" w:line="19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Each DSU is equal in value to a share of GM common stock and is fully vested upon grant, but does not have voting rights. To calculate the number of DSUs to be granted, we divide the amount of compensation required or elected to be deferred each calendar year under the Director Compensation Plan by the average daily closing market price of our common stock for that calendar year. For a director who joined or retired from the Board during the calendar year, the retainer fee is prorated and converted to DSUs based on the average daily closing market price of our common stock for the period of service. All DSUs granted are rounded up to the nearest whole share. Any portion of the retainer that is deferred into DSUs may also earn dividend equivalents, which are credited at the end of each calendar year to each director’s account in the form of additional DSUs. DSUs under this plan will not be available for disposition until after the director retires or otherwise leaves the Board. After leaving the Board, the director will receive a cash payment or payments under this plan based on the number of DSUs in the director’s account, valued at the average daily closing market price for the quarter immediately preceding payment. Directors will be paid in a lump sum or in annual installments for up to five years based on their deferral elections.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13"/>
        </w:trPr>
        <w:tc>
          <w:tcPr>
            <w:tcW w:w="4340" w:type="dxa"/>
            <w:vAlign w:val="bottom"/>
            <w:tcBorders>
              <w:bottom w:val="single" w:sz="8" w:color="08228B"/>
            </w:tcBorders>
          </w:tcPr>
          <w:p>
            <w:pPr>
              <w:spacing w:after="0"/>
              <w:rPr>
                <w:sz w:val="9"/>
                <w:szCs w:val="9"/>
                <w:color w:val="auto"/>
              </w:rPr>
            </w:pPr>
          </w:p>
        </w:tc>
        <w:tc>
          <w:tcPr>
            <w:tcW w:w="2060" w:type="dxa"/>
            <w:vAlign w:val="bottom"/>
            <w:vMerge w:val="restart"/>
          </w:tcPr>
          <w:p>
            <w:pPr>
              <w:ind w:left="60"/>
              <w:spacing w:after="0"/>
              <w:rPr>
                <w:sz w:val="20"/>
                <w:szCs w:val="20"/>
                <w:color w:val="auto"/>
              </w:rPr>
            </w:pPr>
            <w:r>
              <w:rPr>
                <w:rFonts w:ascii="Arial" w:cs="Arial" w:eastAsia="Arial" w:hAnsi="Arial"/>
                <w:sz w:val="16"/>
                <w:szCs w:val="16"/>
                <w:b w:val="1"/>
                <w:bCs w:val="1"/>
                <w:color w:val="1C90D3"/>
              </w:rPr>
              <w:t xml:space="preserve">2016 </w:t>
            </w:r>
            <w:r>
              <w:rPr>
                <w:rFonts w:ascii="Arial" w:cs="Arial" w:eastAsia="Arial" w:hAnsi="Arial"/>
                <w:sz w:val="16"/>
                <w:szCs w:val="16"/>
                <w:color w:val="08228B"/>
              </w:rPr>
              <w:t>PROXY STATEMENT</w:t>
            </w:r>
          </w:p>
        </w:tc>
        <w:tc>
          <w:tcPr>
            <w:tcW w:w="2400" w:type="dxa"/>
            <w:vAlign w:val="bottom"/>
            <w:tcBorders>
              <w:bottom w:val="single" w:sz="8" w:color="08228B"/>
            </w:tcBorders>
          </w:tcPr>
          <w:p>
            <w:pPr>
              <w:spacing w:after="0"/>
              <w:rPr>
                <w:sz w:val="9"/>
                <w:szCs w:val="9"/>
                <w:color w:val="auto"/>
              </w:rPr>
            </w:pPr>
          </w:p>
        </w:tc>
        <w:tc>
          <w:tcPr>
            <w:tcW w:w="2620" w:type="dxa"/>
            <w:vAlign w:val="bottom"/>
            <w:vMerge w:val="restart"/>
          </w:tcPr>
          <w:p>
            <w:pPr>
              <w:jc w:val="right"/>
              <w:ind w:right="39"/>
              <w:spacing w:after="0"/>
              <w:rPr>
                <w:sz w:val="20"/>
                <w:szCs w:val="20"/>
                <w:color w:val="auto"/>
              </w:rPr>
            </w:pPr>
            <w:r>
              <w:rPr>
                <w:rFonts w:ascii="Arial" w:cs="Arial" w:eastAsia="Arial" w:hAnsi="Arial"/>
                <w:sz w:val="16"/>
                <w:szCs w:val="16"/>
                <w:color w:val="08228B"/>
              </w:rPr>
              <w:t>18</w:t>
            </w:r>
          </w:p>
        </w:tc>
        <w:tc>
          <w:tcPr>
            <w:tcW w:w="0" w:type="dxa"/>
            <w:vAlign w:val="bottom"/>
          </w:tcPr>
          <w:p>
            <w:pPr>
              <w:spacing w:after="0"/>
              <w:rPr>
                <w:sz w:val="1"/>
                <w:szCs w:val="1"/>
                <w:color w:val="auto"/>
              </w:rPr>
            </w:pPr>
          </w:p>
        </w:tc>
      </w:tr>
      <w:tr>
        <w:trPr>
          <w:trHeight w:val="82"/>
        </w:trPr>
        <w:tc>
          <w:tcPr>
            <w:tcW w:w="4340" w:type="dxa"/>
            <w:vAlign w:val="bottom"/>
          </w:tcPr>
          <w:p>
            <w:pPr>
              <w:spacing w:after="0"/>
              <w:rPr>
                <w:sz w:val="7"/>
                <w:szCs w:val="7"/>
                <w:color w:val="auto"/>
              </w:rPr>
            </w:pPr>
          </w:p>
        </w:tc>
        <w:tc>
          <w:tcPr>
            <w:tcW w:w="2060" w:type="dxa"/>
            <w:vAlign w:val="bottom"/>
            <w:vMerge w:val="continue"/>
          </w:tcPr>
          <w:p>
            <w:pPr>
              <w:spacing w:after="0"/>
              <w:rPr>
                <w:sz w:val="7"/>
                <w:szCs w:val="7"/>
                <w:color w:val="auto"/>
              </w:rPr>
            </w:pPr>
          </w:p>
        </w:tc>
        <w:tc>
          <w:tcPr>
            <w:tcW w:w="2400" w:type="dxa"/>
            <w:vAlign w:val="bottom"/>
          </w:tcPr>
          <w:p>
            <w:pPr>
              <w:spacing w:after="0"/>
              <w:rPr>
                <w:sz w:val="7"/>
                <w:szCs w:val="7"/>
                <w:color w:val="auto"/>
              </w:rPr>
            </w:pPr>
          </w:p>
        </w:tc>
        <w:tc>
          <w:tcPr>
            <w:tcW w:w="2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7"/>
        </w:trPr>
        <w:tc>
          <w:tcPr>
            <w:tcW w:w="4340" w:type="dxa"/>
            <w:vAlign w:val="bottom"/>
            <w:tcBorders>
              <w:bottom w:val="single" w:sz="8" w:color="C0C0C0"/>
            </w:tcBorders>
          </w:tcPr>
          <w:p>
            <w:pPr>
              <w:spacing w:after="0"/>
              <w:rPr>
                <w:sz w:val="24"/>
                <w:szCs w:val="24"/>
                <w:color w:val="auto"/>
              </w:rPr>
            </w:pPr>
          </w:p>
        </w:tc>
        <w:tc>
          <w:tcPr>
            <w:tcW w:w="2060" w:type="dxa"/>
            <w:vAlign w:val="bottom"/>
            <w:tcBorders>
              <w:bottom w:val="single" w:sz="8" w:color="C0C0C0"/>
            </w:tcBorders>
          </w:tcPr>
          <w:p>
            <w:pPr>
              <w:spacing w:after="0"/>
              <w:rPr>
                <w:sz w:val="24"/>
                <w:szCs w:val="24"/>
                <w:color w:val="auto"/>
              </w:rPr>
            </w:pPr>
          </w:p>
        </w:tc>
        <w:tc>
          <w:tcPr>
            <w:tcW w:w="2400" w:type="dxa"/>
            <w:vAlign w:val="bottom"/>
            <w:tcBorders>
              <w:bottom w:val="single" w:sz="8" w:color="C0C0C0"/>
            </w:tcBorders>
          </w:tcPr>
          <w:p>
            <w:pPr>
              <w:spacing w:after="0"/>
              <w:rPr>
                <w:sz w:val="24"/>
                <w:szCs w:val="24"/>
                <w:color w:val="auto"/>
              </w:rPr>
            </w:pPr>
          </w:p>
        </w:tc>
        <w:tc>
          <w:tcPr>
            <w:tcW w:w="262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5613400</wp:posOffset>
            </wp:positionH>
            <wp:positionV relativeFrom="paragraph">
              <wp:posOffset>-334010</wp:posOffset>
            </wp:positionV>
            <wp:extent cx="1286510" cy="8572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86510" cy="8572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Back to Contents</w:t>
        </w:r>
      </w:hyperlink>
    </w:p>
    <w:p>
      <w:pPr>
        <w:spacing w:after="0" w:line="196" w:lineRule="exact"/>
        <w:rPr>
          <w:sz w:val="20"/>
          <w:szCs w:val="20"/>
          <w:color w:val="auto"/>
        </w:rPr>
      </w:pPr>
    </w:p>
    <w:p>
      <w:pPr>
        <w:ind w:left="500" w:hanging="492"/>
        <w:spacing w:after="0"/>
        <w:tabs>
          <w:tab w:leader="none" w:pos="500" w:val="left"/>
        </w:tabs>
        <w:numPr>
          <w:ilvl w:val="0"/>
          <w:numId w:val="8"/>
        </w:numPr>
        <w:rPr>
          <w:rFonts w:ascii="Arial" w:cs="Arial" w:eastAsia="Arial" w:hAnsi="Arial"/>
          <w:sz w:val="25"/>
          <w:szCs w:val="25"/>
          <w:color w:val="08228B"/>
        </w:rPr>
      </w:pPr>
      <w:r>
        <w:rPr>
          <w:rFonts w:ascii="Arial" w:cs="Arial" w:eastAsia="Arial" w:hAnsi="Arial"/>
          <w:sz w:val="25"/>
          <w:szCs w:val="25"/>
          <w:color w:val="auto"/>
        </w:rPr>
        <w:t>Other Compensation</w:t>
      </w:r>
    </w:p>
    <w:p>
      <w:pPr>
        <w:spacing w:after="0" w:line="19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Non-employee directors are reimbursed for reasonable travel expenses incurred in connection with their duties as directors. In addition, we pay for the cost of personal accident insurance, which provides coverage in the event of accidental death or dismemberment. Directors are responsible for associated taxes on the imputed income from the coverage.</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provide directors with the use of evaluation vehicles to provide feedback on our products as well as to enhance the public image of our vehicles. Directors are charged with imputed income based on the lease value of the vehicles provided and are responsible for associated taxes. Retired directors receive the use of an evaluation vehicle for a limited period of time.</w:t>
      </w:r>
    </w:p>
    <w:p>
      <w:pPr>
        <w:spacing w:after="0" w:line="17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Unless previously employed by the Company, non-employee directors are not eligible to participate in any of the savings or retirement programs for our employees. Other than as described in this section, there are no separate benefit plans for directors.</w:t>
      </w:r>
    </w:p>
    <w:p>
      <w:pPr>
        <w:spacing w:after="0" w:line="290" w:lineRule="exact"/>
        <w:rPr>
          <w:sz w:val="20"/>
          <w:szCs w:val="20"/>
          <w:color w:val="auto"/>
        </w:rPr>
      </w:pPr>
    </w:p>
    <w:p>
      <w:pPr>
        <w:ind w:left="500" w:hanging="492"/>
        <w:spacing w:after="0"/>
        <w:tabs>
          <w:tab w:leader="none" w:pos="500" w:val="left"/>
        </w:tabs>
        <w:numPr>
          <w:ilvl w:val="0"/>
          <w:numId w:val="9"/>
        </w:numPr>
        <w:rPr>
          <w:rFonts w:ascii="Arial" w:cs="Arial" w:eastAsia="Arial" w:hAnsi="Arial"/>
          <w:sz w:val="25"/>
          <w:szCs w:val="25"/>
          <w:color w:val="08228B"/>
        </w:rPr>
      </w:pPr>
      <w:r>
        <w:rPr>
          <w:rFonts w:ascii="Arial" w:cs="Arial" w:eastAsia="Arial" w:hAnsi="Arial"/>
          <w:sz w:val="25"/>
          <w:szCs w:val="25"/>
          <w:color w:val="auto"/>
        </w:rPr>
        <w:t>2015 Non-Employee Director Compensation Table</w:t>
      </w:r>
    </w:p>
    <w:p>
      <w:pPr>
        <w:spacing w:after="0" w:line="199"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This table shows the compensation that each non-employee director received for his or her 2015 Board and Committee service. Amounts reflect partial-year Board service for Mr. Davis, Ms. Gooden, Mr. Isdell and Mr. Jimenez.</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3520" w:type="dxa"/>
            <w:vAlign w:val="bottom"/>
            <w:tcBorders>
              <w:top w:val="single" w:sz="8" w:color="1C90D3"/>
            </w:tcBorders>
          </w:tcPr>
          <w:p>
            <w:pPr>
              <w:spacing w:after="0"/>
              <w:rPr>
                <w:sz w:val="17"/>
                <w:szCs w:val="17"/>
                <w:color w:val="auto"/>
              </w:rPr>
            </w:pPr>
          </w:p>
        </w:tc>
        <w:tc>
          <w:tcPr>
            <w:tcW w:w="3240" w:type="dxa"/>
            <w:vAlign w:val="bottom"/>
            <w:tcBorders>
              <w:top w:val="single" w:sz="8" w:color="1C90D3"/>
            </w:tcBorders>
          </w:tcPr>
          <w:p>
            <w:pPr>
              <w:jc w:val="right"/>
              <w:ind w:right="99"/>
              <w:spacing w:after="0"/>
              <w:rPr>
                <w:sz w:val="20"/>
                <w:szCs w:val="20"/>
                <w:color w:val="auto"/>
              </w:rPr>
            </w:pPr>
            <w:r>
              <w:rPr>
                <w:rFonts w:ascii="Arial" w:cs="Arial" w:eastAsia="Arial" w:hAnsi="Arial"/>
                <w:sz w:val="16"/>
                <w:szCs w:val="16"/>
                <w:b w:val="1"/>
                <w:bCs w:val="1"/>
                <w:color w:val="1C90D3"/>
              </w:rPr>
              <w:t>Fees Earned or</w:t>
            </w:r>
          </w:p>
        </w:tc>
        <w:tc>
          <w:tcPr>
            <w:tcW w:w="1540" w:type="dxa"/>
            <w:vAlign w:val="bottom"/>
            <w:tcBorders>
              <w:top w:val="single" w:sz="8" w:color="1C90D3"/>
            </w:tcBorders>
          </w:tcPr>
          <w:p>
            <w:pPr>
              <w:spacing w:after="0"/>
              <w:rPr>
                <w:sz w:val="17"/>
                <w:szCs w:val="17"/>
                <w:color w:val="auto"/>
              </w:rPr>
            </w:pPr>
          </w:p>
        </w:tc>
        <w:tc>
          <w:tcPr>
            <w:tcW w:w="1900" w:type="dxa"/>
            <w:vAlign w:val="bottom"/>
            <w:tcBorders>
              <w:top w:val="single" w:sz="8" w:color="1C90D3"/>
            </w:tcBorders>
          </w:tcPr>
          <w:p>
            <w:pPr>
              <w:jc w:val="right"/>
              <w:ind w:right="379"/>
              <w:spacing w:after="0"/>
              <w:rPr>
                <w:sz w:val="20"/>
                <w:szCs w:val="20"/>
                <w:color w:val="auto"/>
              </w:rPr>
            </w:pPr>
            <w:r>
              <w:rPr>
                <w:rFonts w:ascii="Arial" w:cs="Arial" w:eastAsia="Arial" w:hAnsi="Arial"/>
                <w:sz w:val="16"/>
                <w:szCs w:val="16"/>
                <w:b w:val="1"/>
                <w:bCs w:val="1"/>
                <w:color w:val="1C90D3"/>
              </w:rPr>
              <w:t>All Other</w:t>
            </w:r>
          </w:p>
        </w:tc>
        <w:tc>
          <w:tcPr>
            <w:tcW w:w="1100" w:type="dxa"/>
            <w:vAlign w:val="bottom"/>
            <w:tcBorders>
              <w:top w:val="single" w:sz="8" w:color="1C90D3"/>
            </w:tcBorders>
          </w:tcPr>
          <w:p>
            <w:pPr>
              <w:spacing w:after="0"/>
              <w:rPr>
                <w:sz w:val="17"/>
                <w:szCs w:val="17"/>
                <w:color w:val="auto"/>
              </w:rPr>
            </w:pPr>
          </w:p>
        </w:tc>
      </w:tr>
      <w:tr>
        <w:trPr>
          <w:trHeight w:val="228"/>
        </w:trPr>
        <w:tc>
          <w:tcPr>
            <w:tcW w:w="3520" w:type="dxa"/>
            <w:vAlign w:val="bottom"/>
          </w:tcPr>
          <w:p>
            <w:pPr>
              <w:spacing w:after="0"/>
              <w:rPr>
                <w:sz w:val="19"/>
                <w:szCs w:val="19"/>
                <w:color w:val="auto"/>
              </w:rPr>
            </w:pPr>
          </w:p>
        </w:tc>
        <w:tc>
          <w:tcPr>
            <w:tcW w:w="3240" w:type="dxa"/>
            <w:vAlign w:val="bottom"/>
          </w:tcPr>
          <w:p>
            <w:pPr>
              <w:jc w:val="right"/>
              <w:ind w:right="99"/>
              <w:spacing w:after="0" w:line="228" w:lineRule="exact"/>
              <w:rPr>
                <w:sz w:val="20"/>
                <w:szCs w:val="20"/>
                <w:color w:val="auto"/>
              </w:rPr>
            </w:pPr>
            <w:r>
              <w:rPr>
                <w:rFonts w:ascii="Arial" w:cs="Arial" w:eastAsia="Arial" w:hAnsi="Arial"/>
                <w:sz w:val="16"/>
                <w:szCs w:val="16"/>
                <w:b w:val="1"/>
                <w:bCs w:val="1"/>
                <w:color w:val="1C90D3"/>
              </w:rPr>
              <w:t>Paid in Cash</w:t>
            </w:r>
            <w:r>
              <w:rPr>
                <w:rFonts w:ascii="Arial" w:cs="Arial" w:eastAsia="Arial" w:hAnsi="Arial"/>
                <w:sz w:val="26"/>
                <w:szCs w:val="26"/>
                <w:b w:val="1"/>
                <w:bCs w:val="1"/>
                <w:color w:val="1C90D3"/>
                <w:vertAlign w:val="superscript"/>
              </w:rPr>
              <w:t>(1)</w:t>
            </w:r>
          </w:p>
        </w:tc>
        <w:tc>
          <w:tcPr>
            <w:tcW w:w="1540" w:type="dxa"/>
            <w:vAlign w:val="bottom"/>
          </w:tcPr>
          <w:p>
            <w:pPr>
              <w:jc w:val="right"/>
              <w:ind w:right="59"/>
              <w:spacing w:after="0" w:line="228" w:lineRule="exact"/>
              <w:rPr>
                <w:sz w:val="20"/>
                <w:szCs w:val="20"/>
                <w:color w:val="auto"/>
              </w:rPr>
            </w:pPr>
            <w:r>
              <w:rPr>
                <w:rFonts w:ascii="Arial" w:cs="Arial" w:eastAsia="Arial" w:hAnsi="Arial"/>
                <w:sz w:val="16"/>
                <w:szCs w:val="16"/>
                <w:b w:val="1"/>
                <w:bCs w:val="1"/>
                <w:color w:val="1C90D3"/>
              </w:rPr>
              <w:t>Stock Awards</w:t>
            </w:r>
            <w:r>
              <w:rPr>
                <w:rFonts w:ascii="Arial" w:cs="Arial" w:eastAsia="Arial" w:hAnsi="Arial"/>
                <w:sz w:val="26"/>
                <w:szCs w:val="26"/>
                <w:b w:val="1"/>
                <w:bCs w:val="1"/>
                <w:color w:val="1C90D3"/>
                <w:vertAlign w:val="superscript"/>
              </w:rPr>
              <w:t>(2)</w:t>
            </w:r>
          </w:p>
        </w:tc>
        <w:tc>
          <w:tcPr>
            <w:tcW w:w="1900" w:type="dxa"/>
            <w:vAlign w:val="bottom"/>
          </w:tcPr>
          <w:p>
            <w:pPr>
              <w:jc w:val="right"/>
              <w:ind w:right="379"/>
              <w:spacing w:after="0" w:line="228" w:lineRule="exact"/>
              <w:rPr>
                <w:sz w:val="20"/>
                <w:szCs w:val="20"/>
                <w:color w:val="auto"/>
              </w:rPr>
            </w:pPr>
            <w:r>
              <w:rPr>
                <w:rFonts w:ascii="Arial" w:cs="Arial" w:eastAsia="Arial" w:hAnsi="Arial"/>
                <w:sz w:val="16"/>
                <w:szCs w:val="16"/>
                <w:b w:val="1"/>
                <w:bCs w:val="1"/>
                <w:color w:val="1C90D3"/>
              </w:rPr>
              <w:t>Compensation</w:t>
            </w:r>
            <w:r>
              <w:rPr>
                <w:rFonts w:ascii="Arial" w:cs="Arial" w:eastAsia="Arial" w:hAnsi="Arial"/>
                <w:sz w:val="26"/>
                <w:szCs w:val="26"/>
                <w:b w:val="1"/>
                <w:bCs w:val="1"/>
                <w:color w:val="1C90D3"/>
                <w:vertAlign w:val="superscript"/>
              </w:rPr>
              <w:t>(3)</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1C90D3"/>
              </w:rPr>
              <w:t>Total</w:t>
            </w:r>
          </w:p>
        </w:tc>
      </w:tr>
      <w:tr>
        <w:trPr>
          <w:trHeight w:val="214"/>
        </w:trPr>
        <w:tc>
          <w:tcPr>
            <w:tcW w:w="3520" w:type="dxa"/>
            <w:vAlign w:val="bottom"/>
            <w:tcBorders>
              <w:bottom w:val="single" w:sz="8" w:color="1C90D3"/>
            </w:tcBorders>
          </w:tcPr>
          <w:p>
            <w:pPr>
              <w:ind w:left="40"/>
              <w:spacing w:after="0"/>
              <w:rPr>
                <w:sz w:val="20"/>
                <w:szCs w:val="20"/>
                <w:color w:val="auto"/>
              </w:rPr>
            </w:pPr>
            <w:r>
              <w:rPr>
                <w:rFonts w:ascii="Arial" w:cs="Arial" w:eastAsia="Arial" w:hAnsi="Arial"/>
                <w:sz w:val="16"/>
                <w:szCs w:val="16"/>
                <w:b w:val="1"/>
                <w:bCs w:val="1"/>
                <w:color w:val="1C90D3"/>
              </w:rPr>
              <w:t>Director</w:t>
            </w:r>
          </w:p>
        </w:tc>
        <w:tc>
          <w:tcPr>
            <w:tcW w:w="3240" w:type="dxa"/>
            <w:vAlign w:val="bottom"/>
            <w:tcBorders>
              <w:bottom w:val="single" w:sz="8" w:color="1C90D3"/>
            </w:tcBorders>
          </w:tcPr>
          <w:p>
            <w:pPr>
              <w:jc w:val="right"/>
              <w:ind w:right="99"/>
              <w:spacing w:after="0"/>
              <w:rPr>
                <w:sz w:val="20"/>
                <w:szCs w:val="20"/>
                <w:color w:val="auto"/>
              </w:rPr>
            </w:pPr>
            <w:r>
              <w:rPr>
                <w:rFonts w:ascii="Arial" w:cs="Arial" w:eastAsia="Arial" w:hAnsi="Arial"/>
                <w:sz w:val="16"/>
                <w:szCs w:val="16"/>
                <w:b w:val="1"/>
                <w:bCs w:val="1"/>
                <w:color w:val="1C90D3"/>
              </w:rPr>
              <w:t>($)</w:t>
            </w:r>
          </w:p>
        </w:tc>
        <w:tc>
          <w:tcPr>
            <w:tcW w:w="1540" w:type="dxa"/>
            <w:vAlign w:val="bottom"/>
            <w:tcBorders>
              <w:bottom w:val="single" w:sz="8" w:color="1C90D3"/>
            </w:tcBorders>
          </w:tcPr>
          <w:p>
            <w:pPr>
              <w:jc w:val="right"/>
              <w:ind w:right="59"/>
              <w:spacing w:after="0"/>
              <w:rPr>
                <w:sz w:val="20"/>
                <w:szCs w:val="20"/>
                <w:color w:val="auto"/>
              </w:rPr>
            </w:pPr>
            <w:r>
              <w:rPr>
                <w:rFonts w:ascii="Arial" w:cs="Arial" w:eastAsia="Arial" w:hAnsi="Arial"/>
                <w:sz w:val="16"/>
                <w:szCs w:val="16"/>
                <w:b w:val="1"/>
                <w:bCs w:val="1"/>
                <w:color w:val="1C90D3"/>
              </w:rPr>
              <w:t>($)</w:t>
            </w:r>
          </w:p>
        </w:tc>
        <w:tc>
          <w:tcPr>
            <w:tcW w:w="1900" w:type="dxa"/>
            <w:vAlign w:val="bottom"/>
            <w:tcBorders>
              <w:bottom w:val="single" w:sz="8" w:color="1C90D3"/>
            </w:tcBorders>
          </w:tcPr>
          <w:p>
            <w:pPr>
              <w:jc w:val="right"/>
              <w:ind w:right="379"/>
              <w:spacing w:after="0"/>
              <w:rPr>
                <w:sz w:val="20"/>
                <w:szCs w:val="20"/>
                <w:color w:val="auto"/>
              </w:rPr>
            </w:pPr>
            <w:r>
              <w:rPr>
                <w:rFonts w:ascii="Arial" w:cs="Arial" w:eastAsia="Arial" w:hAnsi="Arial"/>
                <w:sz w:val="16"/>
                <w:szCs w:val="16"/>
                <w:b w:val="1"/>
                <w:bCs w:val="1"/>
                <w:color w:val="1C90D3"/>
              </w:rPr>
              <w:t>($)</w:t>
            </w:r>
          </w:p>
        </w:tc>
        <w:tc>
          <w:tcPr>
            <w:tcW w:w="1100" w:type="dxa"/>
            <w:vAlign w:val="bottom"/>
            <w:tcBorders>
              <w:bottom w:val="single" w:sz="8" w:color="1C90D3"/>
            </w:tcBorders>
          </w:tcPr>
          <w:p>
            <w:pPr>
              <w:jc w:val="right"/>
              <w:spacing w:after="0"/>
              <w:rPr>
                <w:sz w:val="20"/>
                <w:szCs w:val="20"/>
                <w:color w:val="auto"/>
              </w:rPr>
            </w:pPr>
            <w:r>
              <w:rPr>
                <w:rFonts w:ascii="Arial" w:cs="Arial" w:eastAsia="Arial" w:hAnsi="Arial"/>
                <w:sz w:val="16"/>
                <w:szCs w:val="16"/>
                <w:b w:val="1"/>
                <w:bCs w:val="1"/>
                <w:color w:val="1C90D3"/>
              </w:rPr>
              <w:t>($)</w:t>
            </w:r>
          </w:p>
        </w:tc>
      </w:tr>
      <w:tr>
        <w:trPr>
          <w:trHeight w:val="189"/>
        </w:trPr>
        <w:tc>
          <w:tcPr>
            <w:tcW w:w="35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Joseph J. Ashton</w:t>
            </w:r>
          </w:p>
        </w:tc>
        <w:tc>
          <w:tcPr>
            <w:tcW w:w="32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62,500</w:t>
            </w:r>
          </w:p>
        </w:tc>
        <w:tc>
          <w:tcPr>
            <w:tcW w:w="15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185,831</w:t>
            </w:r>
          </w:p>
        </w:tc>
        <w:tc>
          <w:tcPr>
            <w:tcW w:w="19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9,868</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258,199</w:t>
            </w:r>
          </w:p>
        </w:tc>
      </w:tr>
      <w:tr>
        <w:trPr>
          <w:trHeight w:val="223"/>
        </w:trPr>
        <w:tc>
          <w:tcPr>
            <w:tcW w:w="3520" w:type="dxa"/>
            <w:vAlign w:val="bottom"/>
            <w:tcBorders>
              <w:bottom w:val="single" w:sz="8" w:color="auto"/>
            </w:tcBorders>
          </w:tcPr>
          <w:p>
            <w:pPr>
              <w:ind w:left="40"/>
              <w:spacing w:after="0" w:line="223" w:lineRule="exact"/>
              <w:rPr>
                <w:sz w:val="20"/>
                <w:szCs w:val="20"/>
                <w:color w:val="auto"/>
              </w:rPr>
            </w:pPr>
            <w:r>
              <w:rPr>
                <w:rFonts w:ascii="Arial" w:cs="Arial" w:eastAsia="Arial" w:hAnsi="Arial"/>
                <w:sz w:val="15"/>
                <w:szCs w:val="15"/>
                <w:b w:val="1"/>
                <w:bCs w:val="1"/>
                <w:color w:val="auto"/>
              </w:rPr>
              <w:t>Erroll B. Davis, Jr.</w:t>
            </w:r>
            <w:r>
              <w:rPr>
                <w:rFonts w:ascii="Arial" w:cs="Arial" w:eastAsia="Arial" w:hAnsi="Arial"/>
                <w:sz w:val="25"/>
                <w:szCs w:val="25"/>
                <w:b w:val="1"/>
                <w:bCs w:val="1"/>
                <w:color w:val="auto"/>
                <w:vertAlign w:val="superscript"/>
              </w:rPr>
              <w:t>(4)</w:t>
            </w:r>
          </w:p>
        </w:tc>
        <w:tc>
          <w:tcPr>
            <w:tcW w:w="32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70,000</w:t>
            </w:r>
          </w:p>
        </w:tc>
        <w:tc>
          <w:tcPr>
            <w:tcW w:w="15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58,871</w:t>
            </w:r>
          </w:p>
        </w:tc>
        <w:tc>
          <w:tcPr>
            <w:tcW w:w="19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10,843</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139,714</w:t>
            </w:r>
          </w:p>
        </w:tc>
      </w:tr>
      <w:tr>
        <w:trPr>
          <w:trHeight w:val="183"/>
        </w:trPr>
        <w:tc>
          <w:tcPr>
            <w:tcW w:w="3520" w:type="dxa"/>
            <w:vAlign w:val="bottom"/>
            <w:tcBorders>
              <w:bottom w:val="single" w:sz="8" w:color="auto"/>
            </w:tcBorders>
          </w:tcPr>
          <w:p>
            <w:pPr>
              <w:ind w:left="40"/>
              <w:spacing w:after="0" w:line="183" w:lineRule="exact"/>
              <w:rPr>
                <w:sz w:val="20"/>
                <w:szCs w:val="20"/>
                <w:color w:val="auto"/>
              </w:rPr>
            </w:pPr>
            <w:r>
              <w:rPr>
                <w:rFonts w:ascii="Arial" w:cs="Arial" w:eastAsia="Arial" w:hAnsi="Arial"/>
                <w:sz w:val="16"/>
                <w:szCs w:val="16"/>
                <w:b w:val="1"/>
                <w:bCs w:val="1"/>
                <w:color w:val="auto"/>
              </w:rPr>
              <w:t>Stephen J. Girsky</w:t>
            </w:r>
          </w:p>
        </w:tc>
        <w:tc>
          <w:tcPr>
            <w:tcW w:w="3240" w:type="dxa"/>
            <w:vAlign w:val="bottom"/>
            <w:tcBorders>
              <w:bottom w:val="single" w:sz="8" w:color="auto"/>
            </w:tcBorders>
          </w:tcPr>
          <w:p>
            <w:pPr>
              <w:jc w:val="right"/>
              <w:ind w:right="99"/>
              <w:spacing w:after="0" w:line="183" w:lineRule="exact"/>
              <w:rPr>
                <w:sz w:val="20"/>
                <w:szCs w:val="20"/>
                <w:color w:val="auto"/>
              </w:rPr>
            </w:pPr>
            <w:r>
              <w:rPr>
                <w:rFonts w:ascii="Arial" w:cs="Arial" w:eastAsia="Arial" w:hAnsi="Arial"/>
                <w:sz w:val="16"/>
                <w:szCs w:val="16"/>
                <w:color w:val="auto"/>
              </w:rPr>
              <w:t>125,000</w:t>
            </w:r>
          </w:p>
        </w:tc>
        <w:tc>
          <w:tcPr>
            <w:tcW w:w="154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123,898</w:t>
            </w:r>
          </w:p>
        </w:tc>
        <w:tc>
          <w:tcPr>
            <w:tcW w:w="1900" w:type="dxa"/>
            <w:vAlign w:val="bottom"/>
            <w:tcBorders>
              <w:bottom w:val="single" w:sz="8" w:color="auto"/>
            </w:tcBorders>
          </w:tcPr>
          <w:p>
            <w:pPr>
              <w:jc w:val="right"/>
              <w:ind w:right="379"/>
              <w:spacing w:after="0" w:line="183" w:lineRule="exact"/>
              <w:rPr>
                <w:sz w:val="20"/>
                <w:szCs w:val="20"/>
                <w:color w:val="auto"/>
              </w:rPr>
            </w:pPr>
            <w:r>
              <w:rPr>
                <w:rFonts w:ascii="Arial" w:cs="Arial" w:eastAsia="Arial" w:hAnsi="Arial"/>
                <w:sz w:val="16"/>
                <w:szCs w:val="16"/>
                <w:color w:val="auto"/>
              </w:rPr>
              <w:t>9,868</w:t>
            </w:r>
          </w:p>
        </w:tc>
        <w:tc>
          <w:tcPr>
            <w:tcW w:w="11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258,766</w:t>
            </w:r>
          </w:p>
        </w:tc>
      </w:tr>
      <w:tr>
        <w:trPr>
          <w:trHeight w:val="223"/>
        </w:trPr>
        <w:tc>
          <w:tcPr>
            <w:tcW w:w="3520" w:type="dxa"/>
            <w:vAlign w:val="bottom"/>
            <w:tcBorders>
              <w:bottom w:val="single" w:sz="8" w:color="auto"/>
            </w:tcBorders>
          </w:tcPr>
          <w:p>
            <w:pPr>
              <w:ind w:left="40"/>
              <w:spacing w:after="0" w:line="223" w:lineRule="exact"/>
              <w:rPr>
                <w:sz w:val="20"/>
                <w:szCs w:val="20"/>
                <w:color w:val="auto"/>
              </w:rPr>
            </w:pPr>
            <w:r>
              <w:rPr>
                <w:rFonts w:ascii="Arial" w:cs="Arial" w:eastAsia="Arial" w:hAnsi="Arial"/>
                <w:sz w:val="15"/>
                <w:szCs w:val="15"/>
                <w:b w:val="1"/>
                <w:bCs w:val="1"/>
                <w:color w:val="auto"/>
              </w:rPr>
              <w:t>Linda R. Gooden</w:t>
            </w:r>
            <w:r>
              <w:rPr>
                <w:rFonts w:ascii="Arial" w:cs="Arial" w:eastAsia="Arial" w:hAnsi="Arial"/>
                <w:sz w:val="25"/>
                <w:szCs w:val="25"/>
                <w:b w:val="1"/>
                <w:bCs w:val="1"/>
                <w:color w:val="auto"/>
                <w:vertAlign w:val="superscript"/>
              </w:rPr>
              <w:t>(5)</w:t>
            </w:r>
          </w:p>
        </w:tc>
        <w:tc>
          <w:tcPr>
            <w:tcW w:w="32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114,583</w:t>
            </w:r>
          </w:p>
        </w:tc>
        <w:tc>
          <w:tcPr>
            <w:tcW w:w="15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113,525</w:t>
            </w:r>
          </w:p>
        </w:tc>
        <w:tc>
          <w:tcPr>
            <w:tcW w:w="19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8,223</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236,331</w:t>
            </w:r>
          </w:p>
        </w:tc>
      </w:tr>
      <w:tr>
        <w:trPr>
          <w:trHeight w:val="223"/>
        </w:trPr>
        <w:tc>
          <w:tcPr>
            <w:tcW w:w="3520" w:type="dxa"/>
            <w:vAlign w:val="bottom"/>
            <w:tcBorders>
              <w:bottom w:val="single" w:sz="8" w:color="auto"/>
            </w:tcBorders>
          </w:tcPr>
          <w:p>
            <w:pPr>
              <w:ind w:left="40"/>
              <w:spacing w:after="0" w:line="223" w:lineRule="exact"/>
              <w:rPr>
                <w:sz w:val="20"/>
                <w:szCs w:val="20"/>
                <w:color w:val="auto"/>
              </w:rPr>
            </w:pPr>
            <w:r>
              <w:rPr>
                <w:rFonts w:ascii="Arial" w:cs="Arial" w:eastAsia="Arial" w:hAnsi="Arial"/>
                <w:sz w:val="15"/>
                <w:szCs w:val="15"/>
                <w:b w:val="1"/>
                <w:bCs w:val="1"/>
                <w:color w:val="auto"/>
              </w:rPr>
              <w:t>E. Neville Isdell</w:t>
            </w:r>
            <w:r>
              <w:rPr>
                <w:rFonts w:ascii="Arial" w:cs="Arial" w:eastAsia="Arial" w:hAnsi="Arial"/>
                <w:sz w:val="25"/>
                <w:szCs w:val="25"/>
                <w:b w:val="1"/>
                <w:bCs w:val="1"/>
                <w:color w:val="auto"/>
                <w:vertAlign w:val="superscript"/>
              </w:rPr>
              <w:t>(6)</w:t>
            </w:r>
          </w:p>
        </w:tc>
        <w:tc>
          <w:tcPr>
            <w:tcW w:w="32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72,500</w:t>
            </w:r>
          </w:p>
        </w:tc>
        <w:tc>
          <w:tcPr>
            <w:tcW w:w="15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58,871</w:t>
            </w:r>
          </w:p>
        </w:tc>
        <w:tc>
          <w:tcPr>
            <w:tcW w:w="19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8,143</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139,514</w:t>
            </w:r>
          </w:p>
        </w:tc>
      </w:tr>
      <w:tr>
        <w:trPr>
          <w:trHeight w:val="223"/>
        </w:trPr>
        <w:tc>
          <w:tcPr>
            <w:tcW w:w="3520" w:type="dxa"/>
            <w:vAlign w:val="bottom"/>
            <w:tcBorders>
              <w:bottom w:val="single" w:sz="8" w:color="auto"/>
            </w:tcBorders>
          </w:tcPr>
          <w:p>
            <w:pPr>
              <w:ind w:left="40"/>
              <w:spacing w:after="0" w:line="223" w:lineRule="exact"/>
              <w:rPr>
                <w:sz w:val="20"/>
                <w:szCs w:val="20"/>
                <w:color w:val="auto"/>
              </w:rPr>
            </w:pPr>
            <w:r>
              <w:rPr>
                <w:rFonts w:ascii="Arial" w:cs="Arial" w:eastAsia="Arial" w:hAnsi="Arial"/>
                <w:sz w:val="15"/>
                <w:szCs w:val="15"/>
                <w:b w:val="1"/>
                <w:bCs w:val="1"/>
                <w:color w:val="auto"/>
              </w:rPr>
              <w:t>Joseph Jimenez</w:t>
            </w:r>
            <w:r>
              <w:rPr>
                <w:rFonts w:ascii="Arial" w:cs="Arial" w:eastAsia="Arial" w:hAnsi="Arial"/>
                <w:sz w:val="25"/>
                <w:szCs w:val="25"/>
                <w:b w:val="1"/>
                <w:bCs w:val="1"/>
                <w:color w:val="auto"/>
                <w:vertAlign w:val="superscript"/>
              </w:rPr>
              <w:t>(7)</w:t>
            </w:r>
          </w:p>
        </w:tc>
        <w:tc>
          <w:tcPr>
            <w:tcW w:w="32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150,460</w:t>
            </w:r>
          </w:p>
        </w:tc>
        <w:tc>
          <w:tcPr>
            <w:tcW w:w="19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4,934</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155,394</w:t>
            </w:r>
          </w:p>
        </w:tc>
      </w:tr>
      <w:tr>
        <w:trPr>
          <w:trHeight w:val="183"/>
        </w:trPr>
        <w:tc>
          <w:tcPr>
            <w:tcW w:w="3520" w:type="dxa"/>
            <w:vAlign w:val="bottom"/>
            <w:tcBorders>
              <w:bottom w:val="single" w:sz="8" w:color="auto"/>
            </w:tcBorders>
          </w:tcPr>
          <w:p>
            <w:pPr>
              <w:ind w:left="40"/>
              <w:spacing w:after="0" w:line="183" w:lineRule="exact"/>
              <w:rPr>
                <w:sz w:val="20"/>
                <w:szCs w:val="20"/>
                <w:color w:val="auto"/>
              </w:rPr>
            </w:pPr>
            <w:r>
              <w:rPr>
                <w:rFonts w:ascii="Arial" w:cs="Arial" w:eastAsia="Arial" w:hAnsi="Arial"/>
                <w:sz w:val="16"/>
                <w:szCs w:val="16"/>
                <w:b w:val="1"/>
                <w:bCs w:val="1"/>
                <w:color w:val="auto"/>
              </w:rPr>
              <w:t>Kathryn V. Marinello</w:t>
            </w:r>
          </w:p>
        </w:tc>
        <w:tc>
          <w:tcPr>
            <w:tcW w:w="3240" w:type="dxa"/>
            <w:vAlign w:val="bottom"/>
            <w:tcBorders>
              <w:bottom w:val="single" w:sz="8" w:color="auto"/>
            </w:tcBorders>
          </w:tcPr>
          <w:p>
            <w:pPr>
              <w:jc w:val="right"/>
              <w:ind w:right="99"/>
              <w:spacing w:after="0" w:line="183" w:lineRule="exact"/>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247,763</w:t>
            </w:r>
          </w:p>
        </w:tc>
        <w:tc>
          <w:tcPr>
            <w:tcW w:w="1900" w:type="dxa"/>
            <w:vAlign w:val="bottom"/>
            <w:tcBorders>
              <w:bottom w:val="single" w:sz="8" w:color="auto"/>
            </w:tcBorders>
          </w:tcPr>
          <w:p>
            <w:pPr>
              <w:jc w:val="right"/>
              <w:ind w:right="379"/>
              <w:spacing w:after="0" w:line="183" w:lineRule="exact"/>
              <w:rPr>
                <w:sz w:val="20"/>
                <w:szCs w:val="20"/>
                <w:color w:val="auto"/>
              </w:rPr>
            </w:pPr>
            <w:r>
              <w:rPr>
                <w:rFonts w:ascii="Arial" w:cs="Arial" w:eastAsia="Arial" w:hAnsi="Arial"/>
                <w:sz w:val="16"/>
                <w:szCs w:val="16"/>
                <w:color w:val="auto"/>
              </w:rPr>
              <w:t>9,868</w:t>
            </w:r>
          </w:p>
        </w:tc>
        <w:tc>
          <w:tcPr>
            <w:tcW w:w="11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257,631</w:t>
            </w:r>
          </w:p>
        </w:tc>
      </w:tr>
      <w:tr>
        <w:trPr>
          <w:trHeight w:val="183"/>
        </w:trPr>
        <w:tc>
          <w:tcPr>
            <w:tcW w:w="3520" w:type="dxa"/>
            <w:vAlign w:val="bottom"/>
            <w:tcBorders>
              <w:bottom w:val="single" w:sz="8" w:color="auto"/>
            </w:tcBorders>
          </w:tcPr>
          <w:p>
            <w:pPr>
              <w:ind w:left="40"/>
              <w:spacing w:after="0" w:line="183" w:lineRule="exact"/>
              <w:rPr>
                <w:sz w:val="20"/>
                <w:szCs w:val="20"/>
                <w:color w:val="auto"/>
              </w:rPr>
            </w:pPr>
            <w:r>
              <w:rPr>
                <w:rFonts w:ascii="Arial" w:cs="Arial" w:eastAsia="Arial" w:hAnsi="Arial"/>
                <w:sz w:val="16"/>
                <w:szCs w:val="16"/>
                <w:b w:val="1"/>
                <w:bCs w:val="1"/>
                <w:color w:val="auto"/>
              </w:rPr>
              <w:t>Michael G. Mullen</w:t>
            </w:r>
          </w:p>
        </w:tc>
        <w:tc>
          <w:tcPr>
            <w:tcW w:w="3240" w:type="dxa"/>
            <w:vAlign w:val="bottom"/>
            <w:tcBorders>
              <w:bottom w:val="single" w:sz="8" w:color="auto"/>
            </w:tcBorders>
          </w:tcPr>
          <w:p>
            <w:pPr>
              <w:jc w:val="right"/>
              <w:ind w:right="99"/>
              <w:spacing w:after="0" w:line="183" w:lineRule="exact"/>
              <w:rPr>
                <w:sz w:val="20"/>
                <w:szCs w:val="20"/>
                <w:color w:val="auto"/>
              </w:rPr>
            </w:pPr>
            <w:r>
              <w:rPr>
                <w:rFonts w:ascii="Arial" w:cs="Arial" w:eastAsia="Arial" w:hAnsi="Arial"/>
                <w:sz w:val="16"/>
                <w:szCs w:val="16"/>
                <w:color w:val="auto"/>
              </w:rPr>
              <w:t>140,000</w:t>
            </w:r>
          </w:p>
        </w:tc>
        <w:tc>
          <w:tcPr>
            <w:tcW w:w="154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123,898</w:t>
            </w:r>
          </w:p>
        </w:tc>
        <w:tc>
          <w:tcPr>
            <w:tcW w:w="1900" w:type="dxa"/>
            <w:vAlign w:val="bottom"/>
            <w:tcBorders>
              <w:bottom w:val="single" w:sz="8" w:color="auto"/>
            </w:tcBorders>
          </w:tcPr>
          <w:p>
            <w:pPr>
              <w:jc w:val="right"/>
              <w:ind w:right="379"/>
              <w:spacing w:after="0" w:line="183" w:lineRule="exact"/>
              <w:rPr>
                <w:sz w:val="20"/>
                <w:szCs w:val="20"/>
                <w:color w:val="auto"/>
              </w:rPr>
            </w:pPr>
            <w:r>
              <w:rPr>
                <w:rFonts w:ascii="Arial" w:cs="Arial" w:eastAsia="Arial" w:hAnsi="Arial"/>
                <w:sz w:val="16"/>
                <w:szCs w:val="16"/>
                <w:color w:val="auto"/>
              </w:rPr>
              <w:t>9,868</w:t>
            </w:r>
          </w:p>
        </w:tc>
        <w:tc>
          <w:tcPr>
            <w:tcW w:w="11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273,766</w:t>
            </w:r>
          </w:p>
        </w:tc>
      </w:tr>
      <w:tr>
        <w:trPr>
          <w:trHeight w:val="183"/>
        </w:trPr>
        <w:tc>
          <w:tcPr>
            <w:tcW w:w="3520" w:type="dxa"/>
            <w:vAlign w:val="bottom"/>
            <w:tcBorders>
              <w:bottom w:val="single" w:sz="8" w:color="auto"/>
            </w:tcBorders>
          </w:tcPr>
          <w:p>
            <w:pPr>
              <w:ind w:left="40"/>
              <w:spacing w:after="0" w:line="183" w:lineRule="exact"/>
              <w:rPr>
                <w:sz w:val="20"/>
                <w:szCs w:val="20"/>
                <w:color w:val="auto"/>
              </w:rPr>
            </w:pPr>
            <w:r>
              <w:rPr>
                <w:rFonts w:ascii="Arial" w:cs="Arial" w:eastAsia="Arial" w:hAnsi="Arial"/>
                <w:sz w:val="16"/>
                <w:szCs w:val="16"/>
                <w:b w:val="1"/>
                <w:bCs w:val="1"/>
                <w:color w:val="auto"/>
              </w:rPr>
              <w:t>James J. Mulva</w:t>
            </w:r>
          </w:p>
        </w:tc>
        <w:tc>
          <w:tcPr>
            <w:tcW w:w="3240" w:type="dxa"/>
            <w:vAlign w:val="bottom"/>
            <w:tcBorders>
              <w:bottom w:val="single" w:sz="8" w:color="auto"/>
            </w:tcBorders>
          </w:tcPr>
          <w:p>
            <w:pPr>
              <w:jc w:val="right"/>
              <w:ind w:right="99"/>
              <w:spacing w:after="0" w:line="183" w:lineRule="exact"/>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262,625</w:t>
            </w:r>
          </w:p>
        </w:tc>
        <w:tc>
          <w:tcPr>
            <w:tcW w:w="1900" w:type="dxa"/>
            <w:vAlign w:val="bottom"/>
            <w:tcBorders>
              <w:bottom w:val="single" w:sz="8" w:color="auto"/>
            </w:tcBorders>
          </w:tcPr>
          <w:p>
            <w:pPr>
              <w:jc w:val="right"/>
              <w:ind w:right="379"/>
              <w:spacing w:after="0" w:line="183" w:lineRule="exact"/>
              <w:rPr>
                <w:sz w:val="20"/>
                <w:szCs w:val="20"/>
                <w:color w:val="auto"/>
              </w:rPr>
            </w:pPr>
            <w:r>
              <w:rPr>
                <w:rFonts w:ascii="Arial" w:cs="Arial" w:eastAsia="Arial" w:hAnsi="Arial"/>
                <w:sz w:val="16"/>
                <w:szCs w:val="16"/>
                <w:color w:val="auto"/>
              </w:rPr>
              <w:t>9,868</w:t>
            </w:r>
          </w:p>
        </w:tc>
        <w:tc>
          <w:tcPr>
            <w:tcW w:w="11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272,493</w:t>
            </w:r>
          </w:p>
        </w:tc>
      </w:tr>
      <w:tr>
        <w:trPr>
          <w:trHeight w:val="183"/>
        </w:trPr>
        <w:tc>
          <w:tcPr>
            <w:tcW w:w="3520" w:type="dxa"/>
            <w:vAlign w:val="bottom"/>
            <w:tcBorders>
              <w:bottom w:val="single" w:sz="8" w:color="auto"/>
            </w:tcBorders>
          </w:tcPr>
          <w:p>
            <w:pPr>
              <w:ind w:left="40"/>
              <w:spacing w:after="0" w:line="183" w:lineRule="exact"/>
              <w:rPr>
                <w:sz w:val="20"/>
                <w:szCs w:val="20"/>
                <w:color w:val="auto"/>
              </w:rPr>
            </w:pPr>
            <w:r>
              <w:rPr>
                <w:rFonts w:ascii="Arial" w:cs="Arial" w:eastAsia="Arial" w:hAnsi="Arial"/>
                <w:sz w:val="16"/>
                <w:szCs w:val="16"/>
                <w:b w:val="1"/>
                <w:bCs w:val="1"/>
                <w:color w:val="auto"/>
              </w:rPr>
              <w:t>Patricia F. Russo</w:t>
            </w:r>
          </w:p>
        </w:tc>
        <w:tc>
          <w:tcPr>
            <w:tcW w:w="3240" w:type="dxa"/>
            <w:vAlign w:val="bottom"/>
            <w:tcBorders>
              <w:bottom w:val="single" w:sz="8" w:color="auto"/>
            </w:tcBorders>
          </w:tcPr>
          <w:p>
            <w:pPr>
              <w:jc w:val="right"/>
              <w:ind w:right="99"/>
              <w:spacing w:after="0" w:line="183" w:lineRule="exact"/>
              <w:rPr>
                <w:sz w:val="20"/>
                <w:szCs w:val="20"/>
                <w:color w:val="auto"/>
              </w:rPr>
            </w:pPr>
            <w:r>
              <w:rPr>
                <w:rFonts w:ascii="Arial" w:cs="Arial" w:eastAsia="Arial" w:hAnsi="Arial"/>
                <w:sz w:val="16"/>
                <w:szCs w:val="16"/>
                <w:color w:val="auto"/>
              </w:rPr>
              <w:t>140,000</w:t>
            </w:r>
          </w:p>
        </w:tc>
        <w:tc>
          <w:tcPr>
            <w:tcW w:w="154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123,898</w:t>
            </w:r>
          </w:p>
        </w:tc>
        <w:tc>
          <w:tcPr>
            <w:tcW w:w="1900" w:type="dxa"/>
            <w:vAlign w:val="bottom"/>
            <w:tcBorders>
              <w:bottom w:val="single" w:sz="8" w:color="auto"/>
            </w:tcBorders>
          </w:tcPr>
          <w:p>
            <w:pPr>
              <w:jc w:val="right"/>
              <w:ind w:right="379"/>
              <w:spacing w:after="0" w:line="183" w:lineRule="exact"/>
              <w:rPr>
                <w:sz w:val="20"/>
                <w:szCs w:val="20"/>
                <w:color w:val="auto"/>
              </w:rPr>
            </w:pPr>
            <w:r>
              <w:rPr>
                <w:rFonts w:ascii="Arial" w:cs="Arial" w:eastAsia="Arial" w:hAnsi="Arial"/>
                <w:sz w:val="16"/>
                <w:szCs w:val="16"/>
                <w:color w:val="auto"/>
              </w:rPr>
              <w:t>9,868</w:t>
            </w:r>
          </w:p>
        </w:tc>
        <w:tc>
          <w:tcPr>
            <w:tcW w:w="11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273,766</w:t>
            </w:r>
          </w:p>
        </w:tc>
      </w:tr>
      <w:tr>
        <w:trPr>
          <w:trHeight w:val="183"/>
        </w:trPr>
        <w:tc>
          <w:tcPr>
            <w:tcW w:w="3520" w:type="dxa"/>
            <w:vAlign w:val="bottom"/>
            <w:tcBorders>
              <w:bottom w:val="single" w:sz="8" w:color="auto"/>
            </w:tcBorders>
          </w:tcPr>
          <w:p>
            <w:pPr>
              <w:ind w:left="40"/>
              <w:spacing w:after="0" w:line="183" w:lineRule="exact"/>
              <w:rPr>
                <w:sz w:val="20"/>
                <w:szCs w:val="20"/>
                <w:color w:val="auto"/>
              </w:rPr>
            </w:pPr>
            <w:r>
              <w:rPr>
                <w:rFonts w:ascii="Arial" w:cs="Arial" w:eastAsia="Arial" w:hAnsi="Arial"/>
                <w:sz w:val="16"/>
                <w:szCs w:val="16"/>
                <w:b w:val="1"/>
                <w:bCs w:val="1"/>
                <w:color w:val="auto"/>
              </w:rPr>
              <w:t>Thomas M. Schoewe</w:t>
            </w:r>
          </w:p>
        </w:tc>
        <w:tc>
          <w:tcPr>
            <w:tcW w:w="3240" w:type="dxa"/>
            <w:vAlign w:val="bottom"/>
            <w:tcBorders>
              <w:bottom w:val="single" w:sz="8" w:color="auto"/>
            </w:tcBorders>
          </w:tcPr>
          <w:p>
            <w:pPr>
              <w:jc w:val="right"/>
              <w:ind w:right="99"/>
              <w:spacing w:after="0" w:line="183" w:lineRule="exact"/>
              <w:rPr>
                <w:sz w:val="20"/>
                <w:szCs w:val="20"/>
                <w:color w:val="auto"/>
              </w:rPr>
            </w:pPr>
            <w:r>
              <w:rPr>
                <w:rFonts w:ascii="Arial" w:cs="Arial" w:eastAsia="Arial" w:hAnsi="Arial"/>
                <w:sz w:val="16"/>
                <w:szCs w:val="16"/>
                <w:color w:val="auto"/>
              </w:rPr>
              <w:t>155,000</w:t>
            </w:r>
          </w:p>
        </w:tc>
        <w:tc>
          <w:tcPr>
            <w:tcW w:w="154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123,898</w:t>
            </w:r>
          </w:p>
        </w:tc>
        <w:tc>
          <w:tcPr>
            <w:tcW w:w="1900" w:type="dxa"/>
            <w:vAlign w:val="bottom"/>
            <w:tcBorders>
              <w:bottom w:val="single" w:sz="8" w:color="auto"/>
            </w:tcBorders>
          </w:tcPr>
          <w:p>
            <w:pPr>
              <w:jc w:val="right"/>
              <w:ind w:right="379"/>
              <w:spacing w:after="0" w:line="183" w:lineRule="exact"/>
              <w:rPr>
                <w:sz w:val="20"/>
                <w:szCs w:val="20"/>
                <w:color w:val="auto"/>
              </w:rPr>
            </w:pPr>
            <w:r>
              <w:rPr>
                <w:rFonts w:ascii="Arial" w:cs="Arial" w:eastAsia="Arial" w:hAnsi="Arial"/>
                <w:sz w:val="16"/>
                <w:szCs w:val="16"/>
                <w:color w:val="auto"/>
              </w:rPr>
              <w:t>9,868</w:t>
            </w:r>
          </w:p>
        </w:tc>
        <w:tc>
          <w:tcPr>
            <w:tcW w:w="11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288,766</w:t>
            </w:r>
          </w:p>
        </w:tc>
      </w:tr>
      <w:tr>
        <w:trPr>
          <w:trHeight w:val="183"/>
        </w:trPr>
        <w:tc>
          <w:tcPr>
            <w:tcW w:w="3520" w:type="dxa"/>
            <w:vAlign w:val="bottom"/>
            <w:tcBorders>
              <w:bottom w:val="single" w:sz="8" w:color="auto"/>
            </w:tcBorders>
          </w:tcPr>
          <w:p>
            <w:pPr>
              <w:ind w:left="40"/>
              <w:spacing w:after="0" w:line="183" w:lineRule="exact"/>
              <w:rPr>
                <w:sz w:val="20"/>
                <w:szCs w:val="20"/>
                <w:color w:val="auto"/>
              </w:rPr>
            </w:pPr>
            <w:r>
              <w:rPr>
                <w:rFonts w:ascii="Arial" w:cs="Arial" w:eastAsia="Arial" w:hAnsi="Arial"/>
                <w:sz w:val="16"/>
                <w:szCs w:val="16"/>
                <w:b w:val="1"/>
                <w:bCs w:val="1"/>
                <w:color w:val="auto"/>
              </w:rPr>
              <w:t>Theodore M. Solso</w:t>
            </w:r>
          </w:p>
        </w:tc>
        <w:tc>
          <w:tcPr>
            <w:tcW w:w="3240" w:type="dxa"/>
            <w:vAlign w:val="bottom"/>
            <w:tcBorders>
              <w:bottom w:val="single" w:sz="8" w:color="auto"/>
            </w:tcBorders>
          </w:tcPr>
          <w:p>
            <w:pPr>
              <w:jc w:val="right"/>
              <w:ind w:right="99"/>
              <w:spacing w:after="0" w:line="183" w:lineRule="exact"/>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545,044</w:t>
            </w:r>
          </w:p>
        </w:tc>
        <w:tc>
          <w:tcPr>
            <w:tcW w:w="1900" w:type="dxa"/>
            <w:vAlign w:val="bottom"/>
            <w:tcBorders>
              <w:bottom w:val="single" w:sz="8" w:color="auto"/>
            </w:tcBorders>
          </w:tcPr>
          <w:p>
            <w:pPr>
              <w:jc w:val="right"/>
              <w:ind w:right="379"/>
              <w:spacing w:after="0" w:line="183" w:lineRule="exact"/>
              <w:rPr>
                <w:sz w:val="20"/>
                <w:szCs w:val="20"/>
                <w:color w:val="auto"/>
              </w:rPr>
            </w:pPr>
            <w:r>
              <w:rPr>
                <w:rFonts w:ascii="Arial" w:cs="Arial" w:eastAsia="Arial" w:hAnsi="Arial"/>
                <w:sz w:val="16"/>
                <w:szCs w:val="16"/>
                <w:color w:val="auto"/>
              </w:rPr>
              <w:t>9,868</w:t>
            </w:r>
          </w:p>
        </w:tc>
        <w:tc>
          <w:tcPr>
            <w:tcW w:w="11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554,912</w:t>
            </w:r>
          </w:p>
        </w:tc>
      </w:tr>
      <w:tr>
        <w:trPr>
          <w:trHeight w:val="190"/>
        </w:trPr>
        <w:tc>
          <w:tcPr>
            <w:tcW w:w="3520" w:type="dxa"/>
            <w:vAlign w:val="bottom"/>
            <w:tcBorders>
              <w:bottom w:val="single" w:sz="8" w:color="08228B"/>
            </w:tcBorders>
          </w:tcPr>
          <w:p>
            <w:pPr>
              <w:ind w:left="40"/>
              <w:spacing w:after="0" w:line="183" w:lineRule="exact"/>
              <w:rPr>
                <w:sz w:val="20"/>
                <w:szCs w:val="20"/>
                <w:color w:val="auto"/>
              </w:rPr>
            </w:pPr>
            <w:r>
              <w:rPr>
                <w:rFonts w:ascii="Arial" w:cs="Arial" w:eastAsia="Arial" w:hAnsi="Arial"/>
                <w:sz w:val="16"/>
                <w:szCs w:val="16"/>
                <w:b w:val="1"/>
                <w:bCs w:val="1"/>
                <w:color w:val="auto"/>
              </w:rPr>
              <w:t>Carol M. Stephenson</w:t>
            </w:r>
          </w:p>
        </w:tc>
        <w:tc>
          <w:tcPr>
            <w:tcW w:w="3240" w:type="dxa"/>
            <w:vAlign w:val="bottom"/>
            <w:tcBorders>
              <w:bottom w:val="single" w:sz="8" w:color="08228B"/>
            </w:tcBorders>
          </w:tcPr>
          <w:p>
            <w:pPr>
              <w:jc w:val="right"/>
              <w:ind w:right="99"/>
              <w:spacing w:after="0" w:line="183" w:lineRule="exact"/>
              <w:rPr>
                <w:sz w:val="20"/>
                <w:szCs w:val="20"/>
                <w:color w:val="auto"/>
              </w:rPr>
            </w:pPr>
            <w:r>
              <w:rPr>
                <w:rFonts w:ascii="Arial" w:cs="Arial" w:eastAsia="Arial" w:hAnsi="Arial"/>
                <w:sz w:val="16"/>
                <w:szCs w:val="16"/>
                <w:color w:val="auto"/>
              </w:rPr>
              <w:t>74,167</w:t>
            </w:r>
          </w:p>
        </w:tc>
        <w:tc>
          <w:tcPr>
            <w:tcW w:w="1540" w:type="dxa"/>
            <w:vAlign w:val="bottom"/>
            <w:tcBorders>
              <w:bottom w:val="single" w:sz="8" w:color="08228B"/>
            </w:tcBorders>
          </w:tcPr>
          <w:p>
            <w:pPr>
              <w:jc w:val="right"/>
              <w:ind w:right="59"/>
              <w:spacing w:after="0" w:line="183" w:lineRule="exact"/>
              <w:rPr>
                <w:sz w:val="20"/>
                <w:szCs w:val="20"/>
                <w:color w:val="auto"/>
              </w:rPr>
            </w:pPr>
            <w:r>
              <w:rPr>
                <w:rFonts w:ascii="Arial" w:cs="Arial" w:eastAsia="Arial" w:hAnsi="Arial"/>
                <w:sz w:val="16"/>
                <w:szCs w:val="16"/>
                <w:color w:val="auto"/>
              </w:rPr>
              <w:t>185,831</w:t>
            </w:r>
          </w:p>
        </w:tc>
        <w:tc>
          <w:tcPr>
            <w:tcW w:w="1900" w:type="dxa"/>
            <w:vAlign w:val="bottom"/>
            <w:tcBorders>
              <w:bottom w:val="single" w:sz="8" w:color="08228B"/>
            </w:tcBorders>
          </w:tcPr>
          <w:p>
            <w:pPr>
              <w:jc w:val="right"/>
              <w:ind w:right="379"/>
              <w:spacing w:after="0" w:line="183" w:lineRule="exact"/>
              <w:rPr>
                <w:sz w:val="20"/>
                <w:szCs w:val="20"/>
                <w:color w:val="auto"/>
              </w:rPr>
            </w:pPr>
            <w:r>
              <w:rPr>
                <w:rFonts w:ascii="Arial" w:cs="Arial" w:eastAsia="Arial" w:hAnsi="Arial"/>
                <w:sz w:val="16"/>
                <w:szCs w:val="16"/>
                <w:color w:val="auto"/>
              </w:rPr>
              <w:t>9,868</w:t>
            </w:r>
          </w:p>
        </w:tc>
        <w:tc>
          <w:tcPr>
            <w:tcW w:w="1100" w:type="dxa"/>
            <w:vAlign w:val="bottom"/>
            <w:tcBorders>
              <w:bottom w:val="single" w:sz="8" w:color="08228B"/>
            </w:tcBorders>
          </w:tcPr>
          <w:p>
            <w:pPr>
              <w:jc w:val="right"/>
              <w:spacing w:after="0" w:line="183" w:lineRule="exact"/>
              <w:rPr>
                <w:sz w:val="20"/>
                <w:szCs w:val="20"/>
                <w:color w:val="auto"/>
              </w:rPr>
            </w:pPr>
            <w:r>
              <w:rPr>
                <w:rFonts w:ascii="Arial" w:cs="Arial" w:eastAsia="Arial" w:hAnsi="Arial"/>
                <w:sz w:val="16"/>
                <w:szCs w:val="16"/>
                <w:color w:val="auto"/>
              </w:rPr>
              <w:t>269,866</w:t>
            </w:r>
          </w:p>
        </w:tc>
      </w:tr>
    </w:tbl>
    <w:p>
      <w:pPr>
        <w:spacing w:after="0" w:line="58"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4"/>
          <w:szCs w:val="14"/>
          <w:i w:val="1"/>
          <w:iCs w:val="1"/>
          <w:color w:val="auto"/>
        </w:rPr>
      </w:pPr>
      <w:r>
        <w:rPr>
          <w:rFonts w:ascii="Arial" w:cs="Arial" w:eastAsia="Arial" w:hAnsi="Arial"/>
          <w:sz w:val="14"/>
          <w:szCs w:val="14"/>
          <w:i w:val="1"/>
          <w:iCs w:val="1"/>
          <w:color w:val="auto"/>
        </w:rPr>
        <w:t>Reflects cash compensation received in 2015 for Board and Committee service.</w:t>
      </w:r>
    </w:p>
    <w:p>
      <w:pPr>
        <w:spacing w:after="0" w:line="68" w:lineRule="exact"/>
        <w:rPr>
          <w:rFonts w:ascii="Arial" w:cs="Arial" w:eastAsia="Arial" w:hAnsi="Arial"/>
          <w:sz w:val="14"/>
          <w:szCs w:val="14"/>
          <w:i w:val="1"/>
          <w:iCs w:val="1"/>
          <w:color w:val="auto"/>
        </w:rPr>
      </w:pPr>
    </w:p>
    <w:p>
      <w:pPr>
        <w:jc w:val="both"/>
        <w:ind w:left="340" w:right="120" w:hanging="332"/>
        <w:spacing w:after="0" w:line="254" w:lineRule="auto"/>
        <w:tabs>
          <w:tab w:leader="none" w:pos="340" w:val="left"/>
        </w:tabs>
        <w:numPr>
          <w:ilvl w:val="0"/>
          <w:numId w:val="10"/>
        </w:numPr>
        <w:rPr>
          <w:rFonts w:ascii="Arial" w:cs="Arial" w:eastAsia="Arial" w:hAnsi="Arial"/>
          <w:sz w:val="14"/>
          <w:szCs w:val="14"/>
          <w:i w:val="1"/>
          <w:iCs w:val="1"/>
          <w:color w:val="auto"/>
        </w:rPr>
      </w:pPr>
      <w:r>
        <w:rPr>
          <w:rFonts w:ascii="Arial" w:cs="Arial" w:eastAsia="Arial" w:hAnsi="Arial"/>
          <w:sz w:val="14"/>
          <w:szCs w:val="14"/>
          <w:i w:val="1"/>
          <w:iCs w:val="1"/>
          <w:color w:val="auto"/>
        </w:rPr>
        <w:t>Reflects aggregate grant date fair value of DSUs granted in 2015, including amounts that Ms. Marinello ($125,000) and Ms. Stephenson ($62,500) and Messrs. Ashton ($62,500), Jimenez ($72,917), Mulva ($140,000), and Solso ($425,000) elected to defer into DSUs in lieu of all or a part of their cash compensation. Grant date fair value is calculated by multiplying the number of DSUs granted by the closing price of GM common stock on the grant date (December 31, 2015), which was $34.01. The holders of DSUs also receive dividend equivalents which are reinvested in additional DSUs based on the market price of the common stock on the date the dividends are paid.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13"/>
        </w:trPr>
        <w:tc>
          <w:tcPr>
            <w:tcW w:w="4340" w:type="dxa"/>
            <w:vAlign w:val="bottom"/>
            <w:tcBorders>
              <w:bottom w:val="single" w:sz="8" w:color="08228B"/>
            </w:tcBorders>
          </w:tcPr>
          <w:p>
            <w:pPr>
              <w:spacing w:after="0"/>
              <w:rPr>
                <w:sz w:val="9"/>
                <w:szCs w:val="9"/>
                <w:color w:val="auto"/>
              </w:rPr>
            </w:pPr>
          </w:p>
        </w:tc>
        <w:tc>
          <w:tcPr>
            <w:tcW w:w="2060" w:type="dxa"/>
            <w:vAlign w:val="bottom"/>
            <w:vMerge w:val="restart"/>
          </w:tcPr>
          <w:p>
            <w:pPr>
              <w:ind w:left="60"/>
              <w:spacing w:after="0"/>
              <w:rPr>
                <w:sz w:val="20"/>
                <w:szCs w:val="20"/>
                <w:color w:val="auto"/>
              </w:rPr>
            </w:pPr>
            <w:r>
              <w:rPr>
                <w:rFonts w:ascii="Arial" w:cs="Arial" w:eastAsia="Arial" w:hAnsi="Arial"/>
                <w:sz w:val="16"/>
                <w:szCs w:val="16"/>
                <w:b w:val="1"/>
                <w:bCs w:val="1"/>
                <w:color w:val="1C90D3"/>
              </w:rPr>
              <w:t xml:space="preserve">2016 </w:t>
            </w:r>
            <w:r>
              <w:rPr>
                <w:rFonts w:ascii="Arial" w:cs="Arial" w:eastAsia="Arial" w:hAnsi="Arial"/>
                <w:sz w:val="16"/>
                <w:szCs w:val="16"/>
                <w:color w:val="08228B"/>
              </w:rPr>
              <w:t>PROXY STATEMENT</w:t>
            </w:r>
          </w:p>
        </w:tc>
        <w:tc>
          <w:tcPr>
            <w:tcW w:w="2400" w:type="dxa"/>
            <w:vAlign w:val="bottom"/>
            <w:tcBorders>
              <w:bottom w:val="single" w:sz="8" w:color="08228B"/>
            </w:tcBorders>
          </w:tcPr>
          <w:p>
            <w:pPr>
              <w:spacing w:after="0"/>
              <w:rPr>
                <w:sz w:val="9"/>
                <w:szCs w:val="9"/>
                <w:color w:val="auto"/>
              </w:rPr>
            </w:pPr>
          </w:p>
        </w:tc>
        <w:tc>
          <w:tcPr>
            <w:tcW w:w="2620" w:type="dxa"/>
            <w:vAlign w:val="bottom"/>
            <w:vMerge w:val="restart"/>
          </w:tcPr>
          <w:p>
            <w:pPr>
              <w:jc w:val="right"/>
              <w:ind w:right="39"/>
              <w:spacing w:after="0"/>
              <w:rPr>
                <w:sz w:val="20"/>
                <w:szCs w:val="20"/>
                <w:color w:val="auto"/>
              </w:rPr>
            </w:pPr>
            <w:r>
              <w:rPr>
                <w:rFonts w:ascii="Arial" w:cs="Arial" w:eastAsia="Arial" w:hAnsi="Arial"/>
                <w:sz w:val="16"/>
                <w:szCs w:val="16"/>
                <w:color w:val="08228B"/>
              </w:rPr>
              <w:t>19</w:t>
            </w:r>
          </w:p>
        </w:tc>
        <w:tc>
          <w:tcPr>
            <w:tcW w:w="0" w:type="dxa"/>
            <w:vAlign w:val="bottom"/>
          </w:tcPr>
          <w:p>
            <w:pPr>
              <w:spacing w:after="0"/>
              <w:rPr>
                <w:sz w:val="1"/>
                <w:szCs w:val="1"/>
                <w:color w:val="auto"/>
              </w:rPr>
            </w:pPr>
          </w:p>
        </w:tc>
      </w:tr>
      <w:tr>
        <w:trPr>
          <w:trHeight w:val="82"/>
        </w:trPr>
        <w:tc>
          <w:tcPr>
            <w:tcW w:w="4340" w:type="dxa"/>
            <w:vAlign w:val="bottom"/>
          </w:tcPr>
          <w:p>
            <w:pPr>
              <w:spacing w:after="0"/>
              <w:rPr>
                <w:sz w:val="7"/>
                <w:szCs w:val="7"/>
                <w:color w:val="auto"/>
              </w:rPr>
            </w:pPr>
          </w:p>
        </w:tc>
        <w:tc>
          <w:tcPr>
            <w:tcW w:w="2060" w:type="dxa"/>
            <w:vAlign w:val="bottom"/>
            <w:vMerge w:val="continue"/>
          </w:tcPr>
          <w:p>
            <w:pPr>
              <w:spacing w:after="0"/>
              <w:rPr>
                <w:sz w:val="7"/>
                <w:szCs w:val="7"/>
                <w:color w:val="auto"/>
              </w:rPr>
            </w:pPr>
          </w:p>
        </w:tc>
        <w:tc>
          <w:tcPr>
            <w:tcW w:w="2400" w:type="dxa"/>
            <w:vAlign w:val="bottom"/>
          </w:tcPr>
          <w:p>
            <w:pPr>
              <w:spacing w:after="0"/>
              <w:rPr>
                <w:sz w:val="7"/>
                <w:szCs w:val="7"/>
                <w:color w:val="auto"/>
              </w:rPr>
            </w:pPr>
          </w:p>
        </w:tc>
        <w:tc>
          <w:tcPr>
            <w:tcW w:w="2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7"/>
        </w:trPr>
        <w:tc>
          <w:tcPr>
            <w:tcW w:w="4340" w:type="dxa"/>
            <w:vAlign w:val="bottom"/>
            <w:tcBorders>
              <w:bottom w:val="single" w:sz="8" w:color="C0C0C0"/>
            </w:tcBorders>
          </w:tcPr>
          <w:p>
            <w:pPr>
              <w:spacing w:after="0"/>
              <w:rPr>
                <w:sz w:val="24"/>
                <w:szCs w:val="24"/>
                <w:color w:val="auto"/>
              </w:rPr>
            </w:pPr>
          </w:p>
        </w:tc>
        <w:tc>
          <w:tcPr>
            <w:tcW w:w="2060" w:type="dxa"/>
            <w:vAlign w:val="bottom"/>
            <w:tcBorders>
              <w:bottom w:val="single" w:sz="8" w:color="C0C0C0"/>
            </w:tcBorders>
          </w:tcPr>
          <w:p>
            <w:pPr>
              <w:spacing w:after="0"/>
              <w:rPr>
                <w:sz w:val="24"/>
                <w:szCs w:val="24"/>
                <w:color w:val="auto"/>
              </w:rPr>
            </w:pPr>
          </w:p>
        </w:tc>
        <w:tc>
          <w:tcPr>
            <w:tcW w:w="2400" w:type="dxa"/>
            <w:vAlign w:val="bottom"/>
            <w:tcBorders>
              <w:bottom w:val="single" w:sz="8" w:color="C0C0C0"/>
            </w:tcBorders>
          </w:tcPr>
          <w:p>
            <w:pPr>
              <w:spacing w:after="0"/>
              <w:rPr>
                <w:sz w:val="24"/>
                <w:szCs w:val="24"/>
                <w:color w:val="auto"/>
              </w:rPr>
            </w:pPr>
          </w:p>
        </w:tc>
        <w:tc>
          <w:tcPr>
            <w:tcW w:w="262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5613400</wp:posOffset>
            </wp:positionH>
            <wp:positionV relativeFrom="paragraph">
              <wp:posOffset>-334010</wp:posOffset>
            </wp:positionV>
            <wp:extent cx="1286510" cy="8572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86510" cy="8572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Back to Contents</w:t>
        </w:r>
      </w:hyperlink>
    </w:p>
    <w:p>
      <w:pPr>
        <w:spacing w:after="0" w:line="185"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4"/>
          <w:szCs w:val="14"/>
          <w:i w:val="1"/>
          <w:iCs w:val="1"/>
          <w:color w:val="auto"/>
        </w:rPr>
      </w:pPr>
      <w:r>
        <w:rPr>
          <w:rFonts w:ascii="Arial" w:cs="Arial" w:eastAsia="Arial" w:hAnsi="Arial"/>
          <w:sz w:val="14"/>
          <w:szCs w:val="14"/>
          <w:i w:val="1"/>
          <w:iCs w:val="1"/>
          <w:color w:val="auto"/>
        </w:rPr>
        <w:t>The following table provides more information on the type and amount of benefits included in the All Other Compensation column.</w:t>
      </w:r>
    </w:p>
    <w:p>
      <w:pPr>
        <w:sectPr>
          <w:pgSz w:w="11900" w:h="16838" w:orient="portrait"/>
          <w:cols w:equalWidth="0" w:num="1">
            <w:col w:w="11420"/>
          </w:cols>
          <w:pgMar w:left="240" w:top="225" w:right="239" w:bottom="1440" w:gutter="0" w:footer="0" w:header="0"/>
        </w:sectPr>
      </w:pPr>
    </w:p>
    <w:p>
      <w:pPr>
        <w:spacing w:after="0" w:line="179" w:lineRule="exact"/>
        <w:rPr>
          <w:sz w:val="20"/>
          <w:szCs w:val="20"/>
          <w:color w:val="auto"/>
        </w:rPr>
      </w:pPr>
    </w:p>
    <w:tbl>
      <w:tblPr>
        <w:tblLayout w:type="fixed"/>
        <w:tblInd w:w="460" w:type="dxa"/>
        <w:tblCellMar>
          <w:top w:w="0" w:type="dxa"/>
          <w:left w:w="0" w:type="dxa"/>
          <w:bottom w:w="0" w:type="dxa"/>
          <w:right w:w="0" w:type="dxa"/>
        </w:tblCellMar>
      </w:tblPr>
      <w:tr>
        <w:trPr>
          <w:trHeight w:val="198"/>
        </w:trPr>
        <w:tc>
          <w:tcPr>
            <w:tcW w:w="1320" w:type="dxa"/>
            <w:vAlign w:val="bottom"/>
            <w:tcBorders>
              <w:top w:val="single" w:sz="8" w:color="1C90D3"/>
            </w:tcBorders>
          </w:tcPr>
          <w:p>
            <w:pPr>
              <w:spacing w:after="0"/>
              <w:rPr>
                <w:sz w:val="17"/>
                <w:szCs w:val="17"/>
                <w:color w:val="auto"/>
              </w:rPr>
            </w:pPr>
          </w:p>
        </w:tc>
        <w:tc>
          <w:tcPr>
            <w:tcW w:w="1600" w:type="dxa"/>
            <w:vAlign w:val="bottom"/>
            <w:tcBorders>
              <w:top w:val="single" w:sz="8" w:color="1C90D3"/>
            </w:tcBorders>
            <w:gridSpan w:val="2"/>
          </w:tcPr>
          <w:p>
            <w:pPr>
              <w:jc w:val="right"/>
              <w:ind w:right="79"/>
              <w:spacing w:after="0"/>
              <w:rPr>
                <w:sz w:val="20"/>
                <w:szCs w:val="20"/>
                <w:color w:val="auto"/>
              </w:rPr>
            </w:pPr>
            <w:r>
              <w:rPr>
                <w:rFonts w:ascii="Arial" w:cs="Arial" w:eastAsia="Arial" w:hAnsi="Arial"/>
                <w:sz w:val="16"/>
                <w:szCs w:val="16"/>
                <w:b w:val="1"/>
                <w:bCs w:val="1"/>
                <w:color w:val="1C90D3"/>
              </w:rPr>
              <w:t>Aggregate</w:t>
            </w:r>
          </w:p>
        </w:tc>
        <w:tc>
          <w:tcPr>
            <w:tcW w:w="340" w:type="dxa"/>
            <w:vAlign w:val="bottom"/>
            <w:tcBorders>
              <w:top w:val="single" w:sz="8" w:color="1C90D3"/>
            </w:tcBorders>
          </w:tcPr>
          <w:p>
            <w:pPr>
              <w:spacing w:after="0"/>
              <w:rPr>
                <w:sz w:val="17"/>
                <w:szCs w:val="17"/>
                <w:color w:val="auto"/>
              </w:rPr>
            </w:pPr>
          </w:p>
        </w:tc>
        <w:tc>
          <w:tcPr>
            <w:tcW w:w="680" w:type="dxa"/>
            <w:vAlign w:val="bottom"/>
            <w:tcBorders>
              <w:top w:val="single" w:sz="8" w:color="1C90D3"/>
            </w:tcBorders>
          </w:tcPr>
          <w:p>
            <w:pPr>
              <w:spacing w:after="0"/>
              <w:rPr>
                <w:sz w:val="17"/>
                <w:szCs w:val="17"/>
                <w:color w:val="auto"/>
              </w:rPr>
            </w:pPr>
          </w:p>
        </w:tc>
        <w:tc>
          <w:tcPr>
            <w:tcW w:w="720" w:type="dxa"/>
            <w:vAlign w:val="bottom"/>
            <w:tcBorders>
              <w:top w:val="single" w:sz="8" w:color="1C90D3"/>
            </w:tcBorders>
          </w:tcPr>
          <w:p>
            <w:pPr>
              <w:spacing w:after="0"/>
              <w:rPr>
                <w:sz w:val="17"/>
                <w:szCs w:val="17"/>
                <w:color w:val="auto"/>
              </w:rPr>
            </w:pPr>
          </w:p>
        </w:tc>
        <w:tc>
          <w:tcPr>
            <w:tcW w:w="280" w:type="dxa"/>
            <w:vAlign w:val="bottom"/>
            <w:tcBorders>
              <w:top w:val="single" w:sz="8" w:color="1C90D3"/>
            </w:tcBorders>
          </w:tcPr>
          <w:p>
            <w:pPr>
              <w:spacing w:after="0"/>
              <w:rPr>
                <w:sz w:val="17"/>
                <w:szCs w:val="17"/>
                <w:color w:val="auto"/>
              </w:rPr>
            </w:pPr>
          </w:p>
        </w:tc>
        <w:tc>
          <w:tcPr>
            <w:tcW w:w="560" w:type="dxa"/>
            <w:vAlign w:val="bottom"/>
            <w:tcBorders>
              <w:top w:val="single" w:sz="8" w:color="1C90D3"/>
            </w:tcBorders>
          </w:tcPr>
          <w:p>
            <w:pPr>
              <w:spacing w:after="0"/>
              <w:rPr>
                <w:sz w:val="17"/>
                <w:szCs w:val="17"/>
                <w:color w:val="auto"/>
              </w:rPr>
            </w:pPr>
          </w:p>
        </w:tc>
      </w:tr>
      <w:tr>
        <w:trPr>
          <w:trHeight w:val="189"/>
        </w:trPr>
        <w:tc>
          <w:tcPr>
            <w:tcW w:w="1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b w:val="1"/>
                <w:bCs w:val="1"/>
                <w:color w:val="1C90D3"/>
              </w:rPr>
              <w:t>Earnings</w:t>
            </w:r>
          </w:p>
        </w:tc>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89"/>
        </w:trPr>
        <w:tc>
          <w:tcPr>
            <w:tcW w:w="1320" w:type="dxa"/>
            <w:vAlign w:val="bottom"/>
          </w:tcPr>
          <w:p>
            <w:pPr>
              <w:spacing w:after="0"/>
              <w:rPr>
                <w:sz w:val="16"/>
                <w:szCs w:val="16"/>
                <w:color w:val="auto"/>
              </w:rPr>
            </w:pPr>
          </w:p>
        </w:tc>
        <w:tc>
          <w:tcPr>
            <w:tcW w:w="1600" w:type="dxa"/>
            <w:vAlign w:val="bottom"/>
            <w:gridSpan w:val="2"/>
          </w:tcPr>
          <w:p>
            <w:pPr>
              <w:jc w:val="right"/>
              <w:ind w:right="79"/>
              <w:spacing w:after="0"/>
              <w:rPr>
                <w:sz w:val="20"/>
                <w:szCs w:val="20"/>
                <w:color w:val="auto"/>
              </w:rPr>
            </w:pPr>
            <w:r>
              <w:rPr>
                <w:rFonts w:ascii="Arial" w:cs="Arial" w:eastAsia="Arial" w:hAnsi="Arial"/>
                <w:sz w:val="16"/>
                <w:szCs w:val="16"/>
                <w:b w:val="1"/>
                <w:bCs w:val="1"/>
                <w:color w:val="1C90D3"/>
              </w:rPr>
              <w:t>on Deferred</w:t>
            </w:r>
          </w:p>
        </w:tc>
        <w:tc>
          <w:tcPr>
            <w:tcW w:w="1020" w:type="dxa"/>
            <w:vAlign w:val="bottom"/>
            <w:gridSpan w:val="2"/>
          </w:tcPr>
          <w:p>
            <w:pPr>
              <w:ind w:left="140"/>
              <w:spacing w:after="0"/>
              <w:rPr>
                <w:sz w:val="20"/>
                <w:szCs w:val="20"/>
                <w:color w:val="auto"/>
              </w:rPr>
            </w:pPr>
            <w:r>
              <w:rPr>
                <w:rFonts w:ascii="Arial" w:cs="Arial" w:eastAsia="Arial" w:hAnsi="Arial"/>
                <w:sz w:val="16"/>
                <w:szCs w:val="16"/>
                <w:b w:val="1"/>
                <w:bCs w:val="1"/>
                <w:color w:val="1C90D3"/>
              </w:rPr>
              <w:t>Company</w:t>
            </w: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89"/>
        </w:trPr>
        <w:tc>
          <w:tcPr>
            <w:tcW w:w="1320" w:type="dxa"/>
            <w:vAlign w:val="bottom"/>
          </w:tcPr>
          <w:p>
            <w:pPr>
              <w:spacing w:after="0"/>
              <w:rPr>
                <w:sz w:val="16"/>
                <w:szCs w:val="16"/>
                <w:color w:val="auto"/>
              </w:rPr>
            </w:pPr>
          </w:p>
        </w:tc>
        <w:tc>
          <w:tcPr>
            <w:tcW w:w="1600" w:type="dxa"/>
            <w:vAlign w:val="bottom"/>
            <w:gridSpan w:val="2"/>
          </w:tcPr>
          <w:p>
            <w:pPr>
              <w:jc w:val="right"/>
              <w:ind w:right="79"/>
              <w:spacing w:after="0"/>
              <w:rPr>
                <w:sz w:val="20"/>
                <w:szCs w:val="20"/>
                <w:color w:val="auto"/>
              </w:rPr>
            </w:pPr>
            <w:r>
              <w:rPr>
                <w:rFonts w:ascii="Arial" w:cs="Arial" w:eastAsia="Arial" w:hAnsi="Arial"/>
                <w:sz w:val="16"/>
                <w:szCs w:val="16"/>
                <w:b w:val="1"/>
                <w:bCs w:val="1"/>
                <w:color w:val="1C90D3"/>
              </w:rPr>
              <w:t>Compensation</w:t>
            </w:r>
          </w:p>
        </w:tc>
        <w:tc>
          <w:tcPr>
            <w:tcW w:w="1020" w:type="dxa"/>
            <w:vAlign w:val="bottom"/>
            <w:gridSpan w:val="2"/>
          </w:tcPr>
          <w:p>
            <w:pPr>
              <w:jc w:val="right"/>
              <w:ind w:right="79"/>
              <w:spacing w:after="0"/>
              <w:rPr>
                <w:sz w:val="20"/>
                <w:szCs w:val="20"/>
                <w:color w:val="auto"/>
              </w:rPr>
            </w:pPr>
            <w:r>
              <w:rPr>
                <w:rFonts w:ascii="Arial" w:cs="Arial" w:eastAsia="Arial" w:hAnsi="Arial"/>
                <w:sz w:val="16"/>
                <w:szCs w:val="16"/>
                <w:b w:val="1"/>
                <w:bCs w:val="1"/>
                <w:color w:val="1C90D3"/>
              </w:rPr>
              <w:t>Vehicles</w:t>
            </w:r>
          </w:p>
        </w:tc>
        <w:tc>
          <w:tcPr>
            <w:tcW w:w="720" w:type="dxa"/>
            <w:vAlign w:val="bottom"/>
          </w:tcPr>
          <w:p>
            <w:pPr>
              <w:jc w:val="right"/>
              <w:ind w:right="59"/>
              <w:spacing w:after="0"/>
              <w:rPr>
                <w:sz w:val="20"/>
                <w:szCs w:val="20"/>
                <w:color w:val="auto"/>
              </w:rPr>
            </w:pPr>
            <w:r>
              <w:rPr>
                <w:rFonts w:ascii="Arial" w:cs="Arial" w:eastAsia="Arial" w:hAnsi="Arial"/>
                <w:sz w:val="16"/>
                <w:szCs w:val="16"/>
                <w:b w:val="1"/>
                <w:bCs w:val="1"/>
                <w:color w:val="1C90D3"/>
              </w:rPr>
              <w:t>Other</w:t>
            </w: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214"/>
        </w:trPr>
        <w:tc>
          <w:tcPr>
            <w:tcW w:w="1320" w:type="dxa"/>
            <w:vAlign w:val="bottom"/>
            <w:tcBorders>
              <w:bottom w:val="single" w:sz="8" w:color="1C90D3"/>
            </w:tcBorders>
          </w:tcPr>
          <w:p>
            <w:pPr>
              <w:ind w:left="40"/>
              <w:spacing w:after="0"/>
              <w:rPr>
                <w:sz w:val="20"/>
                <w:szCs w:val="20"/>
                <w:color w:val="auto"/>
              </w:rPr>
            </w:pPr>
            <w:r>
              <w:rPr>
                <w:rFonts w:ascii="Arial" w:cs="Arial" w:eastAsia="Arial" w:hAnsi="Arial"/>
                <w:sz w:val="16"/>
                <w:szCs w:val="16"/>
                <w:b w:val="1"/>
                <w:bCs w:val="1"/>
                <w:color w:val="1C90D3"/>
              </w:rPr>
              <w:t>Director</w:t>
            </w:r>
          </w:p>
        </w:tc>
        <w:tc>
          <w:tcPr>
            <w:tcW w:w="720" w:type="dxa"/>
            <w:vAlign w:val="bottom"/>
            <w:tcBorders>
              <w:bottom w:val="single" w:sz="8" w:color="1C90D3"/>
            </w:tcBorders>
          </w:tcPr>
          <w:p>
            <w:pPr>
              <w:spacing w:after="0"/>
              <w:rPr>
                <w:sz w:val="18"/>
                <w:szCs w:val="18"/>
                <w:color w:val="auto"/>
              </w:rPr>
            </w:pPr>
          </w:p>
        </w:tc>
        <w:tc>
          <w:tcPr>
            <w:tcW w:w="880" w:type="dxa"/>
            <w:vAlign w:val="bottom"/>
            <w:tcBorders>
              <w:bottom w:val="single" w:sz="8" w:color="1C90D3"/>
            </w:tcBorders>
          </w:tcPr>
          <w:p>
            <w:pPr>
              <w:jc w:val="right"/>
              <w:ind w:right="79"/>
              <w:spacing w:after="0"/>
              <w:rPr>
                <w:sz w:val="20"/>
                <w:szCs w:val="20"/>
                <w:color w:val="auto"/>
              </w:rPr>
            </w:pPr>
            <w:r>
              <w:rPr>
                <w:rFonts w:ascii="Arial" w:cs="Arial" w:eastAsia="Arial" w:hAnsi="Arial"/>
                <w:sz w:val="16"/>
                <w:szCs w:val="16"/>
                <w:b w:val="1"/>
                <w:bCs w:val="1"/>
                <w:color w:val="1C90D3"/>
              </w:rPr>
              <w:t>(a)</w:t>
            </w:r>
          </w:p>
        </w:tc>
        <w:tc>
          <w:tcPr>
            <w:tcW w:w="340" w:type="dxa"/>
            <w:vAlign w:val="bottom"/>
            <w:tcBorders>
              <w:bottom w:val="single" w:sz="8" w:color="1C90D3"/>
            </w:tcBorders>
          </w:tcPr>
          <w:p>
            <w:pPr>
              <w:spacing w:after="0"/>
              <w:rPr>
                <w:sz w:val="18"/>
                <w:szCs w:val="18"/>
                <w:color w:val="auto"/>
              </w:rPr>
            </w:pPr>
          </w:p>
        </w:tc>
        <w:tc>
          <w:tcPr>
            <w:tcW w:w="680" w:type="dxa"/>
            <w:vAlign w:val="bottom"/>
            <w:tcBorders>
              <w:bottom w:val="single" w:sz="8" w:color="1C90D3"/>
            </w:tcBorders>
          </w:tcPr>
          <w:p>
            <w:pPr>
              <w:jc w:val="right"/>
              <w:ind w:right="79"/>
              <w:spacing w:after="0"/>
              <w:rPr>
                <w:sz w:val="20"/>
                <w:szCs w:val="20"/>
                <w:color w:val="auto"/>
              </w:rPr>
            </w:pPr>
            <w:r>
              <w:rPr>
                <w:rFonts w:ascii="Arial" w:cs="Arial" w:eastAsia="Arial" w:hAnsi="Arial"/>
                <w:sz w:val="16"/>
                <w:szCs w:val="16"/>
                <w:b w:val="1"/>
                <w:bCs w:val="1"/>
                <w:color w:val="1C90D3"/>
              </w:rPr>
              <w:t>(b)</w:t>
            </w:r>
          </w:p>
        </w:tc>
        <w:tc>
          <w:tcPr>
            <w:tcW w:w="720" w:type="dxa"/>
            <w:vAlign w:val="bottom"/>
            <w:tcBorders>
              <w:bottom w:val="single" w:sz="8" w:color="1C90D3"/>
            </w:tcBorders>
          </w:tcPr>
          <w:p>
            <w:pPr>
              <w:jc w:val="right"/>
              <w:ind w:right="59"/>
              <w:spacing w:after="0"/>
              <w:rPr>
                <w:sz w:val="20"/>
                <w:szCs w:val="20"/>
                <w:color w:val="auto"/>
              </w:rPr>
            </w:pPr>
            <w:r>
              <w:rPr>
                <w:rFonts w:ascii="Arial" w:cs="Arial" w:eastAsia="Arial" w:hAnsi="Arial"/>
                <w:sz w:val="16"/>
                <w:szCs w:val="16"/>
                <w:b w:val="1"/>
                <w:bCs w:val="1"/>
                <w:color w:val="1C90D3"/>
              </w:rPr>
              <w:t>(c)</w:t>
            </w:r>
          </w:p>
        </w:tc>
        <w:tc>
          <w:tcPr>
            <w:tcW w:w="280" w:type="dxa"/>
            <w:vAlign w:val="bottom"/>
            <w:tcBorders>
              <w:bottom w:val="single" w:sz="8" w:color="1C90D3"/>
            </w:tcBorders>
          </w:tcPr>
          <w:p>
            <w:pPr>
              <w:spacing w:after="0"/>
              <w:rPr>
                <w:sz w:val="18"/>
                <w:szCs w:val="18"/>
                <w:color w:val="auto"/>
              </w:rPr>
            </w:pPr>
          </w:p>
        </w:tc>
        <w:tc>
          <w:tcPr>
            <w:tcW w:w="560" w:type="dxa"/>
            <w:vAlign w:val="bottom"/>
            <w:tcBorders>
              <w:bottom w:val="single" w:sz="8" w:color="1C90D3"/>
            </w:tcBorders>
          </w:tcPr>
          <w:p>
            <w:pPr>
              <w:jc w:val="right"/>
              <w:spacing w:after="0"/>
              <w:rPr>
                <w:sz w:val="20"/>
                <w:szCs w:val="20"/>
                <w:color w:val="auto"/>
              </w:rPr>
            </w:pPr>
            <w:r>
              <w:rPr>
                <w:rFonts w:ascii="Arial" w:cs="Arial" w:eastAsia="Arial" w:hAnsi="Arial"/>
                <w:sz w:val="16"/>
                <w:szCs w:val="16"/>
                <w:b w:val="1"/>
                <w:bCs w:val="1"/>
                <w:color w:val="1C90D3"/>
              </w:rPr>
              <w:t>Total</w:t>
            </w:r>
          </w:p>
        </w:tc>
      </w:tr>
      <w:tr>
        <w:trPr>
          <w:trHeight w:val="189"/>
        </w:trPr>
        <w:tc>
          <w:tcPr>
            <w:tcW w:w="13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Mr. Ashton</w:t>
            </w:r>
          </w:p>
        </w:tc>
        <w:tc>
          <w:tcPr>
            <w:tcW w:w="7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9,628</w:t>
            </w:r>
          </w:p>
        </w:tc>
        <w:tc>
          <w:tcPr>
            <w:tcW w:w="7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$ 240</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9,868</w:t>
            </w:r>
          </w:p>
        </w:tc>
      </w:tr>
      <w:tr>
        <w:trPr>
          <w:trHeight w:val="183"/>
        </w:trPr>
        <w:tc>
          <w:tcPr>
            <w:tcW w:w="1320" w:type="dxa"/>
            <w:vAlign w:val="bottom"/>
            <w:tcBorders>
              <w:bottom w:val="single" w:sz="8" w:color="auto"/>
            </w:tcBorders>
          </w:tcPr>
          <w:p>
            <w:pPr>
              <w:ind w:left="40"/>
              <w:spacing w:after="0" w:line="183" w:lineRule="exact"/>
              <w:rPr>
                <w:sz w:val="20"/>
                <w:szCs w:val="20"/>
                <w:color w:val="auto"/>
              </w:rPr>
            </w:pPr>
            <w:r>
              <w:rPr>
                <w:rFonts w:ascii="Arial" w:cs="Arial" w:eastAsia="Arial" w:hAnsi="Arial"/>
                <w:sz w:val="16"/>
                <w:szCs w:val="16"/>
                <w:color w:val="auto"/>
              </w:rPr>
              <w:t>Mr. Davis</w:t>
            </w:r>
          </w:p>
        </w:tc>
        <w:tc>
          <w:tcPr>
            <w:tcW w:w="7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79"/>
              <w:spacing w:after="0" w:line="183" w:lineRule="exact"/>
              <w:rPr>
                <w:sz w:val="20"/>
                <w:szCs w:val="20"/>
                <w:color w:val="auto"/>
              </w:rPr>
            </w:pPr>
            <w:r>
              <w:rPr>
                <w:rFonts w:ascii="Arial" w:cs="Arial" w:eastAsia="Arial" w:hAnsi="Arial"/>
                <w:sz w:val="16"/>
                <w:szCs w:val="16"/>
                <w:color w:val="auto"/>
              </w:rPr>
              <w:t>1,095</w:t>
            </w:r>
          </w:p>
        </w:tc>
        <w:tc>
          <w:tcPr>
            <w:tcW w:w="340" w:type="dxa"/>
            <w:vAlign w:val="bottom"/>
            <w:tcBorders>
              <w:bottom w:val="single" w:sz="8" w:color="auto"/>
            </w:tcBorders>
          </w:tcPr>
          <w:p>
            <w:pPr>
              <w:ind w:left="140"/>
              <w:spacing w:after="0" w:line="183" w:lineRule="exact"/>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ind w:right="79"/>
              <w:spacing w:after="0" w:line="183" w:lineRule="exact"/>
              <w:rPr>
                <w:sz w:val="20"/>
                <w:szCs w:val="20"/>
                <w:color w:val="auto"/>
              </w:rPr>
            </w:pPr>
            <w:r>
              <w:rPr>
                <w:rFonts w:ascii="Arial" w:cs="Arial" w:eastAsia="Arial" w:hAnsi="Arial"/>
                <w:sz w:val="16"/>
                <w:szCs w:val="16"/>
                <w:color w:val="auto"/>
              </w:rPr>
              <w:t>9,628</w:t>
            </w:r>
          </w:p>
        </w:tc>
        <w:tc>
          <w:tcPr>
            <w:tcW w:w="72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$ 120</w:t>
            </w:r>
          </w:p>
        </w:tc>
        <w:tc>
          <w:tcPr>
            <w:tcW w:w="2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10,843</w:t>
            </w:r>
          </w:p>
        </w:tc>
      </w:tr>
      <w:tr>
        <w:trPr>
          <w:trHeight w:val="183"/>
        </w:trPr>
        <w:tc>
          <w:tcPr>
            <w:tcW w:w="1320" w:type="dxa"/>
            <w:vAlign w:val="bottom"/>
            <w:tcBorders>
              <w:bottom w:val="single" w:sz="8" w:color="auto"/>
            </w:tcBorders>
          </w:tcPr>
          <w:p>
            <w:pPr>
              <w:ind w:left="40"/>
              <w:spacing w:after="0" w:line="183" w:lineRule="exact"/>
              <w:rPr>
                <w:sz w:val="20"/>
                <w:szCs w:val="20"/>
                <w:color w:val="auto"/>
              </w:rPr>
            </w:pPr>
            <w:r>
              <w:rPr>
                <w:rFonts w:ascii="Arial" w:cs="Arial" w:eastAsia="Arial" w:hAnsi="Arial"/>
                <w:sz w:val="16"/>
                <w:szCs w:val="16"/>
                <w:color w:val="auto"/>
              </w:rPr>
              <w:t>Mr. Girsky</w:t>
            </w:r>
          </w:p>
        </w:tc>
        <w:tc>
          <w:tcPr>
            <w:tcW w:w="7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79"/>
              <w:spacing w:after="0" w:line="183" w:lineRule="exact"/>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ind w:left="140"/>
              <w:spacing w:after="0" w:line="183" w:lineRule="exact"/>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ind w:right="79"/>
              <w:spacing w:after="0" w:line="183" w:lineRule="exact"/>
              <w:rPr>
                <w:sz w:val="20"/>
                <w:szCs w:val="20"/>
                <w:color w:val="auto"/>
              </w:rPr>
            </w:pPr>
            <w:r>
              <w:rPr>
                <w:rFonts w:ascii="Arial" w:cs="Arial" w:eastAsia="Arial" w:hAnsi="Arial"/>
                <w:sz w:val="16"/>
                <w:szCs w:val="16"/>
                <w:color w:val="auto"/>
              </w:rPr>
              <w:t>9,628</w:t>
            </w:r>
          </w:p>
        </w:tc>
        <w:tc>
          <w:tcPr>
            <w:tcW w:w="72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$ 240</w:t>
            </w:r>
          </w:p>
        </w:tc>
        <w:tc>
          <w:tcPr>
            <w:tcW w:w="2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9,868</w:t>
            </w:r>
          </w:p>
        </w:tc>
      </w:tr>
      <w:tr>
        <w:trPr>
          <w:trHeight w:val="183"/>
        </w:trPr>
        <w:tc>
          <w:tcPr>
            <w:tcW w:w="1320" w:type="dxa"/>
            <w:vAlign w:val="bottom"/>
            <w:tcBorders>
              <w:bottom w:val="single" w:sz="8" w:color="auto"/>
            </w:tcBorders>
          </w:tcPr>
          <w:p>
            <w:pPr>
              <w:ind w:left="40"/>
              <w:spacing w:after="0" w:line="183" w:lineRule="exact"/>
              <w:rPr>
                <w:sz w:val="20"/>
                <w:szCs w:val="20"/>
                <w:color w:val="auto"/>
              </w:rPr>
            </w:pPr>
            <w:r>
              <w:rPr>
                <w:rFonts w:ascii="Arial" w:cs="Arial" w:eastAsia="Arial" w:hAnsi="Arial"/>
                <w:sz w:val="16"/>
                <w:szCs w:val="16"/>
                <w:color w:val="auto"/>
              </w:rPr>
              <w:t>Ms. Gooden</w:t>
            </w:r>
          </w:p>
        </w:tc>
        <w:tc>
          <w:tcPr>
            <w:tcW w:w="7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79"/>
              <w:spacing w:after="0" w:line="183" w:lineRule="exact"/>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ind w:left="140"/>
              <w:spacing w:after="0" w:line="183" w:lineRule="exact"/>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ind w:right="79"/>
              <w:spacing w:after="0" w:line="183" w:lineRule="exact"/>
              <w:rPr>
                <w:sz w:val="20"/>
                <w:szCs w:val="20"/>
                <w:color w:val="auto"/>
              </w:rPr>
            </w:pPr>
            <w:r>
              <w:rPr>
                <w:rFonts w:ascii="Arial" w:cs="Arial" w:eastAsia="Arial" w:hAnsi="Arial"/>
                <w:sz w:val="16"/>
                <w:szCs w:val="16"/>
                <w:color w:val="auto"/>
              </w:rPr>
              <w:t>8,023</w:t>
            </w:r>
          </w:p>
        </w:tc>
        <w:tc>
          <w:tcPr>
            <w:tcW w:w="72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$ 200</w:t>
            </w:r>
          </w:p>
        </w:tc>
        <w:tc>
          <w:tcPr>
            <w:tcW w:w="2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8,223</w:t>
            </w:r>
          </w:p>
        </w:tc>
      </w:tr>
      <w:tr>
        <w:trPr>
          <w:trHeight w:val="183"/>
        </w:trPr>
        <w:tc>
          <w:tcPr>
            <w:tcW w:w="1320" w:type="dxa"/>
            <w:vAlign w:val="bottom"/>
            <w:tcBorders>
              <w:bottom w:val="single" w:sz="8" w:color="auto"/>
            </w:tcBorders>
          </w:tcPr>
          <w:p>
            <w:pPr>
              <w:ind w:left="40"/>
              <w:spacing w:after="0" w:line="183" w:lineRule="exact"/>
              <w:rPr>
                <w:sz w:val="20"/>
                <w:szCs w:val="20"/>
                <w:color w:val="auto"/>
              </w:rPr>
            </w:pPr>
            <w:r>
              <w:rPr>
                <w:rFonts w:ascii="Arial" w:cs="Arial" w:eastAsia="Arial" w:hAnsi="Arial"/>
                <w:sz w:val="16"/>
                <w:szCs w:val="16"/>
                <w:color w:val="auto"/>
              </w:rPr>
              <w:t>Mr. Isdell</w:t>
            </w:r>
          </w:p>
        </w:tc>
        <w:tc>
          <w:tcPr>
            <w:tcW w:w="7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79"/>
              <w:spacing w:after="0" w:line="183" w:lineRule="exact"/>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ind w:left="140"/>
              <w:spacing w:after="0" w:line="183" w:lineRule="exact"/>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ind w:right="79"/>
              <w:spacing w:after="0" w:line="183" w:lineRule="exact"/>
              <w:rPr>
                <w:sz w:val="20"/>
                <w:szCs w:val="20"/>
                <w:color w:val="auto"/>
              </w:rPr>
            </w:pPr>
            <w:r>
              <w:rPr>
                <w:rFonts w:ascii="Arial" w:cs="Arial" w:eastAsia="Arial" w:hAnsi="Arial"/>
                <w:sz w:val="16"/>
                <w:szCs w:val="16"/>
                <w:color w:val="auto"/>
              </w:rPr>
              <w:t>8,023</w:t>
            </w:r>
          </w:p>
        </w:tc>
        <w:tc>
          <w:tcPr>
            <w:tcW w:w="72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$ 120</w:t>
            </w:r>
          </w:p>
        </w:tc>
        <w:tc>
          <w:tcPr>
            <w:tcW w:w="2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8,143</w:t>
            </w:r>
          </w:p>
        </w:tc>
      </w:tr>
      <w:tr>
        <w:trPr>
          <w:trHeight w:val="183"/>
        </w:trPr>
        <w:tc>
          <w:tcPr>
            <w:tcW w:w="1320" w:type="dxa"/>
            <w:vAlign w:val="bottom"/>
            <w:tcBorders>
              <w:bottom w:val="single" w:sz="8" w:color="auto"/>
            </w:tcBorders>
          </w:tcPr>
          <w:p>
            <w:pPr>
              <w:ind w:left="40"/>
              <w:spacing w:after="0" w:line="183" w:lineRule="exact"/>
              <w:rPr>
                <w:sz w:val="20"/>
                <w:szCs w:val="20"/>
                <w:color w:val="auto"/>
              </w:rPr>
            </w:pPr>
            <w:r>
              <w:rPr>
                <w:rFonts w:ascii="Arial" w:cs="Arial" w:eastAsia="Arial" w:hAnsi="Arial"/>
                <w:sz w:val="16"/>
                <w:szCs w:val="16"/>
                <w:color w:val="auto"/>
              </w:rPr>
              <w:t>Mr. Jimenez</w:t>
            </w:r>
          </w:p>
        </w:tc>
        <w:tc>
          <w:tcPr>
            <w:tcW w:w="7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79"/>
              <w:spacing w:after="0" w:line="183" w:lineRule="exact"/>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ind w:left="140"/>
              <w:spacing w:after="0" w:line="183" w:lineRule="exact"/>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ind w:right="79"/>
              <w:spacing w:after="0" w:line="183" w:lineRule="exact"/>
              <w:rPr>
                <w:sz w:val="20"/>
                <w:szCs w:val="20"/>
                <w:color w:val="auto"/>
              </w:rPr>
            </w:pPr>
            <w:r>
              <w:rPr>
                <w:rFonts w:ascii="Arial" w:cs="Arial" w:eastAsia="Arial" w:hAnsi="Arial"/>
                <w:sz w:val="16"/>
                <w:szCs w:val="16"/>
                <w:color w:val="auto"/>
              </w:rPr>
              <w:t>4,814</w:t>
            </w:r>
          </w:p>
        </w:tc>
        <w:tc>
          <w:tcPr>
            <w:tcW w:w="72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$ 120</w:t>
            </w:r>
          </w:p>
        </w:tc>
        <w:tc>
          <w:tcPr>
            <w:tcW w:w="2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4,934</w:t>
            </w:r>
          </w:p>
        </w:tc>
      </w:tr>
      <w:tr>
        <w:trPr>
          <w:trHeight w:val="204"/>
        </w:trPr>
        <w:tc>
          <w:tcPr>
            <w:tcW w:w="1320" w:type="dxa"/>
            <w:vAlign w:val="bottom"/>
          </w:tcPr>
          <w:p>
            <w:pPr>
              <w:ind w:left="40"/>
              <w:spacing w:after="0"/>
              <w:rPr>
                <w:sz w:val="20"/>
                <w:szCs w:val="20"/>
                <w:color w:val="auto"/>
              </w:rPr>
            </w:pPr>
            <w:r>
              <w:rPr>
                <w:rFonts w:ascii="Arial" w:cs="Arial" w:eastAsia="Arial" w:hAnsi="Arial"/>
                <w:sz w:val="16"/>
                <w:szCs w:val="16"/>
                <w:color w:val="auto"/>
              </w:rPr>
              <w:t>Ms. Marinello</w:t>
            </w:r>
          </w:p>
        </w:tc>
        <w:tc>
          <w:tcPr>
            <w:tcW w:w="720" w:type="dxa"/>
            <w:vAlign w:val="bottom"/>
          </w:tcPr>
          <w:p>
            <w:pPr>
              <w:spacing w:after="0"/>
              <w:rPr>
                <w:sz w:val="17"/>
                <w:szCs w:val="17"/>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40" w:type="dxa"/>
            <w:vAlign w:val="bottom"/>
          </w:tcPr>
          <w:p>
            <w:pPr>
              <w:ind w:left="140"/>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79"/>
              <w:spacing w:after="0"/>
              <w:rPr>
                <w:sz w:val="20"/>
                <w:szCs w:val="20"/>
                <w:color w:val="auto"/>
              </w:rPr>
            </w:pPr>
            <w:r>
              <w:rPr>
                <w:rFonts w:ascii="Arial" w:cs="Arial" w:eastAsia="Arial" w:hAnsi="Arial"/>
                <w:sz w:val="16"/>
                <w:szCs w:val="16"/>
                <w:color w:val="auto"/>
              </w:rPr>
              <w:t>9,628</w:t>
            </w: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$ 240</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9,868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-3810</wp:posOffset>
            </wp:positionV>
            <wp:extent cx="348170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1400" w:type="dxa"/>
            <w:vAlign w:val="bottom"/>
            <w:tcBorders>
              <w:top w:val="single" w:sz="8" w:color="1C90D3"/>
            </w:tcBorders>
          </w:tcPr>
          <w:p>
            <w:pPr>
              <w:spacing w:after="0"/>
              <w:rPr>
                <w:sz w:val="17"/>
                <w:szCs w:val="17"/>
                <w:color w:val="auto"/>
              </w:rPr>
            </w:pPr>
          </w:p>
        </w:tc>
        <w:tc>
          <w:tcPr>
            <w:tcW w:w="1480" w:type="dxa"/>
            <w:vAlign w:val="bottom"/>
            <w:tcBorders>
              <w:top w:val="single" w:sz="8" w:color="1C90D3"/>
            </w:tcBorders>
          </w:tcPr>
          <w:p>
            <w:pPr>
              <w:jc w:val="right"/>
              <w:ind w:right="79"/>
              <w:spacing w:after="0"/>
              <w:rPr>
                <w:sz w:val="20"/>
                <w:szCs w:val="20"/>
                <w:color w:val="auto"/>
              </w:rPr>
            </w:pPr>
            <w:r>
              <w:rPr>
                <w:rFonts w:ascii="Arial" w:cs="Arial" w:eastAsia="Arial" w:hAnsi="Arial"/>
                <w:sz w:val="16"/>
                <w:szCs w:val="16"/>
                <w:b w:val="1"/>
                <w:bCs w:val="1"/>
                <w:color w:val="1C90D3"/>
              </w:rPr>
              <w:t>Aggregate</w:t>
            </w:r>
          </w:p>
        </w:tc>
        <w:tc>
          <w:tcPr>
            <w:tcW w:w="360" w:type="dxa"/>
            <w:vAlign w:val="bottom"/>
            <w:tcBorders>
              <w:top w:val="single" w:sz="8" w:color="1C90D3"/>
            </w:tcBorders>
          </w:tcPr>
          <w:p>
            <w:pPr>
              <w:spacing w:after="0"/>
              <w:rPr>
                <w:sz w:val="17"/>
                <w:szCs w:val="17"/>
                <w:color w:val="auto"/>
              </w:rPr>
            </w:pPr>
          </w:p>
        </w:tc>
        <w:tc>
          <w:tcPr>
            <w:tcW w:w="640" w:type="dxa"/>
            <w:vAlign w:val="bottom"/>
            <w:tcBorders>
              <w:top w:val="single" w:sz="8" w:color="1C90D3"/>
            </w:tcBorders>
          </w:tcPr>
          <w:p>
            <w:pPr>
              <w:spacing w:after="0"/>
              <w:rPr>
                <w:sz w:val="17"/>
                <w:szCs w:val="17"/>
                <w:color w:val="auto"/>
              </w:rPr>
            </w:pPr>
          </w:p>
        </w:tc>
        <w:tc>
          <w:tcPr>
            <w:tcW w:w="640" w:type="dxa"/>
            <w:vAlign w:val="bottom"/>
            <w:tcBorders>
              <w:top w:val="single" w:sz="8" w:color="1C90D3"/>
            </w:tcBorders>
          </w:tcPr>
          <w:p>
            <w:pPr>
              <w:spacing w:after="0"/>
              <w:rPr>
                <w:sz w:val="17"/>
                <w:szCs w:val="17"/>
                <w:color w:val="auto"/>
              </w:rPr>
            </w:pPr>
          </w:p>
        </w:tc>
        <w:tc>
          <w:tcPr>
            <w:tcW w:w="660" w:type="dxa"/>
            <w:vAlign w:val="bottom"/>
            <w:tcBorders>
              <w:top w:val="single" w:sz="8" w:color="1C90D3"/>
            </w:tcBorders>
          </w:tcPr>
          <w:p>
            <w:pPr>
              <w:spacing w:after="0"/>
              <w:rPr>
                <w:sz w:val="17"/>
                <w:szCs w:val="17"/>
                <w:color w:val="auto"/>
              </w:rPr>
            </w:pPr>
          </w:p>
        </w:tc>
      </w:tr>
      <w:tr>
        <w:trPr>
          <w:trHeight w:val="189"/>
        </w:trPr>
        <w:tc>
          <w:tcPr>
            <w:tcW w:w="1400" w:type="dxa"/>
            <w:vAlign w:val="bottom"/>
          </w:tcPr>
          <w:p>
            <w:pPr>
              <w:spacing w:after="0"/>
              <w:rPr>
                <w:sz w:val="16"/>
                <w:szCs w:val="16"/>
                <w:color w:val="auto"/>
              </w:rPr>
            </w:pPr>
          </w:p>
        </w:tc>
        <w:tc>
          <w:tcPr>
            <w:tcW w:w="1480" w:type="dxa"/>
            <w:vAlign w:val="bottom"/>
          </w:tcPr>
          <w:p>
            <w:pPr>
              <w:jc w:val="right"/>
              <w:ind w:right="79"/>
              <w:spacing w:after="0"/>
              <w:rPr>
                <w:sz w:val="20"/>
                <w:szCs w:val="20"/>
                <w:color w:val="auto"/>
              </w:rPr>
            </w:pPr>
            <w:r>
              <w:rPr>
                <w:rFonts w:ascii="Arial" w:cs="Arial" w:eastAsia="Arial" w:hAnsi="Arial"/>
                <w:sz w:val="16"/>
                <w:szCs w:val="16"/>
                <w:b w:val="1"/>
                <w:bCs w:val="1"/>
                <w:color w:val="1C90D3"/>
              </w:rPr>
              <w:t>Earnings</w:t>
            </w:r>
          </w:p>
        </w:tc>
        <w:tc>
          <w:tcPr>
            <w:tcW w:w="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89"/>
        </w:trPr>
        <w:tc>
          <w:tcPr>
            <w:tcW w:w="1400" w:type="dxa"/>
            <w:vAlign w:val="bottom"/>
          </w:tcPr>
          <w:p>
            <w:pPr>
              <w:spacing w:after="0"/>
              <w:rPr>
                <w:sz w:val="16"/>
                <w:szCs w:val="16"/>
                <w:color w:val="auto"/>
              </w:rPr>
            </w:pPr>
          </w:p>
        </w:tc>
        <w:tc>
          <w:tcPr>
            <w:tcW w:w="1480" w:type="dxa"/>
            <w:vAlign w:val="bottom"/>
          </w:tcPr>
          <w:p>
            <w:pPr>
              <w:jc w:val="right"/>
              <w:ind w:right="79"/>
              <w:spacing w:after="0"/>
              <w:rPr>
                <w:sz w:val="20"/>
                <w:szCs w:val="20"/>
                <w:color w:val="auto"/>
              </w:rPr>
            </w:pPr>
            <w:r>
              <w:rPr>
                <w:rFonts w:ascii="Arial" w:cs="Arial" w:eastAsia="Arial" w:hAnsi="Arial"/>
                <w:sz w:val="16"/>
                <w:szCs w:val="16"/>
                <w:b w:val="1"/>
                <w:bCs w:val="1"/>
                <w:color w:val="1C90D3"/>
              </w:rPr>
              <w:t>on Deferred</w:t>
            </w:r>
          </w:p>
        </w:tc>
        <w:tc>
          <w:tcPr>
            <w:tcW w:w="1000" w:type="dxa"/>
            <w:vAlign w:val="bottom"/>
            <w:gridSpan w:val="2"/>
          </w:tcPr>
          <w:p>
            <w:pPr>
              <w:ind w:left="160"/>
              <w:spacing w:after="0"/>
              <w:rPr>
                <w:sz w:val="20"/>
                <w:szCs w:val="20"/>
                <w:color w:val="auto"/>
              </w:rPr>
            </w:pPr>
            <w:r>
              <w:rPr>
                <w:rFonts w:ascii="Arial" w:cs="Arial" w:eastAsia="Arial" w:hAnsi="Arial"/>
                <w:sz w:val="16"/>
                <w:szCs w:val="16"/>
                <w:b w:val="1"/>
                <w:bCs w:val="1"/>
                <w:color w:val="1C90D3"/>
              </w:rPr>
              <w:t>Company</w:t>
            </w:r>
          </w:p>
        </w:tc>
        <w:tc>
          <w:tcPr>
            <w:tcW w:w="64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89"/>
        </w:trPr>
        <w:tc>
          <w:tcPr>
            <w:tcW w:w="1400" w:type="dxa"/>
            <w:vAlign w:val="bottom"/>
          </w:tcPr>
          <w:p>
            <w:pPr>
              <w:spacing w:after="0"/>
              <w:rPr>
                <w:sz w:val="16"/>
                <w:szCs w:val="16"/>
                <w:color w:val="auto"/>
              </w:rPr>
            </w:pPr>
          </w:p>
        </w:tc>
        <w:tc>
          <w:tcPr>
            <w:tcW w:w="1480" w:type="dxa"/>
            <w:vAlign w:val="bottom"/>
          </w:tcPr>
          <w:p>
            <w:pPr>
              <w:jc w:val="right"/>
              <w:ind w:right="79"/>
              <w:spacing w:after="0"/>
              <w:rPr>
                <w:sz w:val="20"/>
                <w:szCs w:val="20"/>
                <w:color w:val="auto"/>
              </w:rPr>
            </w:pPr>
            <w:r>
              <w:rPr>
                <w:rFonts w:ascii="Arial" w:cs="Arial" w:eastAsia="Arial" w:hAnsi="Arial"/>
                <w:sz w:val="16"/>
                <w:szCs w:val="16"/>
                <w:b w:val="1"/>
                <w:bCs w:val="1"/>
                <w:color w:val="1C90D3"/>
              </w:rPr>
              <w:t>Compensation</w:t>
            </w:r>
          </w:p>
        </w:tc>
        <w:tc>
          <w:tcPr>
            <w:tcW w:w="1000" w:type="dxa"/>
            <w:vAlign w:val="bottom"/>
            <w:gridSpan w:val="2"/>
          </w:tcPr>
          <w:p>
            <w:pPr>
              <w:jc w:val="right"/>
              <w:ind w:right="39"/>
              <w:spacing w:after="0"/>
              <w:rPr>
                <w:sz w:val="20"/>
                <w:szCs w:val="20"/>
                <w:color w:val="auto"/>
              </w:rPr>
            </w:pPr>
            <w:r>
              <w:rPr>
                <w:rFonts w:ascii="Arial" w:cs="Arial" w:eastAsia="Arial" w:hAnsi="Arial"/>
                <w:sz w:val="16"/>
                <w:szCs w:val="16"/>
                <w:b w:val="1"/>
                <w:bCs w:val="1"/>
                <w:color w:val="1C90D3"/>
              </w:rPr>
              <w:t>Vehicles</w:t>
            </w:r>
          </w:p>
        </w:tc>
        <w:tc>
          <w:tcPr>
            <w:tcW w:w="640" w:type="dxa"/>
            <w:vAlign w:val="bottom"/>
          </w:tcPr>
          <w:p>
            <w:pPr>
              <w:jc w:val="right"/>
              <w:ind w:right="19"/>
              <w:spacing w:after="0"/>
              <w:rPr>
                <w:sz w:val="20"/>
                <w:szCs w:val="20"/>
                <w:color w:val="auto"/>
              </w:rPr>
            </w:pPr>
            <w:r>
              <w:rPr>
                <w:rFonts w:ascii="Arial" w:cs="Arial" w:eastAsia="Arial" w:hAnsi="Arial"/>
                <w:sz w:val="16"/>
                <w:szCs w:val="16"/>
                <w:b w:val="1"/>
                <w:bCs w:val="1"/>
                <w:color w:val="1C90D3"/>
              </w:rPr>
              <w:t>Other</w:t>
            </w:r>
          </w:p>
        </w:tc>
        <w:tc>
          <w:tcPr>
            <w:tcW w:w="660" w:type="dxa"/>
            <w:vAlign w:val="bottom"/>
          </w:tcPr>
          <w:p>
            <w:pPr>
              <w:spacing w:after="0"/>
              <w:rPr>
                <w:sz w:val="16"/>
                <w:szCs w:val="16"/>
                <w:color w:val="auto"/>
              </w:rPr>
            </w:pPr>
          </w:p>
        </w:tc>
      </w:tr>
      <w:tr>
        <w:trPr>
          <w:trHeight w:val="214"/>
        </w:trPr>
        <w:tc>
          <w:tcPr>
            <w:tcW w:w="1400" w:type="dxa"/>
            <w:vAlign w:val="bottom"/>
            <w:tcBorders>
              <w:bottom w:val="single" w:sz="8" w:color="1C90D3"/>
            </w:tcBorders>
          </w:tcPr>
          <w:p>
            <w:pPr>
              <w:ind w:left="20"/>
              <w:spacing w:after="0"/>
              <w:rPr>
                <w:sz w:val="20"/>
                <w:szCs w:val="20"/>
                <w:color w:val="auto"/>
              </w:rPr>
            </w:pPr>
            <w:r>
              <w:rPr>
                <w:rFonts w:ascii="Arial" w:cs="Arial" w:eastAsia="Arial" w:hAnsi="Arial"/>
                <w:sz w:val="16"/>
                <w:szCs w:val="16"/>
                <w:b w:val="1"/>
                <w:bCs w:val="1"/>
                <w:color w:val="1C90D3"/>
              </w:rPr>
              <w:t>Director</w:t>
            </w:r>
          </w:p>
        </w:tc>
        <w:tc>
          <w:tcPr>
            <w:tcW w:w="1480" w:type="dxa"/>
            <w:vAlign w:val="bottom"/>
            <w:tcBorders>
              <w:bottom w:val="single" w:sz="8" w:color="1C90D3"/>
            </w:tcBorders>
          </w:tcPr>
          <w:p>
            <w:pPr>
              <w:jc w:val="right"/>
              <w:ind w:right="79"/>
              <w:spacing w:after="0"/>
              <w:rPr>
                <w:sz w:val="20"/>
                <w:szCs w:val="20"/>
                <w:color w:val="auto"/>
              </w:rPr>
            </w:pPr>
            <w:r>
              <w:rPr>
                <w:rFonts w:ascii="Arial" w:cs="Arial" w:eastAsia="Arial" w:hAnsi="Arial"/>
                <w:sz w:val="16"/>
                <w:szCs w:val="16"/>
                <w:b w:val="1"/>
                <w:bCs w:val="1"/>
                <w:color w:val="1C90D3"/>
              </w:rPr>
              <w:t>(a)</w:t>
            </w:r>
          </w:p>
        </w:tc>
        <w:tc>
          <w:tcPr>
            <w:tcW w:w="360" w:type="dxa"/>
            <w:vAlign w:val="bottom"/>
            <w:tcBorders>
              <w:bottom w:val="single" w:sz="8" w:color="1C90D3"/>
            </w:tcBorders>
          </w:tcPr>
          <w:p>
            <w:pPr>
              <w:spacing w:after="0"/>
              <w:rPr>
                <w:sz w:val="18"/>
                <w:szCs w:val="18"/>
                <w:color w:val="auto"/>
              </w:rPr>
            </w:pPr>
          </w:p>
        </w:tc>
        <w:tc>
          <w:tcPr>
            <w:tcW w:w="640" w:type="dxa"/>
            <w:vAlign w:val="bottom"/>
            <w:tcBorders>
              <w:bottom w:val="single" w:sz="8" w:color="1C90D3"/>
            </w:tcBorders>
          </w:tcPr>
          <w:p>
            <w:pPr>
              <w:jc w:val="right"/>
              <w:ind w:right="39"/>
              <w:spacing w:after="0"/>
              <w:rPr>
                <w:sz w:val="20"/>
                <w:szCs w:val="20"/>
                <w:color w:val="auto"/>
              </w:rPr>
            </w:pPr>
            <w:r>
              <w:rPr>
                <w:rFonts w:ascii="Arial" w:cs="Arial" w:eastAsia="Arial" w:hAnsi="Arial"/>
                <w:sz w:val="16"/>
                <w:szCs w:val="16"/>
                <w:b w:val="1"/>
                <w:bCs w:val="1"/>
                <w:color w:val="1C90D3"/>
              </w:rPr>
              <w:t>(b)</w:t>
            </w:r>
          </w:p>
        </w:tc>
        <w:tc>
          <w:tcPr>
            <w:tcW w:w="640" w:type="dxa"/>
            <w:vAlign w:val="bottom"/>
            <w:tcBorders>
              <w:bottom w:val="single" w:sz="8" w:color="1C90D3"/>
            </w:tcBorders>
          </w:tcPr>
          <w:p>
            <w:pPr>
              <w:jc w:val="right"/>
              <w:ind w:right="19"/>
              <w:spacing w:after="0"/>
              <w:rPr>
                <w:sz w:val="20"/>
                <w:szCs w:val="20"/>
                <w:color w:val="auto"/>
              </w:rPr>
            </w:pPr>
            <w:r>
              <w:rPr>
                <w:rFonts w:ascii="Arial" w:cs="Arial" w:eastAsia="Arial" w:hAnsi="Arial"/>
                <w:sz w:val="16"/>
                <w:szCs w:val="16"/>
                <w:b w:val="1"/>
                <w:bCs w:val="1"/>
                <w:color w:val="1C90D3"/>
              </w:rPr>
              <w:t>(c)</w:t>
            </w:r>
          </w:p>
        </w:tc>
        <w:tc>
          <w:tcPr>
            <w:tcW w:w="660" w:type="dxa"/>
            <w:vAlign w:val="bottom"/>
            <w:tcBorders>
              <w:bottom w:val="single" w:sz="8" w:color="1C90D3"/>
            </w:tcBorders>
          </w:tcPr>
          <w:p>
            <w:pPr>
              <w:jc w:val="right"/>
              <w:spacing w:after="0"/>
              <w:rPr>
                <w:sz w:val="20"/>
                <w:szCs w:val="20"/>
                <w:color w:val="auto"/>
              </w:rPr>
            </w:pPr>
            <w:r>
              <w:rPr>
                <w:rFonts w:ascii="Arial" w:cs="Arial" w:eastAsia="Arial" w:hAnsi="Arial"/>
                <w:sz w:val="16"/>
                <w:szCs w:val="16"/>
                <w:b w:val="1"/>
                <w:bCs w:val="1"/>
                <w:color w:val="1C90D3"/>
              </w:rPr>
              <w:t>Total</w:t>
            </w:r>
          </w:p>
        </w:tc>
      </w:tr>
      <w:tr>
        <w:trPr>
          <w:trHeight w:val="189"/>
        </w:trPr>
        <w:tc>
          <w:tcPr>
            <w:tcW w:w="1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Mr. Mullen</w:t>
            </w:r>
          </w:p>
        </w:tc>
        <w:tc>
          <w:tcPr>
            <w:tcW w:w="14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9,628</w:t>
            </w:r>
          </w:p>
        </w:tc>
        <w:tc>
          <w:tcPr>
            <w:tcW w:w="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$ 240</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$ 9,868</w:t>
            </w:r>
          </w:p>
        </w:tc>
      </w:tr>
      <w:tr>
        <w:trPr>
          <w:trHeight w:val="183"/>
        </w:trPr>
        <w:tc>
          <w:tcPr>
            <w:tcW w:w="1400" w:type="dxa"/>
            <w:vAlign w:val="bottom"/>
            <w:tcBorders>
              <w:bottom w:val="single" w:sz="8" w:color="auto"/>
            </w:tcBorders>
          </w:tcPr>
          <w:p>
            <w:pPr>
              <w:ind w:left="20"/>
              <w:spacing w:after="0" w:line="183" w:lineRule="exact"/>
              <w:rPr>
                <w:sz w:val="20"/>
                <w:szCs w:val="20"/>
                <w:color w:val="auto"/>
              </w:rPr>
            </w:pPr>
            <w:r>
              <w:rPr>
                <w:rFonts w:ascii="Arial" w:cs="Arial" w:eastAsia="Arial" w:hAnsi="Arial"/>
                <w:sz w:val="16"/>
                <w:szCs w:val="16"/>
                <w:color w:val="auto"/>
              </w:rPr>
              <w:t>Mr. Mulva</w:t>
            </w:r>
          </w:p>
        </w:tc>
        <w:tc>
          <w:tcPr>
            <w:tcW w:w="1480" w:type="dxa"/>
            <w:vAlign w:val="bottom"/>
            <w:tcBorders>
              <w:bottom w:val="single" w:sz="8" w:color="auto"/>
            </w:tcBorders>
          </w:tcPr>
          <w:p>
            <w:pPr>
              <w:jc w:val="right"/>
              <w:ind w:right="79"/>
              <w:spacing w:after="0" w:line="183" w:lineRule="exact"/>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ind w:left="160"/>
              <w:spacing w:after="0" w:line="183" w:lineRule="exact"/>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9,628</w:t>
            </w:r>
          </w:p>
        </w:tc>
        <w:tc>
          <w:tcPr>
            <w:tcW w:w="64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$ 240</w:t>
            </w:r>
          </w:p>
        </w:tc>
        <w:tc>
          <w:tcPr>
            <w:tcW w:w="6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$ 9,868</w:t>
            </w:r>
          </w:p>
        </w:tc>
      </w:tr>
      <w:tr>
        <w:trPr>
          <w:trHeight w:val="183"/>
        </w:trPr>
        <w:tc>
          <w:tcPr>
            <w:tcW w:w="1400" w:type="dxa"/>
            <w:vAlign w:val="bottom"/>
            <w:tcBorders>
              <w:bottom w:val="single" w:sz="8" w:color="auto"/>
            </w:tcBorders>
          </w:tcPr>
          <w:p>
            <w:pPr>
              <w:ind w:left="20"/>
              <w:spacing w:after="0" w:line="183" w:lineRule="exact"/>
              <w:rPr>
                <w:sz w:val="20"/>
                <w:szCs w:val="20"/>
                <w:color w:val="auto"/>
              </w:rPr>
            </w:pPr>
            <w:r>
              <w:rPr>
                <w:rFonts w:ascii="Arial" w:cs="Arial" w:eastAsia="Arial" w:hAnsi="Arial"/>
                <w:sz w:val="16"/>
                <w:szCs w:val="16"/>
                <w:color w:val="auto"/>
              </w:rPr>
              <w:t>Ms. Russo</w:t>
            </w:r>
          </w:p>
        </w:tc>
        <w:tc>
          <w:tcPr>
            <w:tcW w:w="1480" w:type="dxa"/>
            <w:vAlign w:val="bottom"/>
            <w:tcBorders>
              <w:bottom w:val="single" w:sz="8" w:color="auto"/>
            </w:tcBorders>
          </w:tcPr>
          <w:p>
            <w:pPr>
              <w:jc w:val="right"/>
              <w:ind w:right="79"/>
              <w:spacing w:after="0" w:line="183" w:lineRule="exact"/>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ind w:left="160"/>
              <w:spacing w:after="0" w:line="183" w:lineRule="exact"/>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9,628</w:t>
            </w:r>
          </w:p>
        </w:tc>
        <w:tc>
          <w:tcPr>
            <w:tcW w:w="64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$ 240</w:t>
            </w:r>
          </w:p>
        </w:tc>
        <w:tc>
          <w:tcPr>
            <w:tcW w:w="6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$ 9,868</w:t>
            </w:r>
          </w:p>
        </w:tc>
      </w:tr>
      <w:tr>
        <w:trPr>
          <w:trHeight w:val="183"/>
        </w:trPr>
        <w:tc>
          <w:tcPr>
            <w:tcW w:w="1400" w:type="dxa"/>
            <w:vAlign w:val="bottom"/>
            <w:tcBorders>
              <w:bottom w:val="single" w:sz="8" w:color="auto"/>
            </w:tcBorders>
          </w:tcPr>
          <w:p>
            <w:pPr>
              <w:ind w:left="20"/>
              <w:spacing w:after="0" w:line="183" w:lineRule="exact"/>
              <w:rPr>
                <w:sz w:val="20"/>
                <w:szCs w:val="20"/>
                <w:color w:val="auto"/>
              </w:rPr>
            </w:pPr>
            <w:r>
              <w:rPr>
                <w:rFonts w:ascii="Arial" w:cs="Arial" w:eastAsia="Arial" w:hAnsi="Arial"/>
                <w:sz w:val="16"/>
                <w:szCs w:val="16"/>
                <w:color w:val="auto"/>
              </w:rPr>
              <w:t>Mr. Schoewe</w:t>
            </w:r>
          </w:p>
        </w:tc>
        <w:tc>
          <w:tcPr>
            <w:tcW w:w="1480" w:type="dxa"/>
            <w:vAlign w:val="bottom"/>
            <w:tcBorders>
              <w:bottom w:val="single" w:sz="8" w:color="auto"/>
            </w:tcBorders>
          </w:tcPr>
          <w:p>
            <w:pPr>
              <w:jc w:val="right"/>
              <w:ind w:right="79"/>
              <w:spacing w:after="0" w:line="183" w:lineRule="exact"/>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ind w:left="160"/>
              <w:spacing w:after="0" w:line="183" w:lineRule="exact"/>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9,628</w:t>
            </w:r>
          </w:p>
        </w:tc>
        <w:tc>
          <w:tcPr>
            <w:tcW w:w="64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$ 240</w:t>
            </w:r>
          </w:p>
        </w:tc>
        <w:tc>
          <w:tcPr>
            <w:tcW w:w="6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$ 9,868</w:t>
            </w:r>
          </w:p>
        </w:tc>
      </w:tr>
      <w:tr>
        <w:trPr>
          <w:trHeight w:val="183"/>
        </w:trPr>
        <w:tc>
          <w:tcPr>
            <w:tcW w:w="1400" w:type="dxa"/>
            <w:vAlign w:val="bottom"/>
            <w:tcBorders>
              <w:bottom w:val="single" w:sz="8" w:color="auto"/>
            </w:tcBorders>
          </w:tcPr>
          <w:p>
            <w:pPr>
              <w:ind w:left="20"/>
              <w:spacing w:after="0" w:line="183" w:lineRule="exact"/>
              <w:rPr>
                <w:sz w:val="20"/>
                <w:szCs w:val="20"/>
                <w:color w:val="auto"/>
              </w:rPr>
            </w:pPr>
            <w:r>
              <w:rPr>
                <w:rFonts w:ascii="Arial" w:cs="Arial" w:eastAsia="Arial" w:hAnsi="Arial"/>
                <w:sz w:val="16"/>
                <w:szCs w:val="16"/>
                <w:color w:val="auto"/>
              </w:rPr>
              <w:t>Mr. Solso</w:t>
            </w:r>
          </w:p>
        </w:tc>
        <w:tc>
          <w:tcPr>
            <w:tcW w:w="1480" w:type="dxa"/>
            <w:vAlign w:val="bottom"/>
            <w:tcBorders>
              <w:bottom w:val="single" w:sz="8" w:color="auto"/>
            </w:tcBorders>
          </w:tcPr>
          <w:p>
            <w:pPr>
              <w:jc w:val="right"/>
              <w:ind w:right="79"/>
              <w:spacing w:after="0" w:line="183" w:lineRule="exact"/>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ind w:left="160"/>
              <w:spacing w:after="0" w:line="183" w:lineRule="exact"/>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9,628</w:t>
            </w:r>
          </w:p>
        </w:tc>
        <w:tc>
          <w:tcPr>
            <w:tcW w:w="64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$ 240</w:t>
            </w:r>
          </w:p>
        </w:tc>
        <w:tc>
          <w:tcPr>
            <w:tcW w:w="6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$ 9,868</w:t>
            </w:r>
          </w:p>
        </w:tc>
      </w:tr>
      <w:tr>
        <w:trPr>
          <w:trHeight w:val="183"/>
        </w:trPr>
        <w:tc>
          <w:tcPr>
            <w:tcW w:w="1400" w:type="dxa"/>
            <w:vAlign w:val="bottom"/>
            <w:tcBorders>
              <w:bottom w:val="single" w:sz="8" w:color="auto"/>
            </w:tcBorders>
          </w:tcPr>
          <w:p>
            <w:pPr>
              <w:ind w:left="20"/>
              <w:spacing w:after="0" w:line="183" w:lineRule="exact"/>
              <w:rPr>
                <w:sz w:val="20"/>
                <w:szCs w:val="20"/>
                <w:color w:val="auto"/>
              </w:rPr>
            </w:pPr>
            <w:r>
              <w:rPr>
                <w:rFonts w:ascii="Arial" w:cs="Arial" w:eastAsia="Arial" w:hAnsi="Arial"/>
                <w:sz w:val="16"/>
                <w:szCs w:val="16"/>
                <w:color w:val="auto"/>
              </w:rPr>
              <w:t>Ms. Stephenson</w:t>
            </w:r>
          </w:p>
        </w:tc>
        <w:tc>
          <w:tcPr>
            <w:tcW w:w="1480" w:type="dxa"/>
            <w:vAlign w:val="bottom"/>
            <w:tcBorders>
              <w:bottom w:val="single" w:sz="8" w:color="auto"/>
            </w:tcBorders>
          </w:tcPr>
          <w:p>
            <w:pPr>
              <w:jc w:val="right"/>
              <w:ind w:right="79"/>
              <w:spacing w:after="0" w:line="183" w:lineRule="exact"/>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ind w:left="160"/>
              <w:spacing w:after="0" w:line="183" w:lineRule="exact"/>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9,628</w:t>
            </w:r>
          </w:p>
        </w:tc>
        <w:tc>
          <w:tcPr>
            <w:tcW w:w="64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$ 240</w:t>
            </w:r>
          </w:p>
        </w:tc>
        <w:tc>
          <w:tcPr>
            <w:tcW w:w="6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$ 9,868</w:t>
            </w:r>
          </w:p>
        </w:tc>
      </w:tr>
    </w:tbl>
    <w:p>
      <w:pPr>
        <w:spacing w:after="0" w:line="211" w:lineRule="exact"/>
        <w:rPr>
          <w:sz w:val="20"/>
          <w:szCs w:val="20"/>
          <w:color w:val="auto"/>
        </w:rPr>
      </w:pPr>
    </w:p>
    <w:p>
      <w:pPr>
        <w:sectPr>
          <w:pgSz w:w="11900" w:h="16838" w:orient="portrait"/>
          <w:cols w:equalWidth="0" w:num="2">
            <w:col w:w="5960" w:space="280"/>
            <w:col w:w="5180"/>
          </w:cols>
          <w:pgMar w:left="240" w:top="225" w:right="239" w:bottom="1440" w:gutter="0" w:footer="0" w:header="0"/>
          <w:type w:val="continuous"/>
        </w:sectPr>
      </w:pPr>
    </w:p>
    <w:p>
      <w:pPr>
        <w:jc w:val="both"/>
        <w:ind w:left="800" w:hanging="259"/>
        <w:spacing w:after="0" w:line="249" w:lineRule="auto"/>
        <w:tabs>
          <w:tab w:leader="none" w:pos="800" w:val="left"/>
        </w:tabs>
        <w:numPr>
          <w:ilvl w:val="1"/>
          <w:numId w:val="12"/>
        </w:numPr>
        <w:rPr>
          <w:rFonts w:ascii="Arial" w:cs="Arial" w:eastAsia="Arial" w:hAnsi="Arial"/>
          <w:sz w:val="14"/>
          <w:szCs w:val="14"/>
          <w:i w:val="1"/>
          <w:iCs w:val="1"/>
          <w:color w:val="auto"/>
        </w:rPr>
      </w:pPr>
      <w:r>
        <w:rPr>
          <w:rFonts w:ascii="Arial" w:cs="Arial" w:eastAsia="Arial" w:hAnsi="Arial"/>
          <w:sz w:val="14"/>
          <w:szCs w:val="14"/>
          <w:i w:val="1"/>
          <w:iCs w:val="1"/>
          <w:color w:val="auto"/>
        </w:rPr>
        <w:t>We assumed the General Motors Corporation Compensation Plan for Non-Employee Directors, and it remains in place with respect to past deferrals of compensation to former directors of General Motors Corporation who are or were members of our Board. The amount reported for Mr. Davis reflects interest on fees deferred in cash-based alternatives. General Motors Corporation did not credit interest at above-market rates. In general, General Motors Corporation did not pay deferred amounts until January following the director’s retirement or separation from its board of directors. General Motors Corporation then paid those amounts, either in lump sum or in annual installments for up to ten years based on the director’s deferral election.</w:t>
      </w:r>
    </w:p>
    <w:p>
      <w:pPr>
        <w:spacing w:after="0" w:line="39" w:lineRule="exact"/>
        <w:rPr>
          <w:rFonts w:ascii="Arial" w:cs="Arial" w:eastAsia="Arial" w:hAnsi="Arial"/>
          <w:sz w:val="14"/>
          <w:szCs w:val="14"/>
          <w:i w:val="1"/>
          <w:iCs w:val="1"/>
          <w:color w:val="auto"/>
        </w:rPr>
      </w:pPr>
    </w:p>
    <w:p>
      <w:pPr>
        <w:jc w:val="both"/>
        <w:ind w:left="800" w:hanging="259"/>
        <w:spacing w:after="0" w:line="260" w:lineRule="auto"/>
        <w:tabs>
          <w:tab w:leader="none" w:pos="800" w:val="left"/>
        </w:tabs>
        <w:numPr>
          <w:ilvl w:val="1"/>
          <w:numId w:val="12"/>
        </w:numPr>
        <w:rPr>
          <w:rFonts w:ascii="Arial" w:cs="Arial" w:eastAsia="Arial" w:hAnsi="Arial"/>
          <w:sz w:val="14"/>
          <w:szCs w:val="14"/>
          <w:i w:val="1"/>
          <w:iCs w:val="1"/>
          <w:color w:val="auto"/>
        </w:rPr>
      </w:pPr>
      <w:r>
        <w:rPr>
          <w:rFonts w:ascii="Arial" w:cs="Arial" w:eastAsia="Arial" w:hAnsi="Arial"/>
          <w:sz w:val="14"/>
          <w:szCs w:val="14"/>
          <w:i w:val="1"/>
          <w:iCs w:val="1"/>
          <w:color w:val="auto"/>
        </w:rPr>
        <w:t>Includes incremental costs for Company vehicles, which are calculated based on the average monthly cost of providing vehicles to all directors, including lost sales opportunity and incentive costs, if any; insurance claims, if any; licensing and registration fees; and use taxes. Taxes related to imputed income are the responsibility of the director.</w:t>
      </w:r>
    </w:p>
    <w:p>
      <w:pPr>
        <w:spacing w:after="0" w:line="30" w:lineRule="exact"/>
        <w:rPr>
          <w:rFonts w:ascii="Arial" w:cs="Arial" w:eastAsia="Arial" w:hAnsi="Arial"/>
          <w:sz w:val="14"/>
          <w:szCs w:val="14"/>
          <w:i w:val="1"/>
          <w:iCs w:val="1"/>
          <w:color w:val="auto"/>
        </w:rPr>
      </w:pPr>
    </w:p>
    <w:p>
      <w:pPr>
        <w:ind w:left="800" w:hanging="255"/>
        <w:spacing w:after="0"/>
        <w:tabs>
          <w:tab w:leader="none" w:pos="800" w:val="left"/>
        </w:tabs>
        <w:numPr>
          <w:ilvl w:val="1"/>
          <w:numId w:val="12"/>
        </w:numPr>
        <w:rPr>
          <w:rFonts w:ascii="Arial" w:cs="Arial" w:eastAsia="Arial" w:hAnsi="Arial"/>
          <w:sz w:val="14"/>
          <w:szCs w:val="14"/>
          <w:i w:val="1"/>
          <w:iCs w:val="1"/>
          <w:color w:val="auto"/>
        </w:rPr>
      </w:pPr>
      <w:r>
        <w:rPr>
          <w:rFonts w:ascii="Arial" w:cs="Arial" w:eastAsia="Arial" w:hAnsi="Arial"/>
          <w:sz w:val="14"/>
          <w:szCs w:val="14"/>
          <w:i w:val="1"/>
          <w:iCs w:val="1"/>
          <w:color w:val="auto"/>
        </w:rPr>
        <w:t>Reflects cost of premiums for providing personal accident insurance (annual premium cost of $240 is prorated, as applicable, for period of service).</w:t>
      </w:r>
    </w:p>
    <w:p>
      <w:pPr>
        <w:spacing w:after="0" w:line="68" w:lineRule="exact"/>
        <w:rPr>
          <w:rFonts w:ascii="Arial" w:cs="Arial" w:eastAsia="Arial" w:hAnsi="Arial"/>
          <w:sz w:val="14"/>
          <w:szCs w:val="14"/>
          <w:i w:val="1"/>
          <w:iCs w:val="1"/>
          <w:color w:val="auto"/>
        </w:rPr>
      </w:pPr>
    </w:p>
    <w:p>
      <w:pPr>
        <w:ind w:left="340" w:hanging="332"/>
        <w:spacing w:after="0"/>
        <w:tabs>
          <w:tab w:leader="none" w:pos="340" w:val="left"/>
        </w:tabs>
        <w:numPr>
          <w:ilvl w:val="0"/>
          <w:numId w:val="13"/>
        </w:numPr>
        <w:rPr>
          <w:rFonts w:ascii="Arial" w:cs="Arial" w:eastAsia="Arial" w:hAnsi="Arial"/>
          <w:sz w:val="14"/>
          <w:szCs w:val="14"/>
          <w:i w:val="1"/>
          <w:iCs w:val="1"/>
          <w:color w:val="auto"/>
        </w:rPr>
      </w:pPr>
      <w:r>
        <w:rPr>
          <w:rFonts w:ascii="Arial" w:cs="Arial" w:eastAsia="Arial" w:hAnsi="Arial"/>
          <w:sz w:val="14"/>
          <w:szCs w:val="14"/>
          <w:i w:val="1"/>
          <w:iCs w:val="1"/>
          <w:color w:val="auto"/>
        </w:rPr>
        <w:t>Mr. Davis resigned from the Board effective June 9, 2015.</w:t>
      </w:r>
    </w:p>
    <w:p>
      <w:pPr>
        <w:spacing w:after="0" w:line="68" w:lineRule="exact"/>
        <w:rPr>
          <w:rFonts w:ascii="Arial" w:cs="Arial" w:eastAsia="Arial" w:hAnsi="Arial"/>
          <w:sz w:val="14"/>
          <w:szCs w:val="14"/>
          <w:i w:val="1"/>
          <w:iCs w:val="1"/>
          <w:color w:val="auto"/>
        </w:rPr>
      </w:pPr>
    </w:p>
    <w:p>
      <w:pPr>
        <w:ind w:left="340" w:hanging="332"/>
        <w:spacing w:after="0"/>
        <w:tabs>
          <w:tab w:leader="none" w:pos="340" w:val="left"/>
        </w:tabs>
        <w:numPr>
          <w:ilvl w:val="0"/>
          <w:numId w:val="13"/>
        </w:numPr>
        <w:rPr>
          <w:rFonts w:ascii="Arial" w:cs="Arial" w:eastAsia="Arial" w:hAnsi="Arial"/>
          <w:sz w:val="14"/>
          <w:szCs w:val="14"/>
          <w:i w:val="1"/>
          <w:iCs w:val="1"/>
          <w:color w:val="auto"/>
        </w:rPr>
      </w:pPr>
      <w:r>
        <w:rPr>
          <w:rFonts w:ascii="Arial" w:cs="Arial" w:eastAsia="Arial" w:hAnsi="Arial"/>
          <w:sz w:val="14"/>
          <w:szCs w:val="14"/>
          <w:i w:val="1"/>
          <w:iCs w:val="1"/>
          <w:color w:val="auto"/>
        </w:rPr>
        <w:t>Ms. Gooden joined the Board on February 5, 2015.</w:t>
      </w:r>
    </w:p>
    <w:p>
      <w:pPr>
        <w:spacing w:after="0" w:line="68" w:lineRule="exact"/>
        <w:rPr>
          <w:rFonts w:ascii="Arial" w:cs="Arial" w:eastAsia="Arial" w:hAnsi="Arial"/>
          <w:sz w:val="14"/>
          <w:szCs w:val="14"/>
          <w:i w:val="1"/>
          <w:iCs w:val="1"/>
          <w:color w:val="auto"/>
        </w:rPr>
      </w:pPr>
    </w:p>
    <w:p>
      <w:pPr>
        <w:ind w:left="340" w:hanging="332"/>
        <w:spacing w:after="0"/>
        <w:tabs>
          <w:tab w:leader="none" w:pos="340" w:val="left"/>
        </w:tabs>
        <w:numPr>
          <w:ilvl w:val="0"/>
          <w:numId w:val="13"/>
        </w:numPr>
        <w:rPr>
          <w:rFonts w:ascii="Arial" w:cs="Arial" w:eastAsia="Arial" w:hAnsi="Arial"/>
          <w:sz w:val="14"/>
          <w:szCs w:val="14"/>
          <w:i w:val="1"/>
          <w:iCs w:val="1"/>
          <w:color w:val="auto"/>
        </w:rPr>
      </w:pPr>
      <w:r>
        <w:rPr>
          <w:rFonts w:ascii="Arial" w:cs="Arial" w:eastAsia="Arial" w:hAnsi="Arial"/>
          <w:sz w:val="14"/>
          <w:szCs w:val="14"/>
          <w:i w:val="1"/>
          <w:iCs w:val="1"/>
          <w:color w:val="auto"/>
        </w:rPr>
        <w:t>Mr. Isdell retired from the Board effective June 9, 2015.</w:t>
      </w:r>
    </w:p>
    <w:p>
      <w:pPr>
        <w:spacing w:after="0" w:line="68" w:lineRule="exact"/>
        <w:rPr>
          <w:rFonts w:ascii="Arial" w:cs="Arial" w:eastAsia="Arial" w:hAnsi="Arial"/>
          <w:sz w:val="14"/>
          <w:szCs w:val="14"/>
          <w:i w:val="1"/>
          <w:iCs w:val="1"/>
          <w:color w:val="auto"/>
        </w:rPr>
      </w:pPr>
    </w:p>
    <w:p>
      <w:pPr>
        <w:ind w:left="340" w:hanging="332"/>
        <w:spacing w:after="0"/>
        <w:tabs>
          <w:tab w:leader="none" w:pos="340" w:val="left"/>
        </w:tabs>
        <w:numPr>
          <w:ilvl w:val="0"/>
          <w:numId w:val="13"/>
        </w:numPr>
        <w:rPr>
          <w:rFonts w:ascii="Arial" w:cs="Arial" w:eastAsia="Arial" w:hAnsi="Arial"/>
          <w:sz w:val="14"/>
          <w:szCs w:val="14"/>
          <w:i w:val="1"/>
          <w:iCs w:val="1"/>
          <w:color w:val="auto"/>
        </w:rPr>
      </w:pPr>
      <w:r>
        <w:rPr>
          <w:rFonts w:ascii="Arial" w:cs="Arial" w:eastAsia="Arial" w:hAnsi="Arial"/>
          <w:sz w:val="14"/>
          <w:szCs w:val="14"/>
          <w:i w:val="1"/>
          <w:iCs w:val="1"/>
          <w:color w:val="auto"/>
        </w:rPr>
        <w:t>Mr. Jimenez joined the Board on June 9, 2015.</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32"/>
          <w:szCs w:val="32"/>
          <w:color w:val="1C90D3"/>
        </w:rPr>
        <w:t>Director Stock Ownership and Holding Requirements</w:t>
      </w:r>
    </w:p>
    <w:p>
      <w:pPr>
        <w:spacing w:after="0" w:line="31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believe significant stock ownership by our directors is another way to align directors’ interests with those of our shareholders. The Board’s Corporate Governance Guidelines establish a stock ownership requirement for non-employee directors intended to enhance the link between the interests of GM’s directors and shareholders. In 2015, our Board adopted a separate policy on director stock ownership and holding requirements. Under this policy, non-employee directors are prohibited from selling any GM securities or derivatives of GM securities such as DSUs while they are members of the Board. This prohibition does not apply to any GM securities or derivatives acquired by a director in compensation for previous service as an employee of the Company. Each non-employee director is required to own our common stock or DSUs with a market value of at least $400,000. Each director has up to five years from the later of the original effective date of the requirement, January 1, 2011, or the date he or she is first elected to the Board to meet this ownership requirement. As of December 31, 2015, all of our directors were in compliance with the director stock ownership requirement, except for Ms. Gooden and Messrs. Ashton and Mullen, each of whom have less than five years of service on the Board. Ownership guidelines are reviewed each year to confirm they continue to be effective in aligning the interests of the Board and our shareholders.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13"/>
        </w:trPr>
        <w:tc>
          <w:tcPr>
            <w:tcW w:w="4340" w:type="dxa"/>
            <w:vAlign w:val="bottom"/>
            <w:tcBorders>
              <w:bottom w:val="single" w:sz="8" w:color="08228B"/>
            </w:tcBorders>
          </w:tcPr>
          <w:p>
            <w:pPr>
              <w:spacing w:after="0"/>
              <w:rPr>
                <w:sz w:val="9"/>
                <w:szCs w:val="9"/>
                <w:color w:val="auto"/>
              </w:rPr>
            </w:pPr>
          </w:p>
        </w:tc>
        <w:tc>
          <w:tcPr>
            <w:tcW w:w="2060" w:type="dxa"/>
            <w:vAlign w:val="bottom"/>
            <w:vMerge w:val="restart"/>
          </w:tcPr>
          <w:p>
            <w:pPr>
              <w:ind w:left="60"/>
              <w:spacing w:after="0"/>
              <w:rPr>
                <w:sz w:val="20"/>
                <w:szCs w:val="20"/>
                <w:color w:val="auto"/>
              </w:rPr>
            </w:pPr>
            <w:r>
              <w:rPr>
                <w:rFonts w:ascii="Arial" w:cs="Arial" w:eastAsia="Arial" w:hAnsi="Arial"/>
                <w:sz w:val="16"/>
                <w:szCs w:val="16"/>
                <w:b w:val="1"/>
                <w:bCs w:val="1"/>
                <w:color w:val="1C90D3"/>
              </w:rPr>
              <w:t xml:space="preserve">2016 </w:t>
            </w:r>
            <w:r>
              <w:rPr>
                <w:rFonts w:ascii="Arial" w:cs="Arial" w:eastAsia="Arial" w:hAnsi="Arial"/>
                <w:sz w:val="16"/>
                <w:szCs w:val="16"/>
                <w:color w:val="08228B"/>
              </w:rPr>
              <w:t>PROXY STATEMENT</w:t>
            </w:r>
          </w:p>
        </w:tc>
        <w:tc>
          <w:tcPr>
            <w:tcW w:w="2400" w:type="dxa"/>
            <w:vAlign w:val="bottom"/>
            <w:tcBorders>
              <w:bottom w:val="single" w:sz="8" w:color="08228B"/>
            </w:tcBorders>
          </w:tcPr>
          <w:p>
            <w:pPr>
              <w:spacing w:after="0"/>
              <w:rPr>
                <w:sz w:val="9"/>
                <w:szCs w:val="9"/>
                <w:color w:val="auto"/>
              </w:rPr>
            </w:pPr>
          </w:p>
        </w:tc>
        <w:tc>
          <w:tcPr>
            <w:tcW w:w="2620" w:type="dxa"/>
            <w:vAlign w:val="bottom"/>
            <w:vMerge w:val="restart"/>
          </w:tcPr>
          <w:p>
            <w:pPr>
              <w:jc w:val="right"/>
              <w:ind w:right="39"/>
              <w:spacing w:after="0"/>
              <w:rPr>
                <w:sz w:val="20"/>
                <w:szCs w:val="20"/>
                <w:color w:val="auto"/>
              </w:rPr>
            </w:pPr>
            <w:r>
              <w:rPr>
                <w:rFonts w:ascii="Arial" w:cs="Arial" w:eastAsia="Arial" w:hAnsi="Arial"/>
                <w:sz w:val="16"/>
                <w:szCs w:val="16"/>
                <w:color w:val="08228B"/>
              </w:rPr>
              <w:t>20</w:t>
            </w:r>
          </w:p>
        </w:tc>
        <w:tc>
          <w:tcPr>
            <w:tcW w:w="0" w:type="dxa"/>
            <w:vAlign w:val="bottom"/>
          </w:tcPr>
          <w:p>
            <w:pPr>
              <w:spacing w:after="0"/>
              <w:rPr>
                <w:sz w:val="1"/>
                <w:szCs w:val="1"/>
                <w:color w:val="auto"/>
              </w:rPr>
            </w:pPr>
          </w:p>
        </w:tc>
      </w:tr>
      <w:tr>
        <w:trPr>
          <w:trHeight w:val="82"/>
        </w:trPr>
        <w:tc>
          <w:tcPr>
            <w:tcW w:w="4340" w:type="dxa"/>
            <w:vAlign w:val="bottom"/>
          </w:tcPr>
          <w:p>
            <w:pPr>
              <w:spacing w:after="0"/>
              <w:rPr>
                <w:sz w:val="7"/>
                <w:szCs w:val="7"/>
                <w:color w:val="auto"/>
              </w:rPr>
            </w:pPr>
          </w:p>
        </w:tc>
        <w:tc>
          <w:tcPr>
            <w:tcW w:w="2060" w:type="dxa"/>
            <w:vAlign w:val="bottom"/>
            <w:vMerge w:val="continue"/>
          </w:tcPr>
          <w:p>
            <w:pPr>
              <w:spacing w:after="0"/>
              <w:rPr>
                <w:sz w:val="7"/>
                <w:szCs w:val="7"/>
                <w:color w:val="auto"/>
              </w:rPr>
            </w:pPr>
          </w:p>
        </w:tc>
        <w:tc>
          <w:tcPr>
            <w:tcW w:w="2400" w:type="dxa"/>
            <w:vAlign w:val="bottom"/>
          </w:tcPr>
          <w:p>
            <w:pPr>
              <w:spacing w:after="0"/>
              <w:rPr>
                <w:sz w:val="7"/>
                <w:szCs w:val="7"/>
                <w:color w:val="auto"/>
              </w:rPr>
            </w:pPr>
          </w:p>
        </w:tc>
        <w:tc>
          <w:tcPr>
            <w:tcW w:w="2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7"/>
        </w:trPr>
        <w:tc>
          <w:tcPr>
            <w:tcW w:w="4340" w:type="dxa"/>
            <w:vAlign w:val="bottom"/>
            <w:tcBorders>
              <w:bottom w:val="single" w:sz="8" w:color="C0C0C0"/>
            </w:tcBorders>
          </w:tcPr>
          <w:p>
            <w:pPr>
              <w:spacing w:after="0"/>
              <w:rPr>
                <w:sz w:val="24"/>
                <w:szCs w:val="24"/>
                <w:color w:val="auto"/>
              </w:rPr>
            </w:pPr>
          </w:p>
        </w:tc>
        <w:tc>
          <w:tcPr>
            <w:tcW w:w="2060" w:type="dxa"/>
            <w:vAlign w:val="bottom"/>
            <w:tcBorders>
              <w:bottom w:val="single" w:sz="8" w:color="C0C0C0"/>
            </w:tcBorders>
          </w:tcPr>
          <w:p>
            <w:pPr>
              <w:spacing w:after="0"/>
              <w:rPr>
                <w:sz w:val="24"/>
                <w:szCs w:val="24"/>
                <w:color w:val="auto"/>
              </w:rPr>
            </w:pPr>
          </w:p>
        </w:tc>
        <w:tc>
          <w:tcPr>
            <w:tcW w:w="2400" w:type="dxa"/>
            <w:vAlign w:val="bottom"/>
            <w:tcBorders>
              <w:bottom w:val="single" w:sz="8" w:color="C0C0C0"/>
            </w:tcBorders>
          </w:tcPr>
          <w:p>
            <w:pPr>
              <w:spacing w:after="0"/>
              <w:rPr>
                <w:sz w:val="24"/>
                <w:szCs w:val="24"/>
                <w:color w:val="auto"/>
              </w:rPr>
            </w:pPr>
          </w:p>
        </w:tc>
        <w:tc>
          <w:tcPr>
            <w:tcW w:w="262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5613400</wp:posOffset>
            </wp:positionH>
            <wp:positionV relativeFrom="paragraph">
              <wp:posOffset>-334010</wp:posOffset>
            </wp:positionV>
            <wp:extent cx="1286510" cy="8572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86510" cy="8572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Back to Contents</w:t>
        </w:r>
      </w:hyperlink>
    </w:p>
    <w:p>
      <w:pPr>
        <w:spacing w:after="0" w:line="200" w:lineRule="exact"/>
        <w:rPr>
          <w:sz w:val="20"/>
          <w:szCs w:val="20"/>
          <w:color w:val="auto"/>
        </w:rPr>
      </w:pPr>
    </w:p>
    <w:p>
      <w:pPr>
        <w:spacing w:after="0"/>
        <w:rPr>
          <w:sz w:val="20"/>
          <w:szCs w:val="20"/>
          <w:color w:val="auto"/>
        </w:rPr>
      </w:pPr>
      <w:r>
        <w:rPr>
          <w:rFonts w:ascii="Arial" w:cs="Arial" w:eastAsia="Arial" w:hAnsi="Arial"/>
          <w:sz w:val="40"/>
          <w:szCs w:val="40"/>
          <w:color w:val="08228B"/>
        </w:rPr>
        <w:t>CORPORATE GOVERNANCE</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32"/>
          <w:szCs w:val="32"/>
          <w:color w:val="1C90D3"/>
        </w:rPr>
        <w:t>Role of Board of Directors</w:t>
      </w:r>
    </w:p>
    <w:p>
      <w:pPr>
        <w:spacing w:after="0" w:line="31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GM is governed by a Board of Directors and Committees of the Board that meet throughout the year. The Board is elected by shareholders to oversee and provide guidance on the Company’s business and affairs. The Board is the ultimate decision-making body of the Company, except for those matters reserved to shareholders. The Board oversees management’s activities in connection with proper safeguarding of the assets of the Company, maintenance of appropriate financial and other internal controls, and compliance with applicable laws and regulations and proper governance. The Board is highly engaged in the process of strategic development and oversight of ongoing execution of the Company’s strategic plan. The Board is committed to sound corporate governance policies and practices that are designed and routinely assessed to enable the Company to operate its business responsibly, with integrity, and to position GM to compete more effectively, sustain its success, and build long-term shareholder value.</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32"/>
          <w:szCs w:val="32"/>
          <w:color w:val="1C90D3"/>
        </w:rPr>
        <w:t>Board Size</w:t>
      </w:r>
    </w:p>
    <w:p>
      <w:pPr>
        <w:spacing w:after="0" w:line="31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Board of Directors sets the number of directors from time to time by resolution adopted by a majority of the Board. The Board of Directors is currently composed of 12 members. The Governance Committee reassesses the Board’s size at least annually and has concluded that the Board’s current size is appropriate. The Board has the flexibility to increase or reduce the size of the Board, based upon prevailing facts and circumstances. If any nominee is unable to serve as a director or if any director leaves the Board between annual meetings, the Board, by resolution, may reduce the number of directors or elect an individual to fill the resulting vacancy. If all of the Board’s nominees are elected, the Board will be composed of 12 members immediately following the Annual Meeting.</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32"/>
          <w:szCs w:val="32"/>
          <w:color w:val="1C90D3"/>
        </w:rPr>
        <w:t>“Winning With Integrity” and Code of Ethics</w:t>
      </w:r>
    </w:p>
    <w:p>
      <w:pPr>
        <w:spacing w:after="0" w:line="319"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 xml:space="preserve">The Board is committed to the highest legal and ethical standards in fulfilling its responsibilities. We have adopted a code of business conduct and ethics, “Winning With Integrity: Our Values and Guidelines for Employee Conduct,” that applies to our directors, officers, and employees. The code is available on our website at </w:t>
      </w:r>
      <w:r>
        <w:rPr>
          <w:rFonts w:ascii="Arial" w:cs="Arial" w:eastAsia="Arial" w:hAnsi="Arial"/>
          <w:sz w:val="16"/>
          <w:szCs w:val="16"/>
          <w:i w:val="1"/>
          <w:iCs w:val="1"/>
          <w:color w:val="auto"/>
        </w:rPr>
        <w:t>www.gm.com/investor,</w:t>
      </w:r>
      <w:r>
        <w:rPr>
          <w:rFonts w:ascii="Arial" w:cs="Arial" w:eastAsia="Arial" w:hAnsi="Arial"/>
          <w:sz w:val="16"/>
          <w:szCs w:val="16"/>
          <w:color w:val="auto"/>
        </w:rPr>
        <w:t xml:space="preserve"> under “Corporate Governance” and is available in print upon request. We will post any updates to the code on our website.</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32"/>
          <w:szCs w:val="32"/>
          <w:color w:val="1C90D3"/>
        </w:rPr>
        <w:t>Corporate Governance Guidelines</w:t>
      </w:r>
    </w:p>
    <w:p>
      <w:pPr>
        <w:spacing w:after="0" w:line="31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 xml:space="preserve">Our Board has adopted a governance structure that promotes the best interests of our shareholders. The Board’s Corporate Governance Guidelines form a transparent framework for the effective governance of the Company. The Governance Committee regularly considers the Board’s Corporate Governance Guidelines and periodically recommends to our Board the adoption of amendments in response to changing regulations, evolving best practices, and shareholder concerns. Our Corporate Governance Guidelines, Certificate of Incorporation, Bylaws, Board Committee Charters, and other governance materials are available on our website at </w:t>
      </w:r>
      <w:r>
        <w:rPr>
          <w:rFonts w:ascii="Arial" w:cs="Arial" w:eastAsia="Arial" w:hAnsi="Arial"/>
          <w:sz w:val="16"/>
          <w:szCs w:val="16"/>
          <w:i w:val="1"/>
          <w:iCs w:val="1"/>
          <w:color w:val="auto"/>
        </w:rPr>
        <w:t>www.gm.com/investor</w:t>
      </w:r>
      <w:r>
        <w:rPr>
          <w:rFonts w:ascii="Arial" w:cs="Arial" w:eastAsia="Arial" w:hAnsi="Arial"/>
          <w:sz w:val="16"/>
          <w:szCs w:val="16"/>
          <w:color w:val="auto"/>
        </w:rPr>
        <w:t xml:space="preserve"> under “Corporate Governance.” To obtain a copy of these materials, see </w:t>
      </w:r>
      <w:r>
        <w:rPr>
          <w:rFonts w:ascii="Arial" w:cs="Arial" w:eastAsia="Arial" w:hAnsi="Arial"/>
          <w:sz w:val="16"/>
          <w:szCs w:val="16"/>
          <w:i w:val="1"/>
          <w:iCs w:val="1"/>
          <w:color w:val="auto"/>
        </w:rPr>
        <w:t>“How can I obtain the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Company’s corporate governance information?” </w:t>
      </w:r>
      <w:r>
        <w:rPr>
          <w:rFonts w:ascii="Arial" w:cs="Arial" w:eastAsia="Arial" w:hAnsi="Arial"/>
          <w:sz w:val="16"/>
          <w:szCs w:val="16"/>
          <w:color w:val="auto"/>
        </w:rPr>
        <w:t>on page 74.</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13"/>
        </w:trPr>
        <w:tc>
          <w:tcPr>
            <w:tcW w:w="4340" w:type="dxa"/>
            <w:vAlign w:val="bottom"/>
            <w:tcBorders>
              <w:bottom w:val="single" w:sz="8" w:color="08228B"/>
            </w:tcBorders>
          </w:tcPr>
          <w:p>
            <w:pPr>
              <w:spacing w:after="0"/>
              <w:rPr>
                <w:sz w:val="9"/>
                <w:szCs w:val="9"/>
                <w:color w:val="auto"/>
              </w:rPr>
            </w:pPr>
          </w:p>
        </w:tc>
        <w:tc>
          <w:tcPr>
            <w:tcW w:w="2060" w:type="dxa"/>
            <w:vAlign w:val="bottom"/>
            <w:vMerge w:val="restart"/>
          </w:tcPr>
          <w:p>
            <w:pPr>
              <w:ind w:left="60"/>
              <w:spacing w:after="0"/>
              <w:rPr>
                <w:sz w:val="20"/>
                <w:szCs w:val="20"/>
                <w:color w:val="auto"/>
              </w:rPr>
            </w:pPr>
            <w:r>
              <w:rPr>
                <w:rFonts w:ascii="Arial" w:cs="Arial" w:eastAsia="Arial" w:hAnsi="Arial"/>
                <w:sz w:val="16"/>
                <w:szCs w:val="16"/>
                <w:b w:val="1"/>
                <w:bCs w:val="1"/>
                <w:color w:val="1C90D3"/>
              </w:rPr>
              <w:t xml:space="preserve">2016 </w:t>
            </w:r>
            <w:r>
              <w:rPr>
                <w:rFonts w:ascii="Arial" w:cs="Arial" w:eastAsia="Arial" w:hAnsi="Arial"/>
                <w:sz w:val="16"/>
                <w:szCs w:val="16"/>
                <w:color w:val="08228B"/>
              </w:rPr>
              <w:t>PROXY STATEMENT</w:t>
            </w:r>
          </w:p>
        </w:tc>
        <w:tc>
          <w:tcPr>
            <w:tcW w:w="2400" w:type="dxa"/>
            <w:vAlign w:val="bottom"/>
            <w:tcBorders>
              <w:bottom w:val="single" w:sz="8" w:color="08228B"/>
            </w:tcBorders>
          </w:tcPr>
          <w:p>
            <w:pPr>
              <w:spacing w:after="0"/>
              <w:rPr>
                <w:sz w:val="9"/>
                <w:szCs w:val="9"/>
                <w:color w:val="auto"/>
              </w:rPr>
            </w:pPr>
          </w:p>
        </w:tc>
        <w:tc>
          <w:tcPr>
            <w:tcW w:w="2620" w:type="dxa"/>
            <w:vAlign w:val="bottom"/>
            <w:vMerge w:val="restart"/>
          </w:tcPr>
          <w:p>
            <w:pPr>
              <w:jc w:val="right"/>
              <w:ind w:right="39"/>
              <w:spacing w:after="0"/>
              <w:rPr>
                <w:sz w:val="20"/>
                <w:szCs w:val="20"/>
                <w:color w:val="auto"/>
              </w:rPr>
            </w:pPr>
            <w:r>
              <w:rPr>
                <w:rFonts w:ascii="Arial" w:cs="Arial" w:eastAsia="Arial" w:hAnsi="Arial"/>
                <w:sz w:val="16"/>
                <w:szCs w:val="16"/>
                <w:color w:val="08228B"/>
              </w:rPr>
              <w:t>21</w:t>
            </w:r>
          </w:p>
        </w:tc>
        <w:tc>
          <w:tcPr>
            <w:tcW w:w="0" w:type="dxa"/>
            <w:vAlign w:val="bottom"/>
          </w:tcPr>
          <w:p>
            <w:pPr>
              <w:spacing w:after="0"/>
              <w:rPr>
                <w:sz w:val="1"/>
                <w:szCs w:val="1"/>
                <w:color w:val="auto"/>
              </w:rPr>
            </w:pPr>
          </w:p>
        </w:tc>
      </w:tr>
      <w:tr>
        <w:trPr>
          <w:trHeight w:val="82"/>
        </w:trPr>
        <w:tc>
          <w:tcPr>
            <w:tcW w:w="4340" w:type="dxa"/>
            <w:vAlign w:val="bottom"/>
          </w:tcPr>
          <w:p>
            <w:pPr>
              <w:spacing w:after="0"/>
              <w:rPr>
                <w:sz w:val="7"/>
                <w:szCs w:val="7"/>
                <w:color w:val="auto"/>
              </w:rPr>
            </w:pPr>
          </w:p>
        </w:tc>
        <w:tc>
          <w:tcPr>
            <w:tcW w:w="2060" w:type="dxa"/>
            <w:vAlign w:val="bottom"/>
            <w:vMerge w:val="continue"/>
          </w:tcPr>
          <w:p>
            <w:pPr>
              <w:spacing w:after="0"/>
              <w:rPr>
                <w:sz w:val="7"/>
                <w:szCs w:val="7"/>
                <w:color w:val="auto"/>
              </w:rPr>
            </w:pPr>
          </w:p>
        </w:tc>
        <w:tc>
          <w:tcPr>
            <w:tcW w:w="2400" w:type="dxa"/>
            <w:vAlign w:val="bottom"/>
          </w:tcPr>
          <w:p>
            <w:pPr>
              <w:spacing w:after="0"/>
              <w:rPr>
                <w:sz w:val="7"/>
                <w:szCs w:val="7"/>
                <w:color w:val="auto"/>
              </w:rPr>
            </w:pPr>
          </w:p>
        </w:tc>
        <w:tc>
          <w:tcPr>
            <w:tcW w:w="2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7"/>
        </w:trPr>
        <w:tc>
          <w:tcPr>
            <w:tcW w:w="4340" w:type="dxa"/>
            <w:vAlign w:val="bottom"/>
            <w:tcBorders>
              <w:bottom w:val="single" w:sz="8" w:color="C0C0C0"/>
            </w:tcBorders>
          </w:tcPr>
          <w:p>
            <w:pPr>
              <w:spacing w:after="0"/>
              <w:rPr>
                <w:sz w:val="24"/>
                <w:szCs w:val="24"/>
                <w:color w:val="auto"/>
              </w:rPr>
            </w:pPr>
          </w:p>
        </w:tc>
        <w:tc>
          <w:tcPr>
            <w:tcW w:w="2060" w:type="dxa"/>
            <w:vAlign w:val="bottom"/>
            <w:tcBorders>
              <w:bottom w:val="single" w:sz="8" w:color="C0C0C0"/>
            </w:tcBorders>
          </w:tcPr>
          <w:p>
            <w:pPr>
              <w:spacing w:after="0"/>
              <w:rPr>
                <w:sz w:val="24"/>
                <w:szCs w:val="24"/>
                <w:color w:val="auto"/>
              </w:rPr>
            </w:pPr>
          </w:p>
        </w:tc>
        <w:tc>
          <w:tcPr>
            <w:tcW w:w="2400" w:type="dxa"/>
            <w:vAlign w:val="bottom"/>
            <w:tcBorders>
              <w:bottom w:val="single" w:sz="8" w:color="C0C0C0"/>
            </w:tcBorders>
          </w:tcPr>
          <w:p>
            <w:pPr>
              <w:spacing w:after="0"/>
              <w:rPr>
                <w:sz w:val="24"/>
                <w:szCs w:val="24"/>
                <w:color w:val="auto"/>
              </w:rPr>
            </w:pPr>
          </w:p>
        </w:tc>
        <w:tc>
          <w:tcPr>
            <w:tcW w:w="262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5613400</wp:posOffset>
            </wp:positionH>
            <wp:positionV relativeFrom="paragraph">
              <wp:posOffset>-334010</wp:posOffset>
            </wp:positionV>
            <wp:extent cx="1286510" cy="8572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86510" cy="8572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Back to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32"/>
          <w:szCs w:val="32"/>
          <w:color w:val="1C90D3"/>
        </w:rPr>
        <w:t>Director Independence</w:t>
      </w:r>
    </w:p>
    <w:p>
      <w:pPr>
        <w:spacing w:after="0" w:line="31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Board’s Corporate Governance Guidelines define our standards for director independence, based on all applicable New York Stock Exchange (“NYSE”) and U.S. Securities and Exchange Commission (“SEC”) requirements. At least two-thirds of our directors are and must continue to be independent under these standards. The Governance Committee assesses the independence of each director, applying the criteria in our Corporate Governance Guidelines, and makes recommendations to the Board. For a director or director nominee to be “independent,” the Board must affirmatively determine that the director has no material relationship with the Company other than his or her service as a director. In addition, members of the Audit and Compensation Committees must meet heightened independence standards applicable under NYSE and SEC rules, which provide that they may not be affiliates and may not accept directly or indirectly any consulting, advisory, or other compensatory fee from the Company or any of its subsidiaries other than their compensation for service as directors.</w:t>
      </w:r>
    </w:p>
    <w:p>
      <w:pPr>
        <w:spacing w:after="0" w:line="37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Consistent with the standards described above, the Board has reviewed all relationships between the Company and each director and director nominee, considering quantitative and qualitative criteria, and affirmatively has determined that all directors and director nominees other than Mr. Ashton, Mr. Girsky, and Ms. Barra are independent. Mr. Ashton is not independent because of his long-term affiliation with the UAW and the ties between the Company and the UAW. Mr. Girsky is not independent because of his former employment with the Company. Ms. Barra is not independent because she currently holds the position of CEO.</w:t>
      </w:r>
    </w:p>
    <w:p>
      <w:pPr>
        <w:spacing w:after="0" w:line="17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recommending to the Board that each non-employee director and director nominee be found independent, the Governance Committee considered whether there were any other facts or circumstances that might impair a director’s independence. In particular, the Governance Committee evaluated charitable contributions that GM (including the GM Foundation) has made to nonprofit organizations with which our directors are or have been associated. None of these transactions was material to either GM or the director or director nominee. The Governance Committee also considered that GM, in the ordinary course of business, during the last three years, has sold fleet vehicles to and purchased products and services from companies at which some of our directors serve as non-employee directors. The Board determined that these transactions were not material to GM or the other companies involved and that none of our directors had a material interest in the transaction with these companies. In each case, these transactions were in the ordinary course of business for GM and the other companies involved and were on terms and conditions available to similarly situated customers and suppliers. Therefore, they did not impair the respective director’s independence.</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32"/>
          <w:szCs w:val="32"/>
          <w:color w:val="1C90D3"/>
        </w:rPr>
        <w:t>Board Leadership Structure</w:t>
      </w:r>
    </w:p>
    <w:p>
      <w:pPr>
        <w:spacing w:after="0" w:line="31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Board has the flexibility to decide when the positions of Chairman and Chief Executive Officer should be combined or separate and whether an executive or independent director should be Chairman. This approach is designed to allow the Board to choose the most appropriate leadership structure for the Company to best serve the interests of our shareholders at the relevant time.</w:t>
      </w:r>
    </w:p>
    <w:p>
      <w:pPr>
        <w:spacing w:after="0" w:line="17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January 2016, the Board recombined the positions of Chairman and CEO under the leadership of Ms. Barra and designated Mr. Solso as Independent Lead Director. The Board determined that this structure provides a clear and unified strategic vision for GM during a time of unprecedented industry change. As the individual with primary responsibility for managing the Company, Ms. Barra’s in-depth knowledge of our businesses and understanding of day-to-day operations brings focused leadership to our Board. The structure also reinforces accountability for the Company’s performance.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08228B"/>
        </w:rPr>
        <w:t>Board Oversight</w:t>
      </w:r>
    </w:p>
    <w:p>
      <w:pPr>
        <w:spacing w:after="0" w:line="187"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The Board’s key duties include strategic, compliance, and governance oversight, as well as CEO succession. In each of these areas, the Board determined that a combined role of Chairman and CEO, with the presence of a strong Independent Lead Director, is the right Board leadership structure for GM at this time. Further, our Board’s key Committees, Audit, Executive Compensation, and Governance and Corporate Responsibility are composed of all independent directors.</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08228B"/>
        </w:rPr>
        <w:t>Long-Term Strategic Vision</w:t>
      </w:r>
    </w:p>
    <w:p>
      <w:pPr>
        <w:spacing w:after="0" w:line="18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Ms. Barra and her leadership team developed a clear strategic vision to lead the Company into a new era of mobility, positioning GM to grow in this period of rapid change and disruption. As Chairman and CEO, Ms. Barra is able to focus the Board’s oversight of management’s execution of this strategy in an efficient and streamlined manner and bring pressing issues before the independent directors expeditiously.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08228B"/>
        </w:rPr>
        <w:t>Compliance</w:t>
      </w:r>
    </w:p>
    <w:p>
      <w:pPr>
        <w:spacing w:after="0" w:line="187"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Ms. Barra has been a key leader as the Company has reset its culture of safety and focuses on putting the customer at the center of everything we do. As Chairman, she is able to facilitate the Board’s continued strong oversight of compliance and enterprise risk management programs.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08228B"/>
        </w:rPr>
        <w:t>Governance</w:t>
      </w:r>
    </w:p>
    <w:p>
      <w:pPr>
        <w:spacing w:after="0" w:line="18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independent directors demonstrate the objective thinking that is expected of boards today. And our Independent Lead Director, Mr. Solso, is a proven leader with an objective viewpoint. When the Board appointed Mr. Solso as Independent Lead Director, it also strengthened the responsibilities of Lead Director to include additional duties, to further promote independent, objective oversight. The duties of our Independent Lead Director are set forth below.</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08228B"/>
        </w:rPr>
        <w:t>Succession Planning</w:t>
      </w:r>
    </w:p>
    <w:p>
      <w:pPr>
        <w:spacing w:after="0" w:line="18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CEO succession planning is conducted annually by the full Board and led by the Lead Director. This fundamental Board process will remain very robust through the change in Board leadership under Mr. Solso.</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13"/>
        </w:trPr>
        <w:tc>
          <w:tcPr>
            <w:tcW w:w="4340" w:type="dxa"/>
            <w:vAlign w:val="bottom"/>
            <w:tcBorders>
              <w:bottom w:val="single" w:sz="8" w:color="08228B"/>
            </w:tcBorders>
          </w:tcPr>
          <w:p>
            <w:pPr>
              <w:spacing w:after="0"/>
              <w:rPr>
                <w:sz w:val="9"/>
                <w:szCs w:val="9"/>
                <w:color w:val="auto"/>
              </w:rPr>
            </w:pPr>
          </w:p>
        </w:tc>
        <w:tc>
          <w:tcPr>
            <w:tcW w:w="2060" w:type="dxa"/>
            <w:vAlign w:val="bottom"/>
            <w:vMerge w:val="restart"/>
          </w:tcPr>
          <w:p>
            <w:pPr>
              <w:ind w:left="60"/>
              <w:spacing w:after="0"/>
              <w:rPr>
                <w:sz w:val="20"/>
                <w:szCs w:val="20"/>
                <w:color w:val="auto"/>
              </w:rPr>
            </w:pPr>
            <w:r>
              <w:rPr>
                <w:rFonts w:ascii="Arial" w:cs="Arial" w:eastAsia="Arial" w:hAnsi="Arial"/>
                <w:sz w:val="16"/>
                <w:szCs w:val="16"/>
                <w:b w:val="1"/>
                <w:bCs w:val="1"/>
                <w:color w:val="1C90D3"/>
              </w:rPr>
              <w:t xml:space="preserve">2016 </w:t>
            </w:r>
            <w:r>
              <w:rPr>
                <w:rFonts w:ascii="Arial" w:cs="Arial" w:eastAsia="Arial" w:hAnsi="Arial"/>
                <w:sz w:val="16"/>
                <w:szCs w:val="16"/>
                <w:color w:val="08228B"/>
              </w:rPr>
              <w:t>PROXY STATEMENT</w:t>
            </w:r>
          </w:p>
        </w:tc>
        <w:tc>
          <w:tcPr>
            <w:tcW w:w="2400" w:type="dxa"/>
            <w:vAlign w:val="bottom"/>
            <w:tcBorders>
              <w:bottom w:val="single" w:sz="8" w:color="08228B"/>
            </w:tcBorders>
          </w:tcPr>
          <w:p>
            <w:pPr>
              <w:spacing w:after="0"/>
              <w:rPr>
                <w:sz w:val="9"/>
                <w:szCs w:val="9"/>
                <w:color w:val="auto"/>
              </w:rPr>
            </w:pPr>
          </w:p>
        </w:tc>
        <w:tc>
          <w:tcPr>
            <w:tcW w:w="2620" w:type="dxa"/>
            <w:vAlign w:val="bottom"/>
            <w:vMerge w:val="restart"/>
          </w:tcPr>
          <w:p>
            <w:pPr>
              <w:jc w:val="right"/>
              <w:ind w:right="39"/>
              <w:spacing w:after="0"/>
              <w:rPr>
                <w:sz w:val="20"/>
                <w:szCs w:val="20"/>
                <w:color w:val="auto"/>
              </w:rPr>
            </w:pPr>
            <w:r>
              <w:rPr>
                <w:rFonts w:ascii="Arial" w:cs="Arial" w:eastAsia="Arial" w:hAnsi="Arial"/>
                <w:sz w:val="16"/>
                <w:szCs w:val="16"/>
                <w:color w:val="08228B"/>
              </w:rPr>
              <w:t>22</w:t>
            </w:r>
          </w:p>
        </w:tc>
        <w:tc>
          <w:tcPr>
            <w:tcW w:w="0" w:type="dxa"/>
            <w:vAlign w:val="bottom"/>
          </w:tcPr>
          <w:p>
            <w:pPr>
              <w:spacing w:after="0"/>
              <w:rPr>
                <w:sz w:val="1"/>
                <w:szCs w:val="1"/>
                <w:color w:val="auto"/>
              </w:rPr>
            </w:pPr>
          </w:p>
        </w:tc>
      </w:tr>
      <w:tr>
        <w:trPr>
          <w:trHeight w:val="82"/>
        </w:trPr>
        <w:tc>
          <w:tcPr>
            <w:tcW w:w="4340" w:type="dxa"/>
            <w:vAlign w:val="bottom"/>
          </w:tcPr>
          <w:p>
            <w:pPr>
              <w:spacing w:after="0"/>
              <w:rPr>
                <w:sz w:val="7"/>
                <w:szCs w:val="7"/>
                <w:color w:val="auto"/>
              </w:rPr>
            </w:pPr>
          </w:p>
        </w:tc>
        <w:tc>
          <w:tcPr>
            <w:tcW w:w="2060" w:type="dxa"/>
            <w:vAlign w:val="bottom"/>
            <w:vMerge w:val="continue"/>
          </w:tcPr>
          <w:p>
            <w:pPr>
              <w:spacing w:after="0"/>
              <w:rPr>
                <w:sz w:val="7"/>
                <w:szCs w:val="7"/>
                <w:color w:val="auto"/>
              </w:rPr>
            </w:pPr>
          </w:p>
        </w:tc>
        <w:tc>
          <w:tcPr>
            <w:tcW w:w="2400" w:type="dxa"/>
            <w:vAlign w:val="bottom"/>
          </w:tcPr>
          <w:p>
            <w:pPr>
              <w:spacing w:after="0"/>
              <w:rPr>
                <w:sz w:val="7"/>
                <w:szCs w:val="7"/>
                <w:color w:val="auto"/>
              </w:rPr>
            </w:pPr>
          </w:p>
        </w:tc>
        <w:tc>
          <w:tcPr>
            <w:tcW w:w="2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7"/>
        </w:trPr>
        <w:tc>
          <w:tcPr>
            <w:tcW w:w="4340" w:type="dxa"/>
            <w:vAlign w:val="bottom"/>
            <w:tcBorders>
              <w:bottom w:val="single" w:sz="8" w:color="C0C0C0"/>
            </w:tcBorders>
          </w:tcPr>
          <w:p>
            <w:pPr>
              <w:spacing w:after="0"/>
              <w:rPr>
                <w:sz w:val="24"/>
                <w:szCs w:val="24"/>
                <w:color w:val="auto"/>
              </w:rPr>
            </w:pPr>
          </w:p>
        </w:tc>
        <w:tc>
          <w:tcPr>
            <w:tcW w:w="2060" w:type="dxa"/>
            <w:vAlign w:val="bottom"/>
            <w:tcBorders>
              <w:bottom w:val="single" w:sz="8" w:color="C0C0C0"/>
            </w:tcBorders>
          </w:tcPr>
          <w:p>
            <w:pPr>
              <w:spacing w:after="0"/>
              <w:rPr>
                <w:sz w:val="24"/>
                <w:szCs w:val="24"/>
                <w:color w:val="auto"/>
              </w:rPr>
            </w:pPr>
          </w:p>
        </w:tc>
        <w:tc>
          <w:tcPr>
            <w:tcW w:w="2400" w:type="dxa"/>
            <w:vAlign w:val="bottom"/>
            <w:tcBorders>
              <w:bottom w:val="single" w:sz="8" w:color="C0C0C0"/>
            </w:tcBorders>
          </w:tcPr>
          <w:p>
            <w:pPr>
              <w:spacing w:after="0"/>
              <w:rPr>
                <w:sz w:val="24"/>
                <w:szCs w:val="24"/>
                <w:color w:val="auto"/>
              </w:rPr>
            </w:pPr>
          </w:p>
        </w:tc>
        <w:tc>
          <w:tcPr>
            <w:tcW w:w="262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5613400</wp:posOffset>
            </wp:positionH>
            <wp:positionV relativeFrom="paragraph">
              <wp:posOffset>-334010</wp:posOffset>
            </wp:positionV>
            <wp:extent cx="1286510" cy="8572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86510" cy="8572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Back to Contents</w:t>
        </w:r>
      </w:hyperlink>
    </w:p>
    <w:p>
      <w:pPr>
        <w:spacing w:after="0" w:line="176"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FFFFFF"/>
          <w:shd w:val="clear" w:color="auto" w:fill="08228B"/>
        </w:rPr>
        <w:t>COMBINED CHAIRMAN AND CEO ROLE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7186295" cy="489648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86295" cy="489648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220" w:right="380"/>
        <w:spacing w:after="0" w:line="286" w:lineRule="auto"/>
        <w:rPr>
          <w:sz w:val="20"/>
          <w:szCs w:val="20"/>
          <w:color w:val="auto"/>
        </w:rPr>
      </w:pPr>
      <w:r>
        <w:rPr>
          <w:rFonts w:ascii="Arial" w:cs="Arial" w:eastAsia="Arial" w:hAnsi="Arial"/>
          <w:sz w:val="16"/>
          <w:szCs w:val="16"/>
          <w:b w:val="1"/>
          <w:bCs w:val="1"/>
          <w:color w:val="08228B"/>
        </w:rPr>
        <w:t>At a time of fast-paced and unprecedented change, the Board combined the roles of Chairman and CEO and appointed a strong Independent Lead Director. Under Mary Barra and her executive leadership team, the Company has:</w:t>
      </w:r>
    </w:p>
    <w:p>
      <w:pPr>
        <w:spacing w:after="0" w:line="149" w:lineRule="exact"/>
        <w:rPr>
          <w:sz w:val="20"/>
          <w:szCs w:val="20"/>
          <w:color w:val="auto"/>
        </w:rPr>
      </w:pPr>
    </w:p>
    <w:p>
      <w:pPr>
        <w:ind w:left="3440" w:hanging="204"/>
        <w:spacing w:after="0"/>
        <w:tabs>
          <w:tab w:leader="none" w:pos="3440" w:val="left"/>
        </w:tabs>
        <w:numPr>
          <w:ilvl w:val="0"/>
          <w:numId w:val="14"/>
        </w:numPr>
        <w:rPr>
          <w:rFonts w:ascii="Arial" w:cs="Arial" w:eastAsia="Arial" w:hAnsi="Arial"/>
          <w:sz w:val="16"/>
          <w:szCs w:val="16"/>
          <w:color w:val="1C90D3"/>
        </w:rPr>
      </w:pPr>
      <w:r>
        <w:rPr>
          <w:rFonts w:ascii="Arial" w:cs="Arial" w:eastAsia="Arial" w:hAnsi="Arial"/>
          <w:sz w:val="16"/>
          <w:szCs w:val="16"/>
          <w:color w:val="auto"/>
        </w:rPr>
        <w:t>Consistently met business targets</w:t>
      </w:r>
    </w:p>
    <w:p>
      <w:pPr>
        <w:spacing w:after="0" w:line="59" w:lineRule="exact"/>
        <w:rPr>
          <w:rFonts w:ascii="Arial" w:cs="Arial" w:eastAsia="Arial" w:hAnsi="Arial"/>
          <w:sz w:val="16"/>
          <w:szCs w:val="16"/>
          <w:color w:val="1C90D3"/>
        </w:rPr>
      </w:pPr>
    </w:p>
    <w:p>
      <w:pPr>
        <w:ind w:left="3440" w:hanging="204"/>
        <w:spacing w:after="0"/>
        <w:tabs>
          <w:tab w:leader="none" w:pos="3440" w:val="left"/>
        </w:tabs>
        <w:numPr>
          <w:ilvl w:val="0"/>
          <w:numId w:val="14"/>
        </w:numPr>
        <w:rPr>
          <w:rFonts w:ascii="Arial" w:cs="Arial" w:eastAsia="Arial" w:hAnsi="Arial"/>
          <w:sz w:val="16"/>
          <w:szCs w:val="16"/>
          <w:color w:val="1C90D3"/>
        </w:rPr>
      </w:pPr>
      <w:r>
        <w:rPr>
          <w:rFonts w:ascii="Arial" w:cs="Arial" w:eastAsia="Arial" w:hAnsi="Arial"/>
          <w:sz w:val="16"/>
          <w:szCs w:val="16"/>
          <w:color w:val="auto"/>
        </w:rPr>
        <w:t>Set a clear vision for the future – to lead in the future of mobility</w:t>
      </w:r>
    </w:p>
    <w:p>
      <w:pPr>
        <w:spacing w:after="0" w:line="59" w:lineRule="exact"/>
        <w:rPr>
          <w:rFonts w:ascii="Arial" w:cs="Arial" w:eastAsia="Arial" w:hAnsi="Arial"/>
          <w:sz w:val="16"/>
          <w:szCs w:val="16"/>
          <w:color w:val="1C90D3"/>
        </w:rPr>
      </w:pPr>
    </w:p>
    <w:p>
      <w:pPr>
        <w:ind w:left="3440" w:hanging="204"/>
        <w:spacing w:after="0"/>
        <w:tabs>
          <w:tab w:leader="none" w:pos="3440" w:val="left"/>
        </w:tabs>
        <w:numPr>
          <w:ilvl w:val="0"/>
          <w:numId w:val="14"/>
        </w:numPr>
        <w:rPr>
          <w:rFonts w:ascii="Arial" w:cs="Arial" w:eastAsia="Arial" w:hAnsi="Arial"/>
          <w:sz w:val="16"/>
          <w:szCs w:val="16"/>
          <w:color w:val="1C90D3"/>
        </w:rPr>
      </w:pPr>
      <w:r>
        <w:rPr>
          <w:rFonts w:ascii="Arial" w:cs="Arial" w:eastAsia="Arial" w:hAnsi="Arial"/>
          <w:sz w:val="16"/>
          <w:szCs w:val="16"/>
          <w:color w:val="auto"/>
        </w:rPr>
        <w:t>Put a strong leadership team in place – from both inside and outside the Company</w:t>
      </w:r>
    </w:p>
    <w:p>
      <w:pPr>
        <w:sectPr>
          <w:pgSz w:w="11900" w:h="16838" w:orient="portrait"/>
          <w:cols w:equalWidth="0" w:num="1">
            <w:col w:w="11420"/>
          </w:cols>
          <w:pgMar w:left="240" w:top="2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08228B"/>
        </w:rPr>
        <w:t>Key Board responsibilities best led by a combined Chairman and</w:t>
      </w:r>
    </w:p>
    <w:p>
      <w:pPr>
        <w:spacing w:after="0" w:line="25"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08228B"/>
        </w:rPr>
        <w:t>CEO and a strong Independent Lead Director:</w:t>
      </w:r>
    </w:p>
    <w:p>
      <w:pPr>
        <w:spacing w:after="0" w:line="194" w:lineRule="exact"/>
        <w:rPr>
          <w:sz w:val="20"/>
          <w:szCs w:val="20"/>
          <w:color w:val="auto"/>
        </w:rPr>
      </w:pPr>
    </w:p>
    <w:p>
      <w:pPr>
        <w:ind w:left="540" w:right="180" w:hanging="177"/>
        <w:spacing w:after="0" w:line="260" w:lineRule="auto"/>
        <w:rPr>
          <w:sz w:val="20"/>
          <w:szCs w:val="20"/>
          <w:color w:val="auto"/>
        </w:rPr>
      </w:pPr>
      <w:r>
        <w:rPr>
          <w:rFonts w:ascii="Arial" w:cs="Arial" w:eastAsia="Arial" w:hAnsi="Arial"/>
          <w:sz w:val="16"/>
          <w:szCs w:val="16"/>
          <w:color w:val="1C90D3"/>
        </w:rPr>
        <w:t xml:space="preserve">►Strategic Oversight </w:t>
      </w:r>
      <w:r>
        <w:rPr>
          <w:rFonts w:ascii="Arial" w:cs="Arial" w:eastAsia="Arial" w:hAnsi="Arial"/>
          <w:sz w:val="16"/>
          <w:szCs w:val="16"/>
          <w:color w:val="000000"/>
        </w:rPr>
        <w:t>– strategic plan announced in late 2015 and</w:t>
      </w:r>
      <w:r>
        <w:rPr>
          <w:rFonts w:ascii="Arial" w:cs="Arial" w:eastAsia="Arial" w:hAnsi="Arial"/>
          <w:sz w:val="16"/>
          <w:szCs w:val="16"/>
          <w:color w:val="1C90D3"/>
        </w:rPr>
        <w:t xml:space="preserve"> </w:t>
      </w:r>
      <w:r>
        <w:rPr>
          <w:rFonts w:ascii="Arial" w:cs="Arial" w:eastAsia="Arial" w:hAnsi="Arial"/>
          <w:sz w:val="16"/>
          <w:szCs w:val="16"/>
          <w:color w:val="000000"/>
        </w:rPr>
        <w:t>widely endorsed</w:t>
      </w:r>
    </w:p>
    <w:p>
      <w:pPr>
        <w:spacing w:after="0" w:line="34" w:lineRule="exact"/>
        <w:rPr>
          <w:sz w:val="20"/>
          <w:szCs w:val="20"/>
          <w:color w:val="auto"/>
        </w:rPr>
      </w:pPr>
    </w:p>
    <w:p>
      <w:pPr>
        <w:ind w:left="540" w:right="160" w:hanging="177"/>
        <w:spacing w:after="0" w:line="260" w:lineRule="auto"/>
        <w:rPr>
          <w:sz w:val="20"/>
          <w:szCs w:val="20"/>
          <w:color w:val="auto"/>
        </w:rPr>
      </w:pPr>
      <w:r>
        <w:rPr>
          <w:rFonts w:ascii="Arial" w:cs="Arial" w:eastAsia="Arial" w:hAnsi="Arial"/>
          <w:sz w:val="16"/>
          <w:szCs w:val="16"/>
          <w:color w:val="1C90D3"/>
        </w:rPr>
        <w:t xml:space="preserve">►Compliance </w:t>
      </w:r>
      <w:r>
        <w:rPr>
          <w:rFonts w:ascii="Arial" w:cs="Arial" w:eastAsia="Arial" w:hAnsi="Arial"/>
          <w:sz w:val="16"/>
          <w:szCs w:val="16"/>
          <w:color w:val="000000"/>
        </w:rPr>
        <w:t>– instilled culture of safety and putting the customer</w:t>
      </w:r>
      <w:r>
        <w:rPr>
          <w:rFonts w:ascii="Arial" w:cs="Arial" w:eastAsia="Arial" w:hAnsi="Arial"/>
          <w:sz w:val="16"/>
          <w:szCs w:val="16"/>
          <w:color w:val="1C90D3"/>
        </w:rPr>
        <w:t xml:space="preserve"> </w:t>
      </w:r>
      <w:r>
        <w:rPr>
          <w:rFonts w:ascii="Arial" w:cs="Arial" w:eastAsia="Arial" w:hAnsi="Arial"/>
          <w:sz w:val="16"/>
          <w:szCs w:val="16"/>
          <w:color w:val="000000"/>
        </w:rPr>
        <w:t>at the center of everything we do</w:t>
      </w:r>
    </w:p>
    <w:p>
      <w:pPr>
        <w:spacing w:after="0" w:line="34" w:lineRule="exact"/>
        <w:rPr>
          <w:sz w:val="20"/>
          <w:szCs w:val="20"/>
          <w:color w:val="auto"/>
        </w:rPr>
      </w:pPr>
    </w:p>
    <w:p>
      <w:pPr>
        <w:ind w:left="540" w:right="180" w:hanging="177"/>
        <w:spacing w:after="0" w:line="253" w:lineRule="auto"/>
        <w:rPr>
          <w:sz w:val="20"/>
          <w:szCs w:val="20"/>
          <w:color w:val="auto"/>
        </w:rPr>
      </w:pPr>
      <w:r>
        <w:rPr>
          <w:rFonts w:ascii="Arial" w:cs="Arial" w:eastAsia="Arial" w:hAnsi="Arial"/>
          <w:sz w:val="16"/>
          <w:szCs w:val="16"/>
          <w:color w:val="1C90D3"/>
        </w:rPr>
        <w:t xml:space="preserve">►Governance </w:t>
      </w:r>
      <w:r>
        <w:rPr>
          <w:rFonts w:ascii="Arial" w:cs="Arial" w:eastAsia="Arial" w:hAnsi="Arial"/>
          <w:sz w:val="16"/>
          <w:szCs w:val="16"/>
          <w:color w:val="000000"/>
        </w:rPr>
        <w:t>– Board open to feedback and input from investors</w:t>
      </w:r>
      <w:r>
        <w:rPr>
          <w:rFonts w:ascii="Arial" w:cs="Arial" w:eastAsia="Arial" w:hAnsi="Arial"/>
          <w:sz w:val="16"/>
          <w:szCs w:val="16"/>
          <w:color w:val="1C90D3"/>
        </w:rPr>
        <w:t xml:space="preserve"> </w:t>
      </w:r>
      <w:r>
        <w:rPr>
          <w:rFonts w:ascii="Arial" w:cs="Arial" w:eastAsia="Arial" w:hAnsi="Arial"/>
          <w:sz w:val="16"/>
          <w:szCs w:val="16"/>
          <w:color w:val="000000"/>
        </w:rPr>
        <w:t>(proxy access and Director-Shareholder Engagement Policy established)</w:t>
      </w:r>
    </w:p>
    <w:p>
      <w:pPr>
        <w:spacing w:after="0" w:line="39" w:lineRule="exact"/>
        <w:rPr>
          <w:sz w:val="20"/>
          <w:szCs w:val="20"/>
          <w:color w:val="auto"/>
        </w:rPr>
      </w:pPr>
    </w:p>
    <w:p>
      <w:pPr>
        <w:ind w:left="540" w:hanging="177"/>
        <w:spacing w:after="0" w:line="260" w:lineRule="auto"/>
        <w:rPr>
          <w:sz w:val="20"/>
          <w:szCs w:val="20"/>
          <w:color w:val="auto"/>
        </w:rPr>
      </w:pPr>
      <w:r>
        <w:rPr>
          <w:rFonts w:ascii="Arial" w:cs="Arial" w:eastAsia="Arial" w:hAnsi="Arial"/>
          <w:sz w:val="16"/>
          <w:szCs w:val="16"/>
          <w:color w:val="1C90D3"/>
        </w:rPr>
        <w:t xml:space="preserve">►CEO succession planning </w:t>
      </w:r>
      <w:r>
        <w:rPr>
          <w:rFonts w:ascii="Arial" w:cs="Arial" w:eastAsia="Arial" w:hAnsi="Arial"/>
          <w:sz w:val="16"/>
          <w:szCs w:val="16"/>
          <w:color w:val="000000"/>
        </w:rPr>
        <w:t>– led by Independent Lead Director, Mr.</w:t>
      </w:r>
      <w:r>
        <w:rPr>
          <w:rFonts w:ascii="Arial" w:cs="Arial" w:eastAsia="Arial" w:hAnsi="Arial"/>
          <w:sz w:val="16"/>
          <w:szCs w:val="16"/>
          <w:color w:val="1C90D3"/>
        </w:rPr>
        <w:t xml:space="preserve"> </w:t>
      </w:r>
      <w:r>
        <w:rPr>
          <w:rFonts w:ascii="Arial" w:cs="Arial" w:eastAsia="Arial" w:hAnsi="Arial"/>
          <w:sz w:val="16"/>
          <w:szCs w:val="16"/>
          <w:color w:val="000000"/>
        </w:rPr>
        <w:t>Solso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520"/>
        <w:spacing w:after="0" w:line="286" w:lineRule="auto"/>
        <w:rPr>
          <w:sz w:val="20"/>
          <w:szCs w:val="20"/>
          <w:color w:val="auto"/>
        </w:rPr>
      </w:pPr>
      <w:r>
        <w:rPr>
          <w:rFonts w:ascii="Arial" w:cs="Arial" w:eastAsia="Arial" w:hAnsi="Arial"/>
          <w:sz w:val="16"/>
          <w:szCs w:val="16"/>
          <w:b w:val="1"/>
          <w:bCs w:val="1"/>
          <w:color w:val="08228B"/>
        </w:rPr>
        <w:t>New governance structure maintains a strong and independent Board with an Independent Lead Director:</w:t>
      </w:r>
    </w:p>
    <w:p>
      <w:pPr>
        <w:spacing w:after="0" w:line="149" w:lineRule="exact"/>
        <w:rPr>
          <w:sz w:val="20"/>
          <w:szCs w:val="20"/>
          <w:color w:val="auto"/>
        </w:rPr>
      </w:pPr>
    </w:p>
    <w:p>
      <w:pPr>
        <w:ind w:left="380" w:hanging="182"/>
        <w:spacing w:after="0"/>
        <w:tabs>
          <w:tab w:leader="none" w:pos="380" w:val="left"/>
        </w:tabs>
        <w:numPr>
          <w:ilvl w:val="0"/>
          <w:numId w:val="15"/>
        </w:numPr>
        <w:rPr>
          <w:rFonts w:ascii="Arial" w:cs="Arial" w:eastAsia="Arial" w:hAnsi="Arial"/>
          <w:sz w:val="16"/>
          <w:szCs w:val="16"/>
          <w:color w:val="1C90D3"/>
        </w:rPr>
      </w:pPr>
      <w:r>
        <w:rPr>
          <w:rFonts w:ascii="Arial" w:cs="Arial" w:eastAsia="Arial" w:hAnsi="Arial"/>
          <w:sz w:val="16"/>
          <w:szCs w:val="16"/>
          <w:color w:val="auto"/>
        </w:rPr>
        <w:t>Mr. Solso, former Chairman, serving as Independent Lead Director</w:t>
      </w:r>
    </w:p>
    <w:p>
      <w:pPr>
        <w:spacing w:after="0" w:line="248" w:lineRule="exact"/>
        <w:rPr>
          <w:rFonts w:ascii="Arial" w:cs="Arial" w:eastAsia="Arial" w:hAnsi="Arial"/>
          <w:sz w:val="16"/>
          <w:szCs w:val="16"/>
          <w:color w:val="1C90D3"/>
        </w:rPr>
      </w:pPr>
    </w:p>
    <w:p>
      <w:pPr>
        <w:ind w:left="380" w:hanging="182"/>
        <w:spacing w:after="0"/>
        <w:tabs>
          <w:tab w:leader="none" w:pos="380" w:val="left"/>
        </w:tabs>
        <w:numPr>
          <w:ilvl w:val="0"/>
          <w:numId w:val="15"/>
        </w:numPr>
        <w:rPr>
          <w:rFonts w:ascii="Arial" w:cs="Arial" w:eastAsia="Arial" w:hAnsi="Arial"/>
          <w:sz w:val="16"/>
          <w:szCs w:val="16"/>
          <w:color w:val="1C90D3"/>
        </w:rPr>
      </w:pPr>
      <w:r>
        <w:rPr>
          <w:rFonts w:ascii="Arial" w:cs="Arial" w:eastAsia="Arial" w:hAnsi="Arial"/>
          <w:sz w:val="16"/>
          <w:szCs w:val="16"/>
          <w:color w:val="auto"/>
        </w:rPr>
        <w:t>Extremely active and engaged independent Board</w:t>
      </w:r>
    </w:p>
    <w:p>
      <w:pPr>
        <w:spacing w:after="0" w:line="248" w:lineRule="exact"/>
        <w:rPr>
          <w:rFonts w:ascii="Arial" w:cs="Arial" w:eastAsia="Arial" w:hAnsi="Arial"/>
          <w:sz w:val="16"/>
          <w:szCs w:val="16"/>
          <w:color w:val="1C90D3"/>
        </w:rPr>
      </w:pPr>
    </w:p>
    <w:p>
      <w:pPr>
        <w:ind w:left="380" w:hanging="182"/>
        <w:spacing w:after="0"/>
        <w:tabs>
          <w:tab w:leader="none" w:pos="380" w:val="left"/>
        </w:tabs>
        <w:numPr>
          <w:ilvl w:val="0"/>
          <w:numId w:val="15"/>
        </w:numPr>
        <w:rPr>
          <w:rFonts w:ascii="Arial" w:cs="Arial" w:eastAsia="Arial" w:hAnsi="Arial"/>
          <w:sz w:val="16"/>
          <w:szCs w:val="16"/>
          <w:color w:val="1C90D3"/>
        </w:rPr>
      </w:pPr>
      <w:r>
        <w:rPr>
          <w:rFonts w:ascii="Arial" w:cs="Arial" w:eastAsia="Arial" w:hAnsi="Arial"/>
          <w:sz w:val="16"/>
          <w:szCs w:val="16"/>
          <w:color w:val="auto"/>
        </w:rPr>
        <w:t>Only one GM employee on the Board</w:t>
      </w:r>
    </w:p>
    <w:p>
      <w:pPr>
        <w:spacing w:after="0" w:line="1035" w:lineRule="exact"/>
        <w:rPr>
          <w:sz w:val="20"/>
          <w:szCs w:val="20"/>
          <w:color w:val="auto"/>
        </w:rPr>
      </w:pPr>
    </w:p>
    <w:p>
      <w:pPr>
        <w:sectPr>
          <w:pgSz w:w="11900" w:h="16838" w:orient="portrait"/>
          <w:cols w:equalWidth="0" w:num="2">
            <w:col w:w="5280" w:space="240"/>
            <w:col w:w="5900"/>
          </w:cols>
          <w:pgMar w:left="240" w:top="225" w:right="239" w:bottom="1440" w:gutter="0" w:footer="0" w:header="0"/>
          <w:type w:val="continuous"/>
        </w:sectPr>
      </w:pPr>
    </w:p>
    <w:p>
      <w:pPr>
        <w:spacing w:after="0" w:line="326" w:lineRule="exact"/>
        <w:rPr>
          <w:sz w:val="20"/>
          <w:szCs w:val="20"/>
          <w:color w:val="auto"/>
        </w:rPr>
      </w:pPr>
    </w:p>
    <w:p>
      <w:pPr>
        <w:spacing w:after="0"/>
        <w:rPr>
          <w:sz w:val="20"/>
          <w:szCs w:val="20"/>
          <w:color w:val="auto"/>
        </w:rPr>
      </w:pPr>
      <w:r>
        <w:rPr>
          <w:rFonts w:ascii="Arial" w:cs="Arial" w:eastAsia="Arial" w:hAnsi="Arial"/>
          <w:sz w:val="22"/>
          <w:szCs w:val="22"/>
          <w:b w:val="1"/>
          <w:bCs w:val="1"/>
          <w:color w:val="1C90D3"/>
        </w:rPr>
        <w:t>Enhanced Responsibilities of Independent Lead Director</w:t>
      </w:r>
    </w:p>
    <w:p>
      <w:pPr>
        <w:spacing w:after="0" w:line="21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If a GM executive holds the position of Chairman, our independent directors, by the affirmative vote of a majority of all independent directors, designate one of our independent Board members to serve as Independent Lead Director. The duties and responsibilities of our Independent Lead Director, Mr. Solso, include the following:</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540" w:type="dxa"/>
            <w:vAlign w:val="bottom"/>
            <w:gridSpan w:val="2"/>
            <w:shd w:val="clear" w:color="auto" w:fill="E5EFF9"/>
          </w:tcPr>
          <w:p>
            <w:pPr>
              <w:ind w:left="120"/>
              <w:spacing w:after="0"/>
              <w:rPr>
                <w:sz w:val="20"/>
                <w:szCs w:val="20"/>
                <w:color w:val="auto"/>
              </w:rPr>
            </w:pPr>
            <w:r>
              <w:rPr>
                <w:rFonts w:ascii="Arial" w:cs="Arial" w:eastAsia="Arial" w:hAnsi="Arial"/>
                <w:sz w:val="16"/>
                <w:szCs w:val="16"/>
                <w:color w:val="1C90D3"/>
              </w:rPr>
              <w:t xml:space="preserve">► </w:t>
            </w:r>
            <w:r>
              <w:rPr>
                <w:rFonts w:ascii="Arial" w:cs="Arial" w:eastAsia="Arial" w:hAnsi="Arial"/>
                <w:sz w:val="16"/>
                <w:szCs w:val="16"/>
                <w:color w:val="000000"/>
              </w:rPr>
              <w:t>Presiding over all Board meetings when the Chairman is not</w:t>
            </w:r>
          </w:p>
        </w:tc>
        <w:tc>
          <w:tcPr>
            <w:tcW w:w="5760" w:type="dxa"/>
            <w:vAlign w:val="bottom"/>
            <w:gridSpan w:val="4"/>
            <w:shd w:val="clear" w:color="auto" w:fill="E5EFF9"/>
          </w:tcPr>
          <w:p>
            <w:pPr>
              <w:ind w:left="340"/>
              <w:spacing w:after="0"/>
              <w:rPr>
                <w:sz w:val="20"/>
                <w:szCs w:val="20"/>
                <w:color w:val="auto"/>
              </w:rPr>
            </w:pPr>
            <w:r>
              <w:rPr>
                <w:rFonts w:ascii="Arial" w:cs="Arial" w:eastAsia="Arial" w:hAnsi="Arial"/>
                <w:sz w:val="16"/>
                <w:szCs w:val="16"/>
                <w:color w:val="1C90D3"/>
              </w:rPr>
              <w:t xml:space="preserve">► </w:t>
            </w:r>
            <w:r>
              <w:rPr>
                <w:rFonts w:ascii="Arial" w:cs="Arial" w:eastAsia="Arial" w:hAnsi="Arial"/>
                <w:sz w:val="16"/>
                <w:szCs w:val="16"/>
                <w:color w:val="000000"/>
              </w:rPr>
              <w:t>Advising on the scope, quality, quantity, and timeliness of the flow of</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5540" w:type="dxa"/>
            <w:vAlign w:val="bottom"/>
            <w:gridSpan w:val="2"/>
            <w:shd w:val="clear" w:color="auto" w:fill="E5EFF9"/>
          </w:tcPr>
          <w:p>
            <w:pPr>
              <w:ind w:left="320"/>
              <w:spacing w:after="0"/>
              <w:rPr>
                <w:sz w:val="20"/>
                <w:szCs w:val="20"/>
                <w:color w:val="auto"/>
              </w:rPr>
            </w:pPr>
            <w:r>
              <w:rPr>
                <w:rFonts w:ascii="Arial" w:cs="Arial" w:eastAsia="Arial" w:hAnsi="Arial"/>
                <w:sz w:val="16"/>
                <w:szCs w:val="16"/>
                <w:color w:val="auto"/>
              </w:rPr>
              <w:t>present, including executive sessions of non-management directors,</w:t>
            </w:r>
          </w:p>
        </w:tc>
        <w:tc>
          <w:tcPr>
            <w:tcW w:w="5760" w:type="dxa"/>
            <w:vAlign w:val="bottom"/>
            <w:gridSpan w:val="4"/>
            <w:shd w:val="clear" w:color="auto" w:fill="E5EFF9"/>
          </w:tcPr>
          <w:p>
            <w:pPr>
              <w:ind w:left="540"/>
              <w:spacing w:after="0"/>
              <w:rPr>
                <w:sz w:val="20"/>
                <w:szCs w:val="20"/>
                <w:color w:val="auto"/>
              </w:rPr>
            </w:pPr>
            <w:r>
              <w:rPr>
                <w:rFonts w:ascii="Arial" w:cs="Arial" w:eastAsia="Arial" w:hAnsi="Arial"/>
                <w:sz w:val="16"/>
                <w:szCs w:val="16"/>
                <w:color w:val="auto"/>
              </w:rPr>
              <w:t>information between management and the Board and approving Board</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540" w:type="dxa"/>
            <w:vAlign w:val="bottom"/>
            <w:gridSpan w:val="2"/>
            <w:shd w:val="clear" w:color="auto" w:fill="E5EFF9"/>
          </w:tcPr>
          <w:p>
            <w:pPr>
              <w:ind w:left="320"/>
              <w:spacing w:after="0"/>
              <w:rPr>
                <w:sz w:val="20"/>
                <w:szCs w:val="20"/>
                <w:color w:val="auto"/>
              </w:rPr>
            </w:pPr>
            <w:r>
              <w:rPr>
                <w:rFonts w:ascii="Arial" w:cs="Arial" w:eastAsia="Arial" w:hAnsi="Arial"/>
                <w:sz w:val="16"/>
                <w:szCs w:val="16"/>
                <w:color w:val="auto"/>
              </w:rPr>
              <w:t>and advising the Chairman of any actions taken;</w:t>
            </w:r>
          </w:p>
        </w:tc>
        <w:tc>
          <w:tcPr>
            <w:tcW w:w="5500" w:type="dxa"/>
            <w:vAlign w:val="bottom"/>
            <w:gridSpan w:val="3"/>
            <w:shd w:val="clear" w:color="auto" w:fill="E5EFF9"/>
          </w:tcPr>
          <w:p>
            <w:pPr>
              <w:ind w:left="540"/>
              <w:spacing w:after="0"/>
              <w:rPr>
                <w:sz w:val="20"/>
                <w:szCs w:val="20"/>
                <w:color w:val="auto"/>
              </w:rPr>
            </w:pPr>
            <w:r>
              <w:rPr>
                <w:rFonts w:ascii="Arial" w:cs="Arial" w:eastAsia="Arial" w:hAnsi="Arial"/>
                <w:sz w:val="16"/>
                <w:szCs w:val="16"/>
                <w:color w:val="auto"/>
              </w:rPr>
              <w:t>meeting agendas recommended by the Chairman;</w:t>
            </w:r>
          </w:p>
        </w:tc>
        <w:tc>
          <w:tcPr>
            <w:tcW w:w="260" w:type="dxa"/>
            <w:vAlign w:val="bottom"/>
            <w:shd w:val="clear" w:color="auto" w:fill="E5EFF9"/>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540" w:type="dxa"/>
            <w:vAlign w:val="bottom"/>
            <w:gridSpan w:val="2"/>
            <w:shd w:val="clear" w:color="auto" w:fill="E5EFF9"/>
          </w:tcPr>
          <w:p>
            <w:pPr>
              <w:ind w:left="120"/>
              <w:spacing w:after="0"/>
              <w:rPr>
                <w:sz w:val="20"/>
                <w:szCs w:val="20"/>
                <w:color w:val="auto"/>
              </w:rPr>
            </w:pPr>
            <w:r>
              <w:rPr>
                <w:rFonts w:ascii="Arial" w:cs="Arial" w:eastAsia="Arial" w:hAnsi="Arial"/>
                <w:sz w:val="16"/>
                <w:szCs w:val="16"/>
                <w:color w:val="1C90D3"/>
              </w:rPr>
              <w:t xml:space="preserve">► </w:t>
            </w:r>
            <w:r>
              <w:rPr>
                <w:rFonts w:ascii="Arial" w:cs="Arial" w:eastAsia="Arial" w:hAnsi="Arial"/>
                <w:sz w:val="16"/>
                <w:szCs w:val="16"/>
                <w:color w:val="000000"/>
              </w:rPr>
              <w:t>Providing Board leadership if circumstances arise in which the role</w:t>
            </w:r>
          </w:p>
        </w:tc>
        <w:tc>
          <w:tcPr>
            <w:tcW w:w="5760" w:type="dxa"/>
            <w:vAlign w:val="bottom"/>
            <w:gridSpan w:val="4"/>
            <w:shd w:val="clear" w:color="auto" w:fill="E5EFF9"/>
          </w:tcPr>
          <w:p>
            <w:pPr>
              <w:ind w:left="340"/>
              <w:spacing w:after="0"/>
              <w:rPr>
                <w:sz w:val="20"/>
                <w:szCs w:val="20"/>
                <w:color w:val="auto"/>
              </w:rPr>
            </w:pPr>
            <w:r>
              <w:rPr>
                <w:rFonts w:ascii="Arial" w:cs="Arial" w:eastAsia="Arial" w:hAnsi="Arial"/>
                <w:sz w:val="16"/>
                <w:szCs w:val="16"/>
                <w:color w:val="1C90D3"/>
              </w:rPr>
              <w:t xml:space="preserve">► </w:t>
            </w:r>
            <w:r>
              <w:rPr>
                <w:rFonts w:ascii="Arial" w:cs="Arial" w:eastAsia="Arial" w:hAnsi="Arial"/>
                <w:sz w:val="16"/>
                <w:szCs w:val="16"/>
                <w:color w:val="000000"/>
              </w:rPr>
              <w:t>Confirming that Board meeting schedules allow enough time to discuss</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5540" w:type="dxa"/>
            <w:vAlign w:val="bottom"/>
            <w:gridSpan w:val="2"/>
            <w:shd w:val="clear" w:color="auto" w:fill="E5EFF9"/>
          </w:tcPr>
          <w:p>
            <w:pPr>
              <w:ind w:left="320"/>
              <w:spacing w:after="0"/>
              <w:rPr>
                <w:sz w:val="20"/>
                <w:szCs w:val="20"/>
                <w:color w:val="auto"/>
              </w:rPr>
            </w:pPr>
            <w:r>
              <w:rPr>
                <w:rFonts w:ascii="Arial" w:cs="Arial" w:eastAsia="Arial" w:hAnsi="Arial"/>
                <w:sz w:val="16"/>
                <w:szCs w:val="16"/>
                <w:color w:val="auto"/>
              </w:rPr>
              <w:t>of the Chairman is potentially, or perceived to be, in conflict, or if</w:t>
            </w:r>
          </w:p>
        </w:tc>
        <w:tc>
          <w:tcPr>
            <w:tcW w:w="5500" w:type="dxa"/>
            <w:vAlign w:val="bottom"/>
            <w:gridSpan w:val="3"/>
            <w:shd w:val="clear" w:color="auto" w:fill="E5EFF9"/>
          </w:tcPr>
          <w:p>
            <w:pPr>
              <w:ind w:left="540"/>
              <w:spacing w:after="0"/>
              <w:rPr>
                <w:sz w:val="20"/>
                <w:szCs w:val="20"/>
                <w:color w:val="auto"/>
              </w:rPr>
            </w:pPr>
            <w:r>
              <w:rPr>
                <w:rFonts w:ascii="Arial" w:cs="Arial" w:eastAsia="Arial" w:hAnsi="Arial"/>
                <w:sz w:val="16"/>
                <w:szCs w:val="16"/>
                <w:color w:val="auto"/>
              </w:rPr>
              <w:t>all agenda items;</w:t>
            </w:r>
          </w:p>
        </w:tc>
        <w:tc>
          <w:tcPr>
            <w:tcW w:w="260" w:type="dxa"/>
            <w:vAlign w:val="bottom"/>
            <w:shd w:val="clear" w:color="auto" w:fill="E5EFF9"/>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540" w:type="dxa"/>
            <w:vAlign w:val="bottom"/>
            <w:gridSpan w:val="2"/>
            <w:shd w:val="clear" w:color="auto" w:fill="E5EFF9"/>
          </w:tcPr>
          <w:p>
            <w:pPr>
              <w:ind w:left="320"/>
              <w:spacing w:after="0"/>
              <w:rPr>
                <w:sz w:val="20"/>
                <w:szCs w:val="20"/>
                <w:color w:val="auto"/>
              </w:rPr>
            </w:pPr>
            <w:r>
              <w:rPr>
                <w:rFonts w:ascii="Arial" w:cs="Arial" w:eastAsia="Arial" w:hAnsi="Arial"/>
                <w:sz w:val="16"/>
                <w:szCs w:val="16"/>
                <w:color w:val="auto"/>
              </w:rPr>
              <w:t>potential conflicts of interest arise for any director;</w:t>
            </w:r>
          </w:p>
        </w:tc>
        <w:tc>
          <w:tcPr>
            <w:tcW w:w="5500" w:type="dxa"/>
            <w:vAlign w:val="bottom"/>
            <w:gridSpan w:val="3"/>
            <w:vMerge w:val="restart"/>
            <w:shd w:val="clear" w:color="auto" w:fill="E5EFF9"/>
          </w:tcPr>
          <w:p>
            <w:pPr>
              <w:ind w:left="340"/>
              <w:spacing w:after="0"/>
              <w:rPr>
                <w:sz w:val="20"/>
                <w:szCs w:val="20"/>
                <w:color w:val="auto"/>
              </w:rPr>
            </w:pPr>
            <w:r>
              <w:rPr>
                <w:rFonts w:ascii="Arial" w:cs="Arial" w:eastAsia="Arial" w:hAnsi="Arial"/>
                <w:sz w:val="16"/>
                <w:szCs w:val="16"/>
                <w:color w:val="1C90D3"/>
              </w:rPr>
              <w:t xml:space="preserve">► </w:t>
            </w:r>
            <w:r>
              <w:rPr>
                <w:rFonts w:ascii="Arial" w:cs="Arial" w:eastAsia="Arial" w:hAnsi="Arial"/>
                <w:sz w:val="16"/>
                <w:szCs w:val="16"/>
                <w:color w:val="000000"/>
              </w:rPr>
              <w:t>Interviewing, along with the Chair of the Governance Committee, all</w:t>
            </w:r>
          </w:p>
        </w:tc>
        <w:tc>
          <w:tcPr>
            <w:tcW w:w="260" w:type="dxa"/>
            <w:vAlign w:val="bottom"/>
            <w:shd w:val="clear" w:color="auto" w:fill="E5EFF9"/>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4340" w:type="dxa"/>
            <w:vAlign w:val="bottom"/>
            <w:shd w:val="clear" w:color="auto" w:fill="E5EFF9"/>
          </w:tcPr>
          <w:p>
            <w:pPr>
              <w:spacing w:after="0"/>
              <w:rPr>
                <w:sz w:val="4"/>
                <w:szCs w:val="4"/>
                <w:color w:val="auto"/>
              </w:rPr>
            </w:pPr>
          </w:p>
        </w:tc>
        <w:tc>
          <w:tcPr>
            <w:tcW w:w="1200" w:type="dxa"/>
            <w:vAlign w:val="bottom"/>
            <w:shd w:val="clear" w:color="auto" w:fill="E5EFF9"/>
          </w:tcPr>
          <w:p>
            <w:pPr>
              <w:spacing w:after="0"/>
              <w:rPr>
                <w:sz w:val="4"/>
                <w:szCs w:val="4"/>
                <w:color w:val="auto"/>
              </w:rPr>
            </w:pPr>
          </w:p>
        </w:tc>
        <w:tc>
          <w:tcPr>
            <w:tcW w:w="5500" w:type="dxa"/>
            <w:vAlign w:val="bottom"/>
            <w:gridSpan w:val="3"/>
            <w:vMerge w:val="continue"/>
            <w:shd w:val="clear" w:color="auto" w:fill="E5EFF9"/>
          </w:tcPr>
          <w:p>
            <w:pPr>
              <w:spacing w:after="0"/>
              <w:rPr>
                <w:sz w:val="4"/>
                <w:szCs w:val="4"/>
                <w:color w:val="auto"/>
              </w:rPr>
            </w:pPr>
          </w:p>
        </w:tc>
        <w:tc>
          <w:tcPr>
            <w:tcW w:w="260" w:type="dxa"/>
            <w:vAlign w:val="bottom"/>
            <w:shd w:val="clear" w:color="auto" w:fill="E5EFF9"/>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5540" w:type="dxa"/>
            <w:vAlign w:val="bottom"/>
            <w:gridSpan w:val="2"/>
            <w:shd w:val="clear" w:color="auto" w:fill="E5EFF9"/>
          </w:tcPr>
          <w:p>
            <w:pPr>
              <w:ind w:left="120"/>
              <w:spacing w:after="0"/>
              <w:rPr>
                <w:sz w:val="20"/>
                <w:szCs w:val="20"/>
                <w:color w:val="auto"/>
              </w:rPr>
            </w:pPr>
            <w:r>
              <w:rPr>
                <w:rFonts w:ascii="Arial" w:cs="Arial" w:eastAsia="Arial" w:hAnsi="Arial"/>
                <w:sz w:val="16"/>
                <w:szCs w:val="16"/>
                <w:color w:val="1C90D3"/>
              </w:rPr>
              <w:t xml:space="preserve">► </w:t>
            </w:r>
            <w:r>
              <w:rPr>
                <w:rFonts w:ascii="Arial" w:cs="Arial" w:eastAsia="Arial" w:hAnsi="Arial"/>
                <w:sz w:val="16"/>
                <w:szCs w:val="16"/>
                <w:color w:val="000000"/>
              </w:rPr>
              <w:t>Calling executive sessions for non-management and independent</w:t>
            </w:r>
          </w:p>
        </w:tc>
        <w:tc>
          <w:tcPr>
            <w:tcW w:w="5500" w:type="dxa"/>
            <w:vAlign w:val="bottom"/>
            <w:gridSpan w:val="3"/>
            <w:shd w:val="clear" w:color="auto" w:fill="E5EFF9"/>
          </w:tcPr>
          <w:p>
            <w:pPr>
              <w:ind w:left="540"/>
              <w:spacing w:after="0"/>
              <w:rPr>
                <w:sz w:val="20"/>
                <w:szCs w:val="20"/>
                <w:color w:val="auto"/>
              </w:rPr>
            </w:pPr>
            <w:r>
              <w:rPr>
                <w:rFonts w:ascii="Arial" w:cs="Arial" w:eastAsia="Arial" w:hAnsi="Arial"/>
                <w:sz w:val="16"/>
                <w:szCs w:val="16"/>
                <w:color w:val="auto"/>
              </w:rPr>
              <w:t>Board candidates, and making recommendations to the Governance</w:t>
            </w:r>
          </w:p>
        </w:tc>
        <w:tc>
          <w:tcPr>
            <w:tcW w:w="260" w:type="dxa"/>
            <w:vAlign w:val="bottom"/>
            <w:shd w:val="clear" w:color="auto" w:fill="E5EFF9"/>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40" w:type="dxa"/>
            <w:vAlign w:val="bottom"/>
            <w:gridSpan w:val="2"/>
            <w:shd w:val="clear" w:color="auto" w:fill="E5EFF9"/>
          </w:tcPr>
          <w:p>
            <w:pPr>
              <w:ind w:left="320"/>
              <w:spacing w:after="0"/>
              <w:rPr>
                <w:sz w:val="20"/>
                <w:szCs w:val="20"/>
                <w:color w:val="auto"/>
              </w:rPr>
            </w:pPr>
            <w:r>
              <w:rPr>
                <w:rFonts w:ascii="Arial" w:cs="Arial" w:eastAsia="Arial" w:hAnsi="Arial"/>
                <w:sz w:val="16"/>
                <w:szCs w:val="16"/>
                <w:color w:val="auto"/>
              </w:rPr>
              <w:t>directors, relaying feedback from these sessions to the Chairman,</w:t>
            </w:r>
          </w:p>
        </w:tc>
        <w:tc>
          <w:tcPr>
            <w:tcW w:w="5500" w:type="dxa"/>
            <w:vAlign w:val="bottom"/>
            <w:gridSpan w:val="3"/>
            <w:shd w:val="clear" w:color="auto" w:fill="E5EFF9"/>
          </w:tcPr>
          <w:p>
            <w:pPr>
              <w:ind w:left="540"/>
              <w:spacing w:after="0"/>
              <w:rPr>
                <w:sz w:val="20"/>
                <w:szCs w:val="20"/>
                <w:color w:val="auto"/>
              </w:rPr>
            </w:pPr>
            <w:r>
              <w:rPr>
                <w:rFonts w:ascii="Arial" w:cs="Arial" w:eastAsia="Arial" w:hAnsi="Arial"/>
                <w:sz w:val="16"/>
                <w:szCs w:val="16"/>
                <w:color w:val="auto"/>
              </w:rPr>
              <w:t>Committee and the Board;</w:t>
            </w:r>
          </w:p>
        </w:tc>
        <w:tc>
          <w:tcPr>
            <w:tcW w:w="260" w:type="dxa"/>
            <w:vAlign w:val="bottom"/>
            <w:shd w:val="clear" w:color="auto" w:fill="E5EFF9"/>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540" w:type="dxa"/>
            <w:vAlign w:val="bottom"/>
            <w:gridSpan w:val="2"/>
            <w:shd w:val="clear" w:color="auto" w:fill="E5EFF9"/>
          </w:tcPr>
          <w:p>
            <w:pPr>
              <w:ind w:left="320"/>
              <w:spacing w:after="0"/>
              <w:rPr>
                <w:sz w:val="20"/>
                <w:szCs w:val="20"/>
                <w:color w:val="auto"/>
              </w:rPr>
            </w:pPr>
            <w:r>
              <w:rPr>
                <w:rFonts w:ascii="Arial" w:cs="Arial" w:eastAsia="Arial" w:hAnsi="Arial"/>
                <w:sz w:val="16"/>
                <w:szCs w:val="16"/>
                <w:color w:val="auto"/>
              </w:rPr>
              <w:t>and implementing decisions made by the independent directors;</w:t>
            </w:r>
          </w:p>
        </w:tc>
        <w:tc>
          <w:tcPr>
            <w:tcW w:w="5760" w:type="dxa"/>
            <w:vAlign w:val="bottom"/>
            <w:gridSpan w:val="4"/>
            <w:vMerge w:val="restart"/>
            <w:shd w:val="clear" w:color="auto" w:fill="E5EFF9"/>
          </w:tcPr>
          <w:p>
            <w:pPr>
              <w:ind w:left="340"/>
              <w:spacing w:after="0"/>
              <w:rPr>
                <w:sz w:val="20"/>
                <w:szCs w:val="20"/>
                <w:color w:val="auto"/>
              </w:rPr>
            </w:pPr>
            <w:r>
              <w:rPr>
                <w:rFonts w:ascii="Arial" w:cs="Arial" w:eastAsia="Arial" w:hAnsi="Arial"/>
                <w:sz w:val="16"/>
                <w:szCs w:val="16"/>
                <w:color w:val="1C90D3"/>
              </w:rPr>
              <w:t xml:space="preserve">► </w:t>
            </w:r>
            <w:r>
              <w:rPr>
                <w:rFonts w:ascii="Arial" w:cs="Arial" w:eastAsia="Arial" w:hAnsi="Arial"/>
                <w:sz w:val="16"/>
                <w:szCs w:val="16"/>
                <w:color w:val="000000"/>
              </w:rPr>
              <w:t>Being available to advise the Chairs of the Committees of the Board in</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4340" w:type="dxa"/>
            <w:vAlign w:val="bottom"/>
            <w:shd w:val="clear" w:color="auto" w:fill="E5EFF9"/>
          </w:tcPr>
          <w:p>
            <w:pPr>
              <w:spacing w:after="0"/>
              <w:rPr>
                <w:sz w:val="4"/>
                <w:szCs w:val="4"/>
                <w:color w:val="auto"/>
              </w:rPr>
            </w:pPr>
          </w:p>
        </w:tc>
        <w:tc>
          <w:tcPr>
            <w:tcW w:w="1200" w:type="dxa"/>
            <w:vAlign w:val="bottom"/>
            <w:shd w:val="clear" w:color="auto" w:fill="E5EFF9"/>
          </w:tcPr>
          <w:p>
            <w:pPr>
              <w:spacing w:after="0"/>
              <w:rPr>
                <w:sz w:val="4"/>
                <w:szCs w:val="4"/>
                <w:color w:val="auto"/>
              </w:rPr>
            </w:pPr>
          </w:p>
        </w:tc>
        <w:tc>
          <w:tcPr>
            <w:tcW w:w="5760" w:type="dxa"/>
            <w:vAlign w:val="bottom"/>
            <w:gridSpan w:val="4"/>
            <w:vMerge w:val="continue"/>
            <w:shd w:val="clear" w:color="auto" w:fill="E5EFF9"/>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5540" w:type="dxa"/>
            <w:vAlign w:val="bottom"/>
            <w:gridSpan w:val="2"/>
            <w:shd w:val="clear" w:color="auto" w:fill="E5EFF9"/>
          </w:tcPr>
          <w:p>
            <w:pPr>
              <w:ind w:left="120"/>
              <w:spacing w:after="0"/>
              <w:rPr>
                <w:sz w:val="20"/>
                <w:szCs w:val="20"/>
                <w:color w:val="auto"/>
              </w:rPr>
            </w:pPr>
            <w:r>
              <w:rPr>
                <w:rFonts w:ascii="Arial" w:cs="Arial" w:eastAsia="Arial" w:hAnsi="Arial"/>
                <w:sz w:val="16"/>
                <w:szCs w:val="16"/>
                <w:color w:val="1C90D3"/>
              </w:rPr>
              <w:t xml:space="preserve">► </w:t>
            </w:r>
            <w:r>
              <w:rPr>
                <w:rFonts w:ascii="Arial" w:cs="Arial" w:eastAsia="Arial" w:hAnsi="Arial"/>
                <w:sz w:val="16"/>
                <w:szCs w:val="16"/>
                <w:color w:val="000000"/>
              </w:rPr>
              <w:t>Leading non-management directors in the annual evaluation of the</w:t>
            </w:r>
          </w:p>
        </w:tc>
        <w:tc>
          <w:tcPr>
            <w:tcW w:w="5500" w:type="dxa"/>
            <w:vAlign w:val="bottom"/>
            <w:gridSpan w:val="3"/>
            <w:shd w:val="clear" w:color="auto" w:fill="E5EFF9"/>
          </w:tcPr>
          <w:p>
            <w:pPr>
              <w:ind w:left="540"/>
              <w:spacing w:after="0"/>
              <w:rPr>
                <w:sz w:val="20"/>
                <w:szCs w:val="20"/>
                <w:color w:val="auto"/>
              </w:rPr>
            </w:pPr>
            <w:r>
              <w:rPr>
                <w:rFonts w:ascii="Arial" w:cs="Arial" w:eastAsia="Arial" w:hAnsi="Arial"/>
                <w:sz w:val="16"/>
                <w:szCs w:val="16"/>
                <w:color w:val="auto"/>
              </w:rPr>
              <w:t>fulfilling their designated roles and responsibilities to the Board; and</w:t>
            </w:r>
          </w:p>
        </w:tc>
        <w:tc>
          <w:tcPr>
            <w:tcW w:w="260" w:type="dxa"/>
            <w:vAlign w:val="bottom"/>
            <w:shd w:val="clear" w:color="auto" w:fill="E5EFF9"/>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40" w:type="dxa"/>
            <w:vAlign w:val="bottom"/>
            <w:gridSpan w:val="2"/>
            <w:shd w:val="clear" w:color="auto" w:fill="E5EFF9"/>
          </w:tcPr>
          <w:p>
            <w:pPr>
              <w:ind w:left="320"/>
              <w:spacing w:after="0"/>
              <w:rPr>
                <w:sz w:val="20"/>
                <w:szCs w:val="20"/>
                <w:color w:val="auto"/>
              </w:rPr>
            </w:pPr>
            <w:r>
              <w:rPr>
                <w:rFonts w:ascii="Arial" w:cs="Arial" w:eastAsia="Arial" w:hAnsi="Arial"/>
                <w:sz w:val="16"/>
                <w:szCs w:val="16"/>
                <w:color w:val="auto"/>
              </w:rPr>
              <w:t>CEO’s performance, communicating it to the CEO, and overseeing</w:t>
            </w:r>
          </w:p>
        </w:tc>
        <w:tc>
          <w:tcPr>
            <w:tcW w:w="5500" w:type="dxa"/>
            <w:vAlign w:val="bottom"/>
            <w:gridSpan w:val="3"/>
            <w:vMerge w:val="restart"/>
            <w:shd w:val="clear" w:color="auto" w:fill="E5EFF9"/>
          </w:tcPr>
          <w:p>
            <w:pPr>
              <w:ind w:left="340"/>
              <w:spacing w:after="0"/>
              <w:rPr>
                <w:sz w:val="20"/>
                <w:szCs w:val="20"/>
                <w:color w:val="auto"/>
              </w:rPr>
            </w:pPr>
            <w:r>
              <w:rPr>
                <w:rFonts w:ascii="Arial" w:cs="Arial" w:eastAsia="Arial" w:hAnsi="Arial"/>
                <w:sz w:val="16"/>
                <w:szCs w:val="16"/>
                <w:color w:val="1C90D3"/>
              </w:rPr>
              <w:t xml:space="preserve">► </w:t>
            </w:r>
            <w:r>
              <w:rPr>
                <w:rFonts w:ascii="Arial" w:cs="Arial" w:eastAsia="Arial" w:hAnsi="Arial"/>
                <w:sz w:val="16"/>
                <w:szCs w:val="16"/>
                <w:color w:val="000000"/>
              </w:rPr>
              <w:t>Being available, if requested by major shareholders, for consultation</w:t>
            </w:r>
          </w:p>
        </w:tc>
        <w:tc>
          <w:tcPr>
            <w:tcW w:w="260" w:type="dxa"/>
            <w:vAlign w:val="bottom"/>
            <w:shd w:val="clear" w:color="auto" w:fill="E5EFF9"/>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5540" w:type="dxa"/>
            <w:vAlign w:val="bottom"/>
            <w:gridSpan w:val="2"/>
            <w:vMerge w:val="restart"/>
            <w:shd w:val="clear" w:color="auto" w:fill="E5EFF9"/>
          </w:tcPr>
          <w:p>
            <w:pPr>
              <w:ind w:left="320"/>
              <w:spacing w:after="0"/>
              <w:rPr>
                <w:sz w:val="20"/>
                <w:szCs w:val="20"/>
                <w:color w:val="auto"/>
              </w:rPr>
            </w:pPr>
            <w:r>
              <w:rPr>
                <w:rFonts w:ascii="Arial" w:cs="Arial" w:eastAsia="Arial" w:hAnsi="Arial"/>
                <w:sz w:val="16"/>
                <w:szCs w:val="16"/>
                <w:color w:val="auto"/>
              </w:rPr>
              <w:t>the process for CEO succession;</w:t>
            </w:r>
          </w:p>
        </w:tc>
        <w:tc>
          <w:tcPr>
            <w:tcW w:w="5500" w:type="dxa"/>
            <w:vAlign w:val="bottom"/>
            <w:gridSpan w:val="3"/>
            <w:vMerge w:val="continue"/>
            <w:shd w:val="clear" w:color="auto" w:fill="E5EFF9"/>
          </w:tcPr>
          <w:p>
            <w:pPr>
              <w:spacing w:after="0"/>
              <w:rPr>
                <w:sz w:val="4"/>
                <w:szCs w:val="4"/>
                <w:color w:val="auto"/>
              </w:rPr>
            </w:pPr>
          </w:p>
        </w:tc>
        <w:tc>
          <w:tcPr>
            <w:tcW w:w="260" w:type="dxa"/>
            <w:vAlign w:val="bottom"/>
            <w:shd w:val="clear" w:color="auto" w:fill="E5EFF9"/>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5540" w:type="dxa"/>
            <w:vAlign w:val="bottom"/>
            <w:gridSpan w:val="2"/>
            <w:vMerge w:val="continue"/>
            <w:shd w:val="clear" w:color="auto" w:fill="E5EFF9"/>
          </w:tcPr>
          <w:p>
            <w:pPr>
              <w:spacing w:after="0"/>
              <w:rPr>
                <w:sz w:val="12"/>
                <w:szCs w:val="12"/>
                <w:color w:val="auto"/>
              </w:rPr>
            </w:pPr>
          </w:p>
        </w:tc>
        <w:tc>
          <w:tcPr>
            <w:tcW w:w="5500" w:type="dxa"/>
            <w:vAlign w:val="bottom"/>
            <w:gridSpan w:val="3"/>
            <w:vMerge w:val="restart"/>
            <w:shd w:val="clear" w:color="auto" w:fill="E5EFF9"/>
          </w:tcPr>
          <w:p>
            <w:pPr>
              <w:ind w:left="540"/>
              <w:spacing w:after="0"/>
              <w:rPr>
                <w:sz w:val="20"/>
                <w:szCs w:val="20"/>
                <w:color w:val="auto"/>
              </w:rPr>
            </w:pPr>
            <w:r>
              <w:rPr>
                <w:rFonts w:ascii="Arial" w:cs="Arial" w:eastAsia="Arial" w:hAnsi="Arial"/>
                <w:sz w:val="16"/>
                <w:szCs w:val="16"/>
                <w:color w:val="auto"/>
              </w:rPr>
              <w:t>and communication in accordance with the Board’s Director-</w:t>
            </w:r>
          </w:p>
        </w:tc>
        <w:tc>
          <w:tcPr>
            <w:tcW w:w="260" w:type="dxa"/>
            <w:vAlign w:val="bottom"/>
            <w:shd w:val="clear" w:color="auto" w:fill="E5EFF9"/>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4340" w:type="dxa"/>
            <w:vAlign w:val="bottom"/>
            <w:shd w:val="clear" w:color="auto" w:fill="E5EFF9"/>
          </w:tcPr>
          <w:p>
            <w:pPr>
              <w:spacing w:after="0"/>
              <w:rPr>
                <w:sz w:val="4"/>
                <w:szCs w:val="4"/>
                <w:color w:val="auto"/>
              </w:rPr>
            </w:pPr>
          </w:p>
        </w:tc>
        <w:tc>
          <w:tcPr>
            <w:tcW w:w="1200" w:type="dxa"/>
            <w:vAlign w:val="bottom"/>
            <w:shd w:val="clear" w:color="auto" w:fill="E5EFF9"/>
          </w:tcPr>
          <w:p>
            <w:pPr>
              <w:spacing w:after="0"/>
              <w:rPr>
                <w:sz w:val="4"/>
                <w:szCs w:val="4"/>
                <w:color w:val="auto"/>
              </w:rPr>
            </w:pPr>
          </w:p>
        </w:tc>
        <w:tc>
          <w:tcPr>
            <w:tcW w:w="5500" w:type="dxa"/>
            <w:vAlign w:val="bottom"/>
            <w:gridSpan w:val="3"/>
            <w:vMerge w:val="continue"/>
            <w:shd w:val="clear" w:color="auto" w:fill="E5EFF9"/>
          </w:tcPr>
          <w:p>
            <w:pPr>
              <w:spacing w:after="0"/>
              <w:rPr>
                <w:sz w:val="4"/>
                <w:szCs w:val="4"/>
                <w:color w:val="auto"/>
              </w:rPr>
            </w:pPr>
          </w:p>
        </w:tc>
        <w:tc>
          <w:tcPr>
            <w:tcW w:w="260" w:type="dxa"/>
            <w:vAlign w:val="bottom"/>
            <w:shd w:val="clear" w:color="auto" w:fill="E5EFF9"/>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340" w:type="dxa"/>
            <w:vAlign w:val="bottom"/>
            <w:shd w:val="clear" w:color="auto" w:fill="E5EFF9"/>
          </w:tcPr>
          <w:p>
            <w:pPr>
              <w:spacing w:after="0"/>
              <w:rPr>
                <w:sz w:val="16"/>
                <w:szCs w:val="16"/>
                <w:color w:val="auto"/>
              </w:rPr>
            </w:pPr>
          </w:p>
        </w:tc>
        <w:tc>
          <w:tcPr>
            <w:tcW w:w="1200" w:type="dxa"/>
            <w:vAlign w:val="bottom"/>
            <w:shd w:val="clear" w:color="auto" w:fill="E5EFF9"/>
          </w:tcPr>
          <w:p>
            <w:pPr>
              <w:spacing w:after="0"/>
              <w:rPr>
                <w:sz w:val="16"/>
                <w:szCs w:val="16"/>
                <w:color w:val="auto"/>
              </w:rPr>
            </w:pPr>
          </w:p>
        </w:tc>
        <w:tc>
          <w:tcPr>
            <w:tcW w:w="5500" w:type="dxa"/>
            <w:vAlign w:val="bottom"/>
            <w:gridSpan w:val="3"/>
            <w:shd w:val="clear" w:color="auto" w:fill="E5EFF9"/>
          </w:tcPr>
          <w:p>
            <w:pPr>
              <w:ind w:left="540"/>
              <w:spacing w:after="0"/>
              <w:rPr>
                <w:sz w:val="20"/>
                <w:szCs w:val="20"/>
                <w:color w:val="auto"/>
              </w:rPr>
            </w:pPr>
            <w:r>
              <w:rPr>
                <w:rFonts w:ascii="Arial" w:cs="Arial" w:eastAsia="Arial" w:hAnsi="Arial"/>
                <w:sz w:val="16"/>
                <w:szCs w:val="16"/>
                <w:color w:val="auto"/>
              </w:rPr>
              <w:t>Shareholder Engagement Policy.</w:t>
            </w:r>
          </w:p>
        </w:tc>
        <w:tc>
          <w:tcPr>
            <w:tcW w:w="260" w:type="dxa"/>
            <w:vAlign w:val="bottom"/>
            <w:shd w:val="clear" w:color="auto" w:fill="E5EFF9"/>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8"/>
        </w:trPr>
        <w:tc>
          <w:tcPr>
            <w:tcW w:w="4340" w:type="dxa"/>
            <w:vAlign w:val="bottom"/>
            <w:tcBorders>
              <w:bottom w:val="single" w:sz="8" w:color="08228B"/>
            </w:tcBorders>
          </w:tcPr>
          <w:p>
            <w:pPr>
              <w:spacing w:after="0"/>
              <w:rPr>
                <w:sz w:val="24"/>
                <w:szCs w:val="24"/>
                <w:color w:val="auto"/>
              </w:rPr>
            </w:pPr>
          </w:p>
        </w:tc>
        <w:tc>
          <w:tcPr>
            <w:tcW w:w="206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1C90D3"/>
              </w:rPr>
              <w:t xml:space="preserve">2016 </w:t>
            </w:r>
            <w:r>
              <w:rPr>
                <w:rFonts w:ascii="Arial" w:cs="Arial" w:eastAsia="Arial" w:hAnsi="Arial"/>
                <w:sz w:val="16"/>
                <w:szCs w:val="16"/>
                <w:color w:val="08228B"/>
              </w:rPr>
              <w:t>PROXY STATEMENT</w:t>
            </w:r>
          </w:p>
        </w:tc>
        <w:tc>
          <w:tcPr>
            <w:tcW w:w="2400" w:type="dxa"/>
            <w:vAlign w:val="bottom"/>
            <w:tcBorders>
              <w:bottom w:val="single" w:sz="8" w:color="08228B"/>
            </w:tcBorders>
          </w:tcPr>
          <w:p>
            <w:pPr>
              <w:spacing w:after="0"/>
              <w:rPr>
                <w:sz w:val="24"/>
                <w:szCs w:val="24"/>
                <w:color w:val="auto"/>
              </w:rPr>
            </w:pPr>
          </w:p>
        </w:tc>
        <w:tc>
          <w:tcPr>
            <w:tcW w:w="2240" w:type="dxa"/>
            <w:vAlign w:val="bottom"/>
            <w:vMerge w:val="restart"/>
          </w:tcPr>
          <w:p>
            <w:pPr>
              <w:spacing w:after="0"/>
              <w:rPr>
                <w:sz w:val="24"/>
                <w:szCs w:val="24"/>
                <w:color w:val="auto"/>
              </w:rPr>
            </w:pPr>
          </w:p>
        </w:tc>
        <w:tc>
          <w:tcPr>
            <w:tcW w:w="260" w:type="dxa"/>
            <w:vAlign w:val="bottom"/>
            <w:vMerge w:val="restart"/>
          </w:tcPr>
          <w:p>
            <w:pPr>
              <w:jc w:val="right"/>
              <w:spacing w:after="0"/>
              <w:rPr>
                <w:sz w:val="20"/>
                <w:szCs w:val="20"/>
                <w:color w:val="auto"/>
              </w:rPr>
            </w:pPr>
            <w:r>
              <w:rPr>
                <w:rFonts w:ascii="Arial" w:cs="Arial" w:eastAsia="Arial" w:hAnsi="Arial"/>
                <w:sz w:val="16"/>
                <w:szCs w:val="16"/>
                <w:color w:val="08228B"/>
              </w:rPr>
              <w:t>23</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4340" w:type="dxa"/>
            <w:vAlign w:val="bottom"/>
          </w:tcPr>
          <w:p>
            <w:pPr>
              <w:spacing w:after="0"/>
              <w:rPr>
                <w:sz w:val="7"/>
                <w:szCs w:val="7"/>
                <w:color w:val="auto"/>
              </w:rPr>
            </w:pPr>
          </w:p>
        </w:tc>
        <w:tc>
          <w:tcPr>
            <w:tcW w:w="2060" w:type="dxa"/>
            <w:vAlign w:val="bottom"/>
            <w:gridSpan w:val="2"/>
            <w:vMerge w:val="continue"/>
          </w:tcPr>
          <w:p>
            <w:pPr>
              <w:spacing w:after="0"/>
              <w:rPr>
                <w:sz w:val="7"/>
                <w:szCs w:val="7"/>
                <w:color w:val="auto"/>
              </w:rPr>
            </w:pPr>
          </w:p>
        </w:tc>
        <w:tc>
          <w:tcPr>
            <w:tcW w:w="2400" w:type="dxa"/>
            <w:vAlign w:val="bottom"/>
          </w:tcPr>
          <w:p>
            <w:pPr>
              <w:spacing w:after="0"/>
              <w:rPr>
                <w:sz w:val="7"/>
                <w:szCs w:val="7"/>
                <w:color w:val="auto"/>
              </w:rPr>
            </w:pPr>
          </w:p>
        </w:tc>
        <w:tc>
          <w:tcPr>
            <w:tcW w:w="2240" w:type="dxa"/>
            <w:vAlign w:val="bottom"/>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37"/>
        </w:trPr>
        <w:tc>
          <w:tcPr>
            <w:tcW w:w="4340" w:type="dxa"/>
            <w:vAlign w:val="bottom"/>
            <w:tcBorders>
              <w:bottom w:val="single" w:sz="8" w:color="C0C0C0"/>
            </w:tcBorders>
          </w:tcPr>
          <w:p>
            <w:pPr>
              <w:spacing w:after="0"/>
              <w:rPr>
                <w:sz w:val="24"/>
                <w:szCs w:val="24"/>
                <w:color w:val="auto"/>
              </w:rPr>
            </w:pPr>
          </w:p>
        </w:tc>
        <w:tc>
          <w:tcPr>
            <w:tcW w:w="1200" w:type="dxa"/>
            <w:vAlign w:val="bottom"/>
            <w:tcBorders>
              <w:bottom w:val="single" w:sz="8" w:color="C0C0C0"/>
            </w:tcBorders>
          </w:tcPr>
          <w:p>
            <w:pPr>
              <w:spacing w:after="0"/>
              <w:rPr>
                <w:sz w:val="24"/>
                <w:szCs w:val="24"/>
                <w:color w:val="auto"/>
              </w:rPr>
            </w:pPr>
          </w:p>
        </w:tc>
        <w:tc>
          <w:tcPr>
            <w:tcW w:w="860" w:type="dxa"/>
            <w:vAlign w:val="bottom"/>
            <w:tcBorders>
              <w:bottom w:val="single" w:sz="8" w:color="C0C0C0"/>
            </w:tcBorders>
          </w:tcPr>
          <w:p>
            <w:pPr>
              <w:spacing w:after="0"/>
              <w:rPr>
                <w:sz w:val="24"/>
                <w:szCs w:val="24"/>
                <w:color w:val="auto"/>
              </w:rPr>
            </w:pPr>
          </w:p>
        </w:tc>
        <w:tc>
          <w:tcPr>
            <w:tcW w:w="2400" w:type="dxa"/>
            <w:vAlign w:val="bottom"/>
            <w:tcBorders>
              <w:bottom w:val="single" w:sz="8" w:color="C0C0C0"/>
            </w:tcBorders>
          </w:tcPr>
          <w:p>
            <w:pPr>
              <w:spacing w:after="0"/>
              <w:rPr>
                <w:sz w:val="24"/>
                <w:szCs w:val="24"/>
                <w:color w:val="auto"/>
              </w:rPr>
            </w:pPr>
          </w:p>
        </w:tc>
        <w:tc>
          <w:tcPr>
            <w:tcW w:w="2240" w:type="dxa"/>
            <w:vAlign w:val="bottom"/>
            <w:tcBorders>
              <w:bottom w:val="single" w:sz="8" w:color="C0C0C0"/>
            </w:tcBorders>
          </w:tcPr>
          <w:p>
            <w:pPr>
              <w:spacing w:after="0"/>
              <w:rPr>
                <w:sz w:val="24"/>
                <w:szCs w:val="24"/>
                <w:color w:val="auto"/>
              </w:rPr>
            </w:pPr>
          </w:p>
        </w:tc>
        <w:tc>
          <w:tcPr>
            <w:tcW w:w="260" w:type="dxa"/>
            <w:vAlign w:val="bottom"/>
            <w:tcBorders>
              <w:bottom w:val="single" w:sz="8" w:color="C0C0C0"/>
            </w:tcBorders>
          </w:tcPr>
          <w:p>
            <w:pPr>
              <w:spacing w:after="0"/>
              <w:rPr>
                <w:sz w:val="24"/>
                <w:szCs w:val="24"/>
                <w:color w:val="auto"/>
              </w:rPr>
            </w:pPr>
          </w:p>
        </w:tc>
        <w:tc>
          <w:tcPr>
            <w:tcW w:w="12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5613400</wp:posOffset>
            </wp:positionH>
            <wp:positionV relativeFrom="paragraph">
              <wp:posOffset>-334010</wp:posOffset>
            </wp:positionV>
            <wp:extent cx="1286510" cy="8572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86510" cy="8572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Back to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32"/>
          <w:szCs w:val="32"/>
          <w:color w:val="1C90D3"/>
        </w:rPr>
        <w:t>Executive Sessions</w:t>
      </w:r>
    </w:p>
    <w:p>
      <w:pPr>
        <w:spacing w:after="0" w:line="319"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Our non-management directors have an opportunity to meet in executive session without management present as part of each regularly scheduled Board meeting. Executive sessions are chaired by the Lead Director, Mr. Solso.</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During executive sessions, non-management directors (or independent directors, as appropriate) review CEO performance, compensation, and succession planning; future Board agendas and flow of information to directors; the Board’s corporate governance matters; and any other matters of importance to the Company raised during a meeting or otherwise, or other issues presented by non-management directors.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The non-management directors of the Board met in executive session six times in 2015, including one time with only independent directors present.</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32"/>
          <w:szCs w:val="32"/>
          <w:color w:val="1C90D3"/>
        </w:rPr>
        <w:t>Board Committees</w:t>
      </w:r>
    </w:p>
    <w:p>
      <w:pPr>
        <w:spacing w:after="0" w:line="31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Board of Directors has six standing Committees: Audit, Executive Compensation, Finance, Governance and Corporate Responsibility, Risk, and Executive. As a best practice and to maximize the effectiveness of the Lead Director role, Mr. Solso attends all meetings of the standing Committees of which he is not a member and serves as a resource for the Committees as needed.</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GM’s Public Policy Committee was dissolved on June 9, 2015, at which time the Directors and Corporate Governance Committee was renamed the Governance and Corporate Responsibility Committee, and the charters of the Governance and Corporate Responsibility, Risk, and Executive Compensation Committees (“Compensation Committee”) were revised to incorporate responsibilities previously undertaken by the Public Policy Committee.</w:t>
      </w:r>
    </w:p>
    <w:p>
      <w:pPr>
        <w:spacing w:after="0" w:line="17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 xml:space="preserve">Each member of the Audit, Compensation, and Governance Committees has been determined by the Board to be independent according to NYSE Corporate Governance listing standards. The composition of each Committee also complies with the listing requirements and other rules of the Toronto Stock Exchange. The following outlines the key responsibilities and 2015 accomplishments of each standing Committee. Each Committee has a charter governing its activities. Further details are available on our website at </w:t>
      </w:r>
      <w:r>
        <w:rPr>
          <w:rFonts w:ascii="Arial" w:cs="Arial" w:eastAsia="Arial" w:hAnsi="Arial"/>
          <w:sz w:val="16"/>
          <w:szCs w:val="16"/>
          <w:i w:val="1"/>
          <w:iCs w:val="1"/>
          <w:color w:val="auto"/>
        </w:rPr>
        <w:t>www.gm.com/investor</w:t>
      </w:r>
      <w:r>
        <w:rPr>
          <w:rFonts w:ascii="Arial" w:cs="Arial" w:eastAsia="Arial" w:hAnsi="Arial"/>
          <w:sz w:val="16"/>
          <w:szCs w:val="16"/>
          <w:color w:val="auto"/>
        </w:rPr>
        <w:t>, under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1440815" cy="44577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440815" cy="44577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p>
      <w:pPr>
        <w:spacing w:after="0" w:line="200" w:lineRule="exact"/>
        <w:rPr>
          <w:sz w:val="20"/>
          <w:szCs w:val="20"/>
          <w:color w:val="auto"/>
        </w:rPr>
      </w:pPr>
    </w:p>
    <w:p>
      <w:pPr>
        <w:spacing w:after="0" w:line="280"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FFFFFF"/>
        </w:rPr>
        <w:t>AUDIT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857885" cy="85788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857885" cy="8578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Members: </w:t>
      </w:r>
      <w:r>
        <w:rPr>
          <w:rFonts w:ascii="Arial" w:cs="Arial" w:eastAsia="Arial" w:hAnsi="Arial"/>
          <w:sz w:val="16"/>
          <w:szCs w:val="16"/>
          <w:b w:val="1"/>
          <w:bCs w:val="1"/>
          <w:color w:val="auto"/>
        </w:rPr>
        <w:t>Thomas M. Schoewe (Chair), Linda R. Gooden, Kathryn V. Marinello, and Michael G. Mullen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Meetings held in 2015: </w:t>
      </w:r>
      <w:r>
        <w:rPr>
          <w:rFonts w:ascii="Arial" w:cs="Arial" w:eastAsia="Arial" w:hAnsi="Arial"/>
          <w:sz w:val="16"/>
          <w:szCs w:val="16"/>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48895</wp:posOffset>
            </wp:positionV>
            <wp:extent cx="5728335" cy="7747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728335" cy="77470"/>
                    </a:xfrm>
                    <a:prstGeom prst="rect">
                      <a:avLst/>
                    </a:prstGeom>
                    <a:noFill/>
                  </pic:spPr>
                </pic:pic>
              </a:graphicData>
            </a:graphic>
          </wp:anchor>
        </w:drawing>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060" w:type="dxa"/>
            <w:vAlign w:val="bottom"/>
          </w:tcPr>
          <w:p>
            <w:pPr>
              <w:spacing w:after="0"/>
              <w:rPr>
                <w:sz w:val="20"/>
                <w:szCs w:val="20"/>
                <w:color w:val="auto"/>
              </w:rPr>
            </w:pPr>
            <w:r>
              <w:rPr>
                <w:rFonts w:ascii="Arial" w:cs="Arial" w:eastAsia="Arial" w:hAnsi="Arial"/>
                <w:sz w:val="16"/>
                <w:szCs w:val="16"/>
                <w:b w:val="1"/>
                <w:bCs w:val="1"/>
                <w:i w:val="1"/>
                <w:iCs w:val="1"/>
                <w:color w:val="1C90D3"/>
              </w:rPr>
              <w:t>Key Responsibilities</w:t>
            </w:r>
          </w:p>
        </w:tc>
        <w:tc>
          <w:tcPr>
            <w:tcW w:w="3600" w:type="dxa"/>
            <w:vAlign w:val="bottom"/>
          </w:tcPr>
          <w:p>
            <w:pPr>
              <w:ind w:left="1460"/>
              <w:spacing w:after="0"/>
              <w:rPr>
                <w:sz w:val="20"/>
                <w:szCs w:val="20"/>
                <w:color w:val="auto"/>
              </w:rPr>
            </w:pPr>
            <w:r>
              <w:rPr>
                <w:rFonts w:ascii="Arial" w:cs="Arial" w:eastAsia="Arial" w:hAnsi="Arial"/>
                <w:sz w:val="16"/>
                <w:szCs w:val="16"/>
                <w:b w:val="1"/>
                <w:bCs w:val="1"/>
                <w:i w:val="1"/>
                <w:iCs w:val="1"/>
                <w:color w:val="1C90D3"/>
              </w:rPr>
              <w:t>2015 Key Accomplishments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2722880</wp:posOffset>
            </wp:positionH>
            <wp:positionV relativeFrom="paragraph">
              <wp:posOffset>-81280</wp:posOffset>
            </wp:positionV>
            <wp:extent cx="17145"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-46990</wp:posOffset>
            </wp:positionV>
            <wp:extent cx="17145"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-12700</wp:posOffset>
            </wp:positionV>
            <wp:extent cx="17145"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20955</wp:posOffset>
            </wp:positionV>
            <wp:extent cx="17145"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55245</wp:posOffset>
            </wp:positionV>
            <wp:extent cx="17145"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89535</wp:posOffset>
            </wp:positionV>
            <wp:extent cx="17145"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spacing w:after="0" w:line="182" w:lineRule="exact"/>
        <w:rPr>
          <w:sz w:val="20"/>
          <w:szCs w:val="20"/>
          <w:color w:val="auto"/>
        </w:rPr>
      </w:pPr>
    </w:p>
    <w:p>
      <w:pPr>
        <w:sectPr>
          <w:pgSz w:w="11900" w:h="16838" w:orient="portrait"/>
          <w:cols w:equalWidth="0" w:num="2">
            <w:col w:w="1780" w:space="720"/>
            <w:col w:w="8920"/>
          </w:cols>
          <w:pgMar w:left="240" w:top="22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Thomas M. Schoewe, Chair</w:t>
      </w:r>
    </w:p>
    <w:p>
      <w:pPr>
        <w:spacing w:after="0" w:line="194" w:lineRule="exact"/>
        <w:rPr>
          <w:sz w:val="20"/>
          <w:szCs w:val="20"/>
          <w:color w:val="auto"/>
        </w:rPr>
      </w:pPr>
    </w:p>
    <w:p>
      <w:pPr>
        <w:ind w:right="140"/>
        <w:spacing w:after="0" w:line="252" w:lineRule="auto"/>
        <w:rPr>
          <w:sz w:val="20"/>
          <w:szCs w:val="20"/>
          <w:color w:val="auto"/>
        </w:rPr>
      </w:pPr>
      <w:r>
        <w:rPr>
          <w:rFonts w:ascii="Arial" w:cs="Arial" w:eastAsia="Arial" w:hAnsi="Arial"/>
          <w:sz w:val="16"/>
          <w:szCs w:val="16"/>
          <w:b w:val="1"/>
          <w:bCs w:val="1"/>
          <w:i w:val="1"/>
          <w:iCs w:val="1"/>
          <w:color w:val="08228B"/>
        </w:rPr>
        <w:t>“Sharpening Committee oversight and processes, enhancing the quality of financial statements and related disclosures and improving internal audit effectiveness, were key priorities in 2015.”</w:t>
      </w:r>
    </w:p>
    <w:p>
      <w:pPr>
        <w:spacing w:after="0" w:line="20" w:lineRule="exact"/>
        <w:rPr>
          <w:sz w:val="20"/>
          <w:szCs w:val="20"/>
          <w:color w:val="auto"/>
        </w:rPr>
      </w:pPr>
      <w:r>
        <w:rPr>
          <w:sz w:val="20"/>
          <w:szCs w:val="20"/>
          <w:color w:val="auto"/>
        </w:rPr>
        <w:br w:type="column"/>
      </w:r>
    </w:p>
    <w:p>
      <w:pPr>
        <w:ind w:right="180" w:hanging="179"/>
        <w:spacing w:after="0"/>
        <w:rPr>
          <w:sz w:val="20"/>
          <w:szCs w:val="20"/>
          <w:color w:val="auto"/>
        </w:rPr>
      </w:pPr>
      <w:r>
        <w:rPr>
          <w:sz w:val="1"/>
          <w:szCs w:val="1"/>
          <w:color w:val="auto"/>
        </w:rPr>
        <w:drawing>
          <wp:inline distT="0" distB="0" distL="0" distR="0">
            <wp:extent cx="85725" cy="94615"/>
            <wp:effectExtent l="0" t="0" r="0" b="0"/>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85725" cy="94615"/>
                    </a:xfrm>
                    <a:prstGeom prst="rect">
                      <a:avLst/>
                    </a:prstGeom>
                    <a:noFill/>
                    <a:ln>
                      <a:noFill/>
                    </a:ln>
                  </pic:spPr>
                </pic:pic>
              </a:graphicData>
            </a:graphic>
          </wp:inline>
        </w:drawing>
      </w:r>
      <w:r>
        <w:rPr>
          <w:rFonts w:ascii="Arial" w:cs="Arial" w:eastAsia="Arial" w:hAnsi="Arial"/>
          <w:sz w:val="16"/>
          <w:szCs w:val="16"/>
          <w:color w:val="auto"/>
        </w:rPr>
        <w:t xml:space="preserve"> Oversees the quality and integrity of our financial statements, related disclosures, and internal controls;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2608580</wp:posOffset>
            </wp:positionH>
            <wp:positionV relativeFrom="paragraph">
              <wp:posOffset>-235585</wp:posOffset>
            </wp:positionV>
            <wp:extent cx="17145"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-201295</wp:posOffset>
            </wp:positionV>
            <wp:extent cx="17145"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-167005</wp:posOffset>
            </wp:positionV>
            <wp:extent cx="17145"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-132715</wp:posOffset>
            </wp:positionV>
            <wp:extent cx="17145"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-98425</wp:posOffset>
            </wp:positionV>
            <wp:extent cx="17145"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-64135</wp:posOffset>
            </wp:positionV>
            <wp:extent cx="17145"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-29845</wp:posOffset>
            </wp:positionV>
            <wp:extent cx="17145"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3810</wp:posOffset>
            </wp:positionV>
            <wp:extent cx="17145"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38100</wp:posOffset>
            </wp:positionV>
            <wp:extent cx="17145"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72390</wp:posOffset>
            </wp:positionV>
            <wp:extent cx="17145"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106680</wp:posOffset>
            </wp:positionV>
            <wp:extent cx="17145"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spacing w:after="0" w:line="162" w:lineRule="exact"/>
        <w:rPr>
          <w:sz w:val="20"/>
          <w:szCs w:val="20"/>
          <w:color w:val="auto"/>
        </w:rPr>
      </w:pPr>
    </w:p>
    <w:p>
      <w:pPr>
        <w:ind w:right="40" w:hanging="179"/>
        <w:spacing w:after="0"/>
        <w:rPr>
          <w:sz w:val="20"/>
          <w:szCs w:val="20"/>
          <w:color w:val="auto"/>
        </w:rPr>
      </w:pPr>
      <w:r>
        <w:rPr>
          <w:sz w:val="1"/>
          <w:szCs w:val="1"/>
          <w:color w:val="auto"/>
        </w:rPr>
        <w:drawing>
          <wp:inline distT="0" distB="0" distL="0" distR="0">
            <wp:extent cx="85725" cy="94615"/>
            <wp:effectExtent l="0" t="0" r="0" b="0"/>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85725" cy="94615"/>
                    </a:xfrm>
                    <a:prstGeom prst="rect">
                      <a:avLst/>
                    </a:prstGeom>
                    <a:noFill/>
                    <a:ln>
                      <a:noFill/>
                    </a:ln>
                  </pic:spPr>
                </pic:pic>
              </a:graphicData>
            </a:graphic>
          </wp:inline>
        </w:drawing>
      </w:r>
      <w:r>
        <w:rPr>
          <w:rFonts w:ascii="Arial" w:cs="Arial" w:eastAsia="Arial" w:hAnsi="Arial"/>
          <w:sz w:val="16"/>
          <w:szCs w:val="16"/>
          <w:color w:val="auto"/>
        </w:rPr>
        <w:t xml:space="preserve"> Reviews and discusses with management the Company’s earnings releases and quarterly and annual financial statements on Forms 10-Q and 10-K prior to filing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2608580</wp:posOffset>
            </wp:positionH>
            <wp:positionV relativeFrom="paragraph">
              <wp:posOffset>-458470</wp:posOffset>
            </wp:positionV>
            <wp:extent cx="17145"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-424180</wp:posOffset>
            </wp:positionV>
            <wp:extent cx="17145"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-389890</wp:posOffset>
            </wp:positionV>
            <wp:extent cx="17145"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-355600</wp:posOffset>
            </wp:positionV>
            <wp:extent cx="17145"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-321310</wp:posOffset>
            </wp:positionV>
            <wp:extent cx="17145"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-287020</wp:posOffset>
            </wp:positionV>
            <wp:extent cx="17145"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-252730</wp:posOffset>
            </wp:positionV>
            <wp:extent cx="17145"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-218440</wp:posOffset>
            </wp:positionV>
            <wp:extent cx="17145"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-184150</wp:posOffset>
            </wp:positionV>
            <wp:extent cx="17145"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-149860</wp:posOffset>
            </wp:positionV>
            <wp:extent cx="17145"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-115570</wp:posOffset>
            </wp:positionV>
            <wp:extent cx="17145"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-81280</wp:posOffset>
            </wp:positionV>
            <wp:extent cx="17145"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-46990</wp:posOffset>
            </wp:positionV>
            <wp:extent cx="17145"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-12700</wp:posOffset>
            </wp:positionV>
            <wp:extent cx="17145"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20955</wp:posOffset>
            </wp:positionV>
            <wp:extent cx="17145"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55245</wp:posOffset>
            </wp:positionV>
            <wp:extent cx="17145" cy="171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89535</wp:posOffset>
            </wp:positionV>
            <wp:extent cx="17145"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spacing w:after="0" w:line="162" w:lineRule="exact"/>
        <w:rPr>
          <w:sz w:val="20"/>
          <w:szCs w:val="20"/>
          <w:color w:val="auto"/>
        </w:rPr>
      </w:pPr>
    </w:p>
    <w:p>
      <w:pPr>
        <w:ind w:right="220" w:hanging="179"/>
        <w:spacing w:after="0"/>
        <w:rPr>
          <w:sz w:val="20"/>
          <w:szCs w:val="20"/>
          <w:color w:val="auto"/>
        </w:rPr>
      </w:pPr>
      <w:r>
        <w:rPr>
          <w:sz w:val="1"/>
          <w:szCs w:val="1"/>
          <w:color w:val="auto"/>
        </w:rPr>
        <w:drawing>
          <wp:inline distT="0" distB="0" distL="0" distR="0">
            <wp:extent cx="85725" cy="94615"/>
            <wp:effectExtent l="0" t="0" r="0" b="0"/>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85725" cy="94615"/>
                    </a:xfrm>
                    <a:prstGeom prst="rect">
                      <a:avLst/>
                    </a:prstGeom>
                    <a:noFill/>
                    <a:ln>
                      <a:noFill/>
                    </a:ln>
                  </pic:spPr>
                </pic:pic>
              </a:graphicData>
            </a:graphic>
          </wp:inline>
        </w:drawing>
      </w:r>
      <w:r>
        <w:rPr>
          <w:rFonts w:ascii="Arial" w:cs="Arial" w:eastAsia="Arial" w:hAnsi="Arial"/>
          <w:sz w:val="16"/>
          <w:szCs w:val="16"/>
          <w:color w:val="auto"/>
        </w:rPr>
        <w:t xml:space="preserve"> Reviews significant accounting policies and practices applied by the Company in its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2608580</wp:posOffset>
            </wp:positionH>
            <wp:positionV relativeFrom="paragraph">
              <wp:posOffset>-235585</wp:posOffset>
            </wp:positionV>
            <wp:extent cx="17145"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-201295</wp:posOffset>
            </wp:positionV>
            <wp:extent cx="17145"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-167005</wp:posOffset>
            </wp:positionV>
            <wp:extent cx="17145" cy="171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-132715</wp:posOffset>
            </wp:positionV>
            <wp:extent cx="17145" cy="171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-98425</wp:posOffset>
            </wp:positionV>
            <wp:extent cx="17145" cy="171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-64135</wp:posOffset>
            </wp:positionV>
            <wp:extent cx="17145" cy="171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-29845</wp:posOffset>
            </wp:positionV>
            <wp:extent cx="17145" cy="171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3810</wp:posOffset>
            </wp:positionV>
            <wp:extent cx="17145" cy="171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38100</wp:posOffset>
            </wp:positionV>
            <wp:extent cx="17145"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72390</wp:posOffset>
            </wp:positionV>
            <wp:extent cx="17145" cy="171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106680</wp:posOffset>
            </wp:positionV>
            <wp:extent cx="17145" cy="171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spacing w:after="0" w:line="162" w:lineRule="exact"/>
        <w:rPr>
          <w:sz w:val="20"/>
          <w:szCs w:val="20"/>
          <w:color w:val="auto"/>
        </w:rPr>
      </w:pPr>
    </w:p>
    <w:p>
      <w:pPr>
        <w:ind w:right="700" w:hanging="179"/>
        <w:spacing w:after="0"/>
        <w:rPr>
          <w:sz w:val="20"/>
          <w:szCs w:val="20"/>
          <w:color w:val="auto"/>
        </w:rPr>
      </w:pPr>
      <w:r>
        <w:rPr>
          <w:sz w:val="1"/>
          <w:szCs w:val="1"/>
          <w:color w:val="auto"/>
        </w:rPr>
        <w:drawing>
          <wp:inline distT="0" distB="0" distL="0" distR="0">
            <wp:extent cx="85725" cy="94615"/>
            <wp:effectExtent l="0" t="0" r="0" b="0"/>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85725" cy="94615"/>
                    </a:xfrm>
                    <a:prstGeom prst="rect">
                      <a:avLst/>
                    </a:prstGeom>
                    <a:noFill/>
                    <a:ln>
                      <a:noFill/>
                    </a:ln>
                  </pic:spPr>
                </pic:pic>
              </a:graphicData>
            </a:graphic>
          </wp:inline>
        </w:drawing>
      </w:r>
      <w:r>
        <w:rPr>
          <w:rFonts w:ascii="Arial" w:cs="Arial" w:eastAsia="Arial" w:hAnsi="Arial"/>
          <w:sz w:val="16"/>
          <w:szCs w:val="16"/>
          <w:color w:val="auto"/>
        </w:rPr>
        <w:t xml:space="preserve"> Oversees the qualifications, performance, and independence of the independent auditor;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2608580</wp:posOffset>
            </wp:positionH>
            <wp:positionV relativeFrom="paragraph">
              <wp:posOffset>-218440</wp:posOffset>
            </wp:positionV>
            <wp:extent cx="17145" cy="171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-184150</wp:posOffset>
            </wp:positionV>
            <wp:extent cx="17145" cy="171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-149860</wp:posOffset>
            </wp:positionV>
            <wp:extent cx="17145" cy="171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-115570</wp:posOffset>
            </wp:positionV>
            <wp:extent cx="17145" cy="171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-81280</wp:posOffset>
            </wp:positionV>
            <wp:extent cx="17145" cy="171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-46990</wp:posOffset>
            </wp:positionV>
            <wp:extent cx="17145" cy="171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-12700</wp:posOffset>
            </wp:positionV>
            <wp:extent cx="17145" cy="171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20955</wp:posOffset>
            </wp:positionV>
            <wp:extent cx="17145" cy="171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55245</wp:posOffset>
            </wp:positionV>
            <wp:extent cx="17145" cy="171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89535</wp:posOffset>
            </wp:positionV>
            <wp:extent cx="17145" cy="171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spacing w:after="0" w:line="162" w:lineRule="exact"/>
        <w:rPr>
          <w:sz w:val="20"/>
          <w:szCs w:val="20"/>
          <w:color w:val="auto"/>
        </w:rPr>
      </w:pPr>
    </w:p>
    <w:p>
      <w:pPr>
        <w:ind w:right="40" w:hanging="179"/>
        <w:spacing w:after="0"/>
        <w:rPr>
          <w:sz w:val="20"/>
          <w:szCs w:val="20"/>
          <w:color w:val="auto"/>
        </w:rPr>
      </w:pPr>
      <w:r>
        <w:rPr>
          <w:sz w:val="1"/>
          <w:szCs w:val="1"/>
          <w:color w:val="auto"/>
        </w:rPr>
        <w:drawing>
          <wp:inline distT="0" distB="0" distL="0" distR="0">
            <wp:extent cx="85725" cy="94615"/>
            <wp:effectExtent l="0" t="0" r="0" b="0"/>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85725" cy="94615"/>
                    </a:xfrm>
                    <a:prstGeom prst="rect">
                      <a:avLst/>
                    </a:prstGeom>
                    <a:noFill/>
                    <a:ln>
                      <a:noFill/>
                    </a:ln>
                  </pic:spPr>
                </pic:pic>
              </a:graphicData>
            </a:graphic>
          </wp:inline>
        </w:drawing>
      </w:r>
      <w:r>
        <w:rPr>
          <w:rFonts w:ascii="Arial" w:cs="Arial" w:eastAsia="Arial" w:hAnsi="Arial"/>
          <w:sz w:val="16"/>
          <w:szCs w:val="16"/>
          <w:color w:val="auto"/>
        </w:rPr>
        <w:t xml:space="preserve"> Pre-approves all audit and permitted non-audit services provided by the independent auditor;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2608580</wp:posOffset>
            </wp:positionH>
            <wp:positionV relativeFrom="paragraph">
              <wp:posOffset>-235585</wp:posOffset>
            </wp:positionV>
            <wp:extent cx="17145" cy="171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-201295</wp:posOffset>
            </wp:positionV>
            <wp:extent cx="17145" cy="171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-167005</wp:posOffset>
            </wp:positionV>
            <wp:extent cx="17145" cy="171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-132715</wp:posOffset>
            </wp:positionV>
            <wp:extent cx="17145" cy="171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-98425</wp:posOffset>
            </wp:positionV>
            <wp:extent cx="17145" cy="171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-64135</wp:posOffset>
            </wp:positionV>
            <wp:extent cx="17145" cy="171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-29845</wp:posOffset>
            </wp:positionV>
            <wp:extent cx="17145" cy="171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3810</wp:posOffset>
            </wp:positionV>
            <wp:extent cx="17145" cy="171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38100</wp:posOffset>
            </wp:positionV>
            <wp:extent cx="17145" cy="171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72390</wp:posOffset>
            </wp:positionV>
            <wp:extent cx="17145" cy="171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106680</wp:posOffset>
            </wp:positionV>
            <wp:extent cx="17145" cy="171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spacing w:after="0" w:line="162" w:lineRule="exact"/>
        <w:rPr>
          <w:sz w:val="20"/>
          <w:szCs w:val="20"/>
          <w:color w:val="auto"/>
        </w:rPr>
      </w:pPr>
    </w:p>
    <w:p>
      <w:pPr>
        <w:ind w:right="660" w:hanging="179"/>
        <w:spacing w:after="0"/>
        <w:rPr>
          <w:sz w:val="20"/>
          <w:szCs w:val="20"/>
          <w:color w:val="auto"/>
        </w:rPr>
      </w:pPr>
      <w:r>
        <w:rPr>
          <w:sz w:val="1"/>
          <w:szCs w:val="1"/>
          <w:color w:val="auto"/>
        </w:rPr>
        <w:drawing>
          <wp:inline distT="0" distB="0" distL="0" distR="0">
            <wp:extent cx="85725" cy="94615"/>
            <wp:effectExtent l="0" t="0" r="0" b="0"/>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85725" cy="94615"/>
                    </a:xfrm>
                    <a:prstGeom prst="rect">
                      <a:avLst/>
                    </a:prstGeom>
                    <a:noFill/>
                    <a:ln>
                      <a:noFill/>
                    </a:ln>
                  </pic:spPr>
                </pic:pic>
              </a:graphicData>
            </a:graphic>
          </wp:inline>
        </w:drawing>
      </w:r>
      <w:r>
        <w:rPr>
          <w:rFonts w:ascii="Arial" w:cs="Arial" w:eastAsia="Arial" w:hAnsi="Arial"/>
          <w:sz w:val="16"/>
          <w:szCs w:val="16"/>
          <w:color w:val="auto"/>
        </w:rPr>
        <w:t xml:space="preserve"> Reviews the objectivity and performance of the Company’s internal audit function;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2608580</wp:posOffset>
            </wp:positionH>
            <wp:positionV relativeFrom="paragraph">
              <wp:posOffset>-218440</wp:posOffset>
            </wp:positionV>
            <wp:extent cx="17145" cy="171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-184150</wp:posOffset>
            </wp:positionV>
            <wp:extent cx="17145" cy="171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-149860</wp:posOffset>
            </wp:positionV>
            <wp:extent cx="17145" cy="171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-115570</wp:posOffset>
            </wp:positionV>
            <wp:extent cx="17145" cy="171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-81280</wp:posOffset>
            </wp:positionV>
            <wp:extent cx="17145" cy="171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-46990</wp:posOffset>
            </wp:positionV>
            <wp:extent cx="17145" cy="171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-12700</wp:posOffset>
            </wp:positionV>
            <wp:extent cx="17145" cy="171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20955</wp:posOffset>
            </wp:positionV>
            <wp:extent cx="17145" cy="171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55245</wp:posOffset>
            </wp:positionV>
            <wp:extent cx="17145" cy="171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89535</wp:posOffset>
            </wp:positionV>
            <wp:extent cx="17145" cy="171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spacing w:after="0" w:line="162" w:lineRule="exact"/>
        <w:rPr>
          <w:sz w:val="20"/>
          <w:szCs w:val="20"/>
          <w:color w:val="auto"/>
        </w:rPr>
      </w:pPr>
    </w:p>
    <w:p>
      <w:pPr>
        <w:ind w:hanging="179"/>
        <w:spacing w:after="0"/>
        <w:rPr>
          <w:sz w:val="20"/>
          <w:szCs w:val="20"/>
          <w:color w:val="auto"/>
        </w:rPr>
      </w:pPr>
      <w:r>
        <w:rPr>
          <w:sz w:val="1"/>
          <w:szCs w:val="1"/>
          <w:color w:val="auto"/>
        </w:rPr>
        <w:drawing>
          <wp:inline distT="0" distB="0" distL="0" distR="0">
            <wp:extent cx="85725" cy="94615"/>
            <wp:effectExtent l="0" t="0" r="0" b="0"/>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85725" cy="94615"/>
                    </a:xfrm>
                    <a:prstGeom prst="rect">
                      <a:avLst/>
                    </a:prstGeom>
                    <a:noFill/>
                    <a:ln>
                      <a:noFill/>
                    </a:ln>
                  </pic:spPr>
                </pic:pic>
              </a:graphicData>
            </a:graphic>
          </wp:inline>
        </w:drawing>
      </w:r>
      <w:r>
        <w:rPr>
          <w:rFonts w:ascii="Arial" w:cs="Arial" w:eastAsia="Arial" w:hAnsi="Arial"/>
          <w:sz w:val="16"/>
          <w:szCs w:val="16"/>
          <w:color w:val="auto"/>
        </w:rPr>
        <w:t xml:space="preserve"> Oversees the Company’s compliance with legal, ethical, and regulatory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-1696085</wp:posOffset>
            </wp:positionH>
            <wp:positionV relativeFrom="paragraph">
              <wp:posOffset>-235585</wp:posOffset>
            </wp:positionV>
            <wp:extent cx="4322445" cy="3600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4322445" cy="3600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400" w:hanging="179"/>
        <w:spacing w:after="0"/>
        <w:rPr>
          <w:sz w:val="20"/>
          <w:szCs w:val="20"/>
          <w:color w:val="auto"/>
        </w:rPr>
      </w:pPr>
      <w:r>
        <w:rPr>
          <w:sz w:val="1"/>
          <w:szCs w:val="1"/>
          <w:color w:val="auto"/>
        </w:rPr>
        <w:drawing>
          <wp:inline distT="0" distB="0" distL="0" distR="0">
            <wp:extent cx="85725" cy="94615"/>
            <wp:effectExtent l="0" t="0" r="0" b="0"/>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85725" cy="94615"/>
                    </a:xfrm>
                    <a:prstGeom prst="rect">
                      <a:avLst/>
                    </a:prstGeom>
                    <a:noFill/>
                    <a:ln>
                      <a:noFill/>
                    </a:ln>
                  </pic:spPr>
                </pic:pic>
              </a:graphicData>
            </a:graphic>
          </wp:inline>
        </w:drawing>
      </w:r>
      <w:r>
        <w:rPr>
          <w:rFonts w:ascii="Arial" w:cs="Arial" w:eastAsia="Arial" w:hAnsi="Arial"/>
          <w:sz w:val="16"/>
          <w:szCs w:val="16"/>
          <w:color w:val="auto"/>
        </w:rPr>
        <w:t xml:space="preserve"> Approved internal audit plan with greater alignment to identified risk areas;</w:t>
      </w:r>
    </w:p>
    <w:p>
      <w:pPr>
        <w:spacing w:after="0" w:line="182" w:lineRule="exact"/>
        <w:rPr>
          <w:sz w:val="20"/>
          <w:szCs w:val="20"/>
          <w:color w:val="auto"/>
        </w:rPr>
      </w:pPr>
    </w:p>
    <w:p>
      <w:pPr>
        <w:ind w:right="320" w:hanging="179"/>
        <w:spacing w:after="0"/>
        <w:rPr>
          <w:sz w:val="20"/>
          <w:szCs w:val="20"/>
          <w:color w:val="auto"/>
        </w:rPr>
      </w:pPr>
      <w:r>
        <w:rPr>
          <w:sz w:val="1"/>
          <w:szCs w:val="1"/>
          <w:color w:val="auto"/>
        </w:rPr>
        <w:drawing>
          <wp:inline distT="0" distB="0" distL="0" distR="0">
            <wp:extent cx="85725" cy="94615"/>
            <wp:effectExtent l="0" t="0" r="0" b="0"/>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85725" cy="94615"/>
                    </a:xfrm>
                    <a:prstGeom prst="rect">
                      <a:avLst/>
                    </a:prstGeom>
                    <a:noFill/>
                    <a:ln>
                      <a:noFill/>
                    </a:ln>
                  </pic:spPr>
                </pic:pic>
              </a:graphicData>
            </a:graphic>
          </wp:inline>
        </w:drawing>
      </w:r>
      <w:r>
        <w:rPr>
          <w:rFonts w:ascii="Arial" w:cs="Arial" w:eastAsia="Arial" w:hAnsi="Arial"/>
          <w:sz w:val="16"/>
          <w:szCs w:val="16"/>
          <w:color w:val="auto"/>
        </w:rPr>
        <w:t xml:space="preserve"> Commenced review and approval of Global Ethics and Compliance Center resources and budget;</w:t>
      </w:r>
    </w:p>
    <w:p>
      <w:pPr>
        <w:spacing w:after="0" w:line="182" w:lineRule="exact"/>
        <w:rPr>
          <w:sz w:val="20"/>
          <w:szCs w:val="20"/>
          <w:color w:val="auto"/>
        </w:rPr>
      </w:pPr>
    </w:p>
    <w:p>
      <w:pPr>
        <w:ind w:right="260" w:hanging="179"/>
        <w:spacing w:after="0"/>
        <w:rPr>
          <w:sz w:val="20"/>
          <w:szCs w:val="20"/>
          <w:color w:val="auto"/>
        </w:rPr>
      </w:pPr>
      <w:r>
        <w:rPr>
          <w:sz w:val="1"/>
          <w:szCs w:val="1"/>
          <w:color w:val="auto"/>
        </w:rPr>
        <w:drawing>
          <wp:inline distT="0" distB="0" distL="0" distR="0">
            <wp:extent cx="85725" cy="94615"/>
            <wp:effectExtent l="0" t="0" r="0" b="0"/>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85725" cy="94615"/>
                    </a:xfrm>
                    <a:prstGeom prst="rect">
                      <a:avLst/>
                    </a:prstGeom>
                    <a:noFill/>
                    <a:ln>
                      <a:noFill/>
                    </a:ln>
                  </pic:spPr>
                </pic:pic>
              </a:graphicData>
            </a:graphic>
          </wp:inline>
        </w:drawing>
      </w:r>
      <w:r>
        <w:rPr>
          <w:rFonts w:ascii="Arial" w:cs="Arial" w:eastAsia="Arial" w:hAnsi="Arial"/>
          <w:sz w:val="16"/>
          <w:szCs w:val="16"/>
          <w:color w:val="auto"/>
        </w:rPr>
        <w:t xml:space="preserve"> Instituted executive sessions with the Executive Vice President &amp; General Counsel (“General Counsel”) at all regularly scheduled meetings;</w:t>
      </w:r>
    </w:p>
    <w:p>
      <w:pPr>
        <w:spacing w:after="0" w:line="182" w:lineRule="exact"/>
        <w:rPr>
          <w:sz w:val="20"/>
          <w:szCs w:val="20"/>
          <w:color w:val="auto"/>
        </w:rPr>
      </w:pPr>
    </w:p>
    <w:p>
      <w:pPr>
        <w:ind w:right="380" w:hanging="179"/>
        <w:spacing w:after="0"/>
        <w:rPr>
          <w:sz w:val="20"/>
          <w:szCs w:val="20"/>
          <w:color w:val="auto"/>
        </w:rPr>
      </w:pPr>
      <w:r>
        <w:rPr>
          <w:sz w:val="1"/>
          <w:szCs w:val="1"/>
          <w:color w:val="auto"/>
        </w:rPr>
        <w:drawing>
          <wp:inline distT="0" distB="0" distL="0" distR="0">
            <wp:extent cx="85725" cy="94615"/>
            <wp:effectExtent l="0" t="0" r="0" b="0"/>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85725" cy="94615"/>
                    </a:xfrm>
                    <a:prstGeom prst="rect">
                      <a:avLst/>
                    </a:prstGeom>
                    <a:noFill/>
                    <a:ln>
                      <a:noFill/>
                    </a:ln>
                  </pic:spPr>
                </pic:pic>
              </a:graphicData>
            </a:graphic>
          </wp:inline>
        </w:drawing>
      </w:r>
      <w:r>
        <w:rPr>
          <w:rFonts w:ascii="Arial" w:cs="Arial" w:eastAsia="Arial" w:hAnsi="Arial"/>
          <w:sz w:val="16"/>
          <w:szCs w:val="16"/>
          <w:color w:val="auto"/>
        </w:rPr>
        <w:t xml:space="preserve"> Undertook consistent reviews of emerging accounting and internal control matters;</w:t>
      </w:r>
    </w:p>
    <w:p>
      <w:pPr>
        <w:spacing w:after="0" w:line="182" w:lineRule="exact"/>
        <w:rPr>
          <w:sz w:val="20"/>
          <w:szCs w:val="20"/>
          <w:color w:val="auto"/>
        </w:rPr>
      </w:pPr>
    </w:p>
    <w:p>
      <w:pPr>
        <w:ind w:right="520" w:hanging="179"/>
        <w:spacing w:after="0"/>
        <w:rPr>
          <w:sz w:val="20"/>
          <w:szCs w:val="20"/>
          <w:color w:val="auto"/>
        </w:rPr>
      </w:pPr>
      <w:r>
        <w:rPr>
          <w:sz w:val="1"/>
          <w:szCs w:val="1"/>
          <w:color w:val="auto"/>
        </w:rPr>
        <w:drawing>
          <wp:inline distT="0" distB="0" distL="0" distR="0">
            <wp:extent cx="85725" cy="94615"/>
            <wp:effectExtent l="0" t="0" r="0" b="0"/>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85725" cy="94615"/>
                    </a:xfrm>
                    <a:prstGeom prst="rect">
                      <a:avLst/>
                    </a:prstGeom>
                    <a:noFill/>
                    <a:ln>
                      <a:noFill/>
                    </a:ln>
                  </pic:spPr>
                </pic:pic>
              </a:graphicData>
            </a:graphic>
          </wp:inline>
        </w:drawing>
      </w:r>
      <w:r>
        <w:rPr>
          <w:rFonts w:ascii="Arial" w:cs="Arial" w:eastAsia="Arial" w:hAnsi="Arial"/>
          <w:sz w:val="16"/>
          <w:szCs w:val="16"/>
          <w:color w:val="auto"/>
        </w:rPr>
        <w:t xml:space="preserve"> Monitored the disclosure of significant accounting matters and business developments and the overall effectiveness of the Company’s disclosures; and</w:t>
      </w:r>
    </w:p>
    <w:p>
      <w:pPr>
        <w:spacing w:after="0" w:line="182" w:lineRule="exact"/>
        <w:rPr>
          <w:sz w:val="20"/>
          <w:szCs w:val="20"/>
          <w:color w:val="auto"/>
        </w:rPr>
      </w:pPr>
    </w:p>
    <w:p>
      <w:pPr>
        <w:ind w:right="360" w:hanging="179"/>
        <w:spacing w:after="0"/>
        <w:rPr>
          <w:sz w:val="20"/>
          <w:szCs w:val="20"/>
          <w:color w:val="auto"/>
        </w:rPr>
      </w:pPr>
      <w:r>
        <w:rPr>
          <w:sz w:val="1"/>
          <w:szCs w:val="1"/>
          <w:color w:val="auto"/>
        </w:rPr>
        <w:drawing>
          <wp:inline distT="0" distB="0" distL="0" distR="0">
            <wp:extent cx="85725" cy="94615"/>
            <wp:effectExtent l="0" t="0" r="0" b="0"/>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85725" cy="94615"/>
                    </a:xfrm>
                    <a:prstGeom prst="rect">
                      <a:avLst/>
                    </a:prstGeom>
                    <a:noFill/>
                    <a:ln>
                      <a:noFill/>
                    </a:ln>
                  </pic:spPr>
                </pic:pic>
              </a:graphicData>
            </a:graphic>
          </wp:inline>
        </w:drawing>
      </w:r>
      <w:r>
        <w:rPr>
          <w:rFonts w:ascii="Arial" w:cs="Arial" w:eastAsia="Arial" w:hAnsi="Arial"/>
          <w:sz w:val="16"/>
          <w:szCs w:val="16"/>
          <w:color w:val="auto"/>
        </w:rPr>
        <w:t xml:space="preserve"> Adopted enhancements to the Committee’s Charter to align with best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475615</wp:posOffset>
            </wp:positionV>
            <wp:extent cx="284734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767" w:lineRule="exact"/>
        <w:rPr>
          <w:sz w:val="20"/>
          <w:szCs w:val="20"/>
          <w:color w:val="auto"/>
        </w:rPr>
      </w:pPr>
    </w:p>
    <w:p>
      <w:pPr>
        <w:sectPr>
          <w:pgSz w:w="11900" w:h="16838" w:orient="portrait"/>
          <w:cols w:equalWidth="0" w:num="3">
            <w:col w:w="2100" w:space="580"/>
            <w:col w:w="4020" w:space="500"/>
            <w:col w:w="4220"/>
          </w:cols>
          <w:pgMar w:left="240" w:top="225" w:right="239" w:bottom="1440" w:gutter="0" w:footer="0" w:header="0"/>
          <w:type w:val="continuous"/>
        </w:sectPr>
      </w:pPr>
    </w:p>
    <w:p>
      <w:pPr>
        <w:spacing w:after="0" w:line="6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Our Board has determined that each member of the Audit Committee is independent under the NYSE listing standards and the heightened independence requirements applicable to audit committee members under SEC rules. The Board has also determined that all members of the Audit Committee are financially literate in accordance with the NYSE listing standards and that Ms. Gooden, Ms. Marinello, and Mr. Schoewe are each qualified as an “audit committee financial expert” as defined by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246620" cy="260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13"/>
        </w:trPr>
        <w:tc>
          <w:tcPr>
            <w:tcW w:w="4340" w:type="dxa"/>
            <w:vAlign w:val="bottom"/>
            <w:tcBorders>
              <w:bottom w:val="single" w:sz="8" w:color="08228B"/>
            </w:tcBorders>
          </w:tcPr>
          <w:p>
            <w:pPr>
              <w:spacing w:after="0"/>
              <w:rPr>
                <w:sz w:val="9"/>
                <w:szCs w:val="9"/>
                <w:color w:val="auto"/>
              </w:rPr>
            </w:pPr>
          </w:p>
        </w:tc>
        <w:tc>
          <w:tcPr>
            <w:tcW w:w="2060" w:type="dxa"/>
            <w:vAlign w:val="bottom"/>
            <w:vMerge w:val="restart"/>
          </w:tcPr>
          <w:p>
            <w:pPr>
              <w:ind w:left="60"/>
              <w:spacing w:after="0"/>
              <w:rPr>
                <w:sz w:val="20"/>
                <w:szCs w:val="20"/>
                <w:color w:val="auto"/>
              </w:rPr>
            </w:pPr>
            <w:r>
              <w:rPr>
                <w:rFonts w:ascii="Arial" w:cs="Arial" w:eastAsia="Arial" w:hAnsi="Arial"/>
                <w:sz w:val="16"/>
                <w:szCs w:val="16"/>
                <w:b w:val="1"/>
                <w:bCs w:val="1"/>
                <w:color w:val="1C90D3"/>
              </w:rPr>
              <w:t xml:space="preserve">2016 </w:t>
            </w:r>
            <w:r>
              <w:rPr>
                <w:rFonts w:ascii="Arial" w:cs="Arial" w:eastAsia="Arial" w:hAnsi="Arial"/>
                <w:sz w:val="16"/>
                <w:szCs w:val="16"/>
                <w:color w:val="08228B"/>
              </w:rPr>
              <w:t>PROXY STATEMENT</w:t>
            </w:r>
          </w:p>
        </w:tc>
        <w:tc>
          <w:tcPr>
            <w:tcW w:w="2400" w:type="dxa"/>
            <w:vAlign w:val="bottom"/>
            <w:tcBorders>
              <w:bottom w:val="single" w:sz="8" w:color="08228B"/>
            </w:tcBorders>
          </w:tcPr>
          <w:p>
            <w:pPr>
              <w:spacing w:after="0"/>
              <w:rPr>
                <w:sz w:val="9"/>
                <w:szCs w:val="9"/>
                <w:color w:val="auto"/>
              </w:rPr>
            </w:pPr>
          </w:p>
        </w:tc>
        <w:tc>
          <w:tcPr>
            <w:tcW w:w="2620" w:type="dxa"/>
            <w:vAlign w:val="bottom"/>
            <w:vMerge w:val="restart"/>
          </w:tcPr>
          <w:p>
            <w:pPr>
              <w:jc w:val="right"/>
              <w:ind w:right="39"/>
              <w:spacing w:after="0"/>
              <w:rPr>
                <w:sz w:val="20"/>
                <w:szCs w:val="20"/>
                <w:color w:val="auto"/>
              </w:rPr>
            </w:pPr>
            <w:r>
              <w:rPr>
                <w:rFonts w:ascii="Arial" w:cs="Arial" w:eastAsia="Arial" w:hAnsi="Arial"/>
                <w:sz w:val="16"/>
                <w:szCs w:val="16"/>
                <w:color w:val="08228B"/>
              </w:rPr>
              <w:t>24</w:t>
            </w:r>
          </w:p>
        </w:tc>
        <w:tc>
          <w:tcPr>
            <w:tcW w:w="0" w:type="dxa"/>
            <w:vAlign w:val="bottom"/>
          </w:tcPr>
          <w:p>
            <w:pPr>
              <w:spacing w:after="0"/>
              <w:rPr>
                <w:sz w:val="1"/>
                <w:szCs w:val="1"/>
                <w:color w:val="auto"/>
              </w:rPr>
            </w:pPr>
          </w:p>
        </w:tc>
      </w:tr>
      <w:tr>
        <w:trPr>
          <w:trHeight w:val="82"/>
        </w:trPr>
        <w:tc>
          <w:tcPr>
            <w:tcW w:w="4340" w:type="dxa"/>
            <w:vAlign w:val="bottom"/>
          </w:tcPr>
          <w:p>
            <w:pPr>
              <w:spacing w:after="0"/>
              <w:rPr>
                <w:sz w:val="7"/>
                <w:szCs w:val="7"/>
                <w:color w:val="auto"/>
              </w:rPr>
            </w:pPr>
          </w:p>
        </w:tc>
        <w:tc>
          <w:tcPr>
            <w:tcW w:w="2060" w:type="dxa"/>
            <w:vAlign w:val="bottom"/>
            <w:vMerge w:val="continue"/>
          </w:tcPr>
          <w:p>
            <w:pPr>
              <w:spacing w:after="0"/>
              <w:rPr>
                <w:sz w:val="7"/>
                <w:szCs w:val="7"/>
                <w:color w:val="auto"/>
              </w:rPr>
            </w:pPr>
          </w:p>
        </w:tc>
        <w:tc>
          <w:tcPr>
            <w:tcW w:w="2400" w:type="dxa"/>
            <w:vAlign w:val="bottom"/>
          </w:tcPr>
          <w:p>
            <w:pPr>
              <w:spacing w:after="0"/>
              <w:rPr>
                <w:sz w:val="7"/>
                <w:szCs w:val="7"/>
                <w:color w:val="auto"/>
              </w:rPr>
            </w:pPr>
          </w:p>
        </w:tc>
        <w:tc>
          <w:tcPr>
            <w:tcW w:w="2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7"/>
        </w:trPr>
        <w:tc>
          <w:tcPr>
            <w:tcW w:w="4340" w:type="dxa"/>
            <w:vAlign w:val="bottom"/>
            <w:tcBorders>
              <w:bottom w:val="single" w:sz="8" w:color="C0C0C0"/>
            </w:tcBorders>
          </w:tcPr>
          <w:p>
            <w:pPr>
              <w:spacing w:after="0"/>
              <w:rPr>
                <w:sz w:val="24"/>
                <w:szCs w:val="24"/>
                <w:color w:val="auto"/>
              </w:rPr>
            </w:pPr>
          </w:p>
        </w:tc>
        <w:tc>
          <w:tcPr>
            <w:tcW w:w="2060" w:type="dxa"/>
            <w:vAlign w:val="bottom"/>
            <w:tcBorders>
              <w:bottom w:val="single" w:sz="8" w:color="C0C0C0"/>
            </w:tcBorders>
          </w:tcPr>
          <w:p>
            <w:pPr>
              <w:spacing w:after="0"/>
              <w:rPr>
                <w:sz w:val="24"/>
                <w:szCs w:val="24"/>
                <w:color w:val="auto"/>
              </w:rPr>
            </w:pPr>
          </w:p>
        </w:tc>
        <w:tc>
          <w:tcPr>
            <w:tcW w:w="2400" w:type="dxa"/>
            <w:vAlign w:val="bottom"/>
            <w:tcBorders>
              <w:bottom w:val="single" w:sz="8" w:color="C0C0C0"/>
            </w:tcBorders>
          </w:tcPr>
          <w:p>
            <w:pPr>
              <w:spacing w:after="0"/>
              <w:rPr>
                <w:sz w:val="24"/>
                <w:szCs w:val="24"/>
                <w:color w:val="auto"/>
              </w:rPr>
            </w:pPr>
          </w:p>
        </w:tc>
        <w:tc>
          <w:tcPr>
            <w:tcW w:w="262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5613400</wp:posOffset>
            </wp:positionH>
            <wp:positionV relativeFrom="paragraph">
              <wp:posOffset>-334010</wp:posOffset>
            </wp:positionV>
            <wp:extent cx="1286510" cy="8572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86510" cy="8572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1440815" cy="44577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440815" cy="445770"/>
                    </a:xfrm>
                    <a:prstGeom prst="rect">
                      <a:avLst/>
                    </a:prstGeom>
                    <a:noFill/>
                  </pic:spPr>
                </pic:pic>
              </a:graphicData>
            </a:graphic>
          </wp:anchor>
        </w:drawing>
      </w:r>
    </w:p>
    <w:p>
      <w:pPr>
        <w:spacing w:after="0" w:line="331" w:lineRule="exact"/>
        <w:rPr>
          <w:sz w:val="20"/>
          <w:szCs w:val="20"/>
          <w:color w:val="auto"/>
        </w:rPr>
      </w:pPr>
    </w:p>
    <w:p>
      <w:pPr>
        <w:jc w:val="center"/>
        <w:ind w:left="480"/>
        <w:spacing w:after="0"/>
        <w:rPr>
          <w:sz w:val="20"/>
          <w:szCs w:val="20"/>
          <w:color w:val="auto"/>
        </w:rPr>
      </w:pPr>
      <w:r>
        <w:rPr>
          <w:rFonts w:ascii="Arial" w:cs="Arial" w:eastAsia="Arial" w:hAnsi="Arial"/>
          <w:sz w:val="16"/>
          <w:szCs w:val="16"/>
          <w:b w:val="1"/>
          <w:bCs w:val="1"/>
          <w:color w:val="FFFFFF"/>
        </w:rPr>
        <w:t>EXECUTIVE</w:t>
      </w:r>
    </w:p>
    <w:p>
      <w:pPr>
        <w:spacing w:after="0" w:line="25" w:lineRule="exact"/>
        <w:rPr>
          <w:sz w:val="20"/>
          <w:szCs w:val="20"/>
          <w:color w:val="auto"/>
        </w:rPr>
      </w:pPr>
    </w:p>
    <w:p>
      <w:pPr>
        <w:jc w:val="center"/>
        <w:ind w:left="480"/>
        <w:spacing w:after="0"/>
        <w:rPr>
          <w:sz w:val="20"/>
          <w:szCs w:val="20"/>
          <w:color w:val="auto"/>
        </w:rPr>
      </w:pPr>
      <w:r>
        <w:rPr>
          <w:rFonts w:ascii="Arial" w:cs="Arial" w:eastAsia="Arial" w:hAnsi="Arial"/>
          <w:sz w:val="16"/>
          <w:szCs w:val="16"/>
          <w:b w:val="1"/>
          <w:bCs w:val="1"/>
          <w:color w:val="FFFFFF"/>
        </w:rPr>
        <w:t>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857885" cy="85788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857885" cy="8578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Members: </w:t>
      </w:r>
      <w:r>
        <w:rPr>
          <w:rFonts w:ascii="Arial" w:cs="Arial" w:eastAsia="Arial" w:hAnsi="Arial"/>
          <w:sz w:val="16"/>
          <w:szCs w:val="16"/>
          <w:b w:val="1"/>
          <w:bCs w:val="1"/>
          <w:color w:val="auto"/>
        </w:rPr>
        <w:t>Carol M. Stephenson (Chair), Joseph Jimenez, James J. Mulva, and Patricia F. Russo</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Meetings held in 2015: </w:t>
      </w:r>
      <w:r>
        <w:rPr>
          <w:rFonts w:ascii="Arial" w:cs="Arial" w:eastAsia="Arial" w:hAnsi="Arial"/>
          <w:sz w:val="16"/>
          <w:szCs w:val="16"/>
          <w:b w:val="1"/>
          <w:b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48895</wp:posOffset>
            </wp:positionV>
            <wp:extent cx="5728335" cy="7747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5728335" cy="77470"/>
                    </a:xfrm>
                    <a:prstGeom prst="rect">
                      <a:avLst/>
                    </a:prstGeom>
                    <a:noFill/>
                  </pic:spPr>
                </pic:pic>
              </a:graphicData>
            </a:graphic>
          </wp:anchor>
        </w:drawing>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060" w:type="dxa"/>
            <w:vAlign w:val="bottom"/>
          </w:tcPr>
          <w:p>
            <w:pPr>
              <w:spacing w:after="0"/>
              <w:rPr>
                <w:sz w:val="20"/>
                <w:szCs w:val="20"/>
                <w:color w:val="auto"/>
              </w:rPr>
            </w:pPr>
            <w:r>
              <w:rPr>
                <w:rFonts w:ascii="Arial" w:cs="Arial" w:eastAsia="Arial" w:hAnsi="Arial"/>
                <w:sz w:val="16"/>
                <w:szCs w:val="16"/>
                <w:b w:val="1"/>
                <w:bCs w:val="1"/>
                <w:i w:val="1"/>
                <w:iCs w:val="1"/>
                <w:color w:val="1C90D3"/>
              </w:rPr>
              <w:t>Key Responsibilities</w:t>
            </w:r>
          </w:p>
        </w:tc>
        <w:tc>
          <w:tcPr>
            <w:tcW w:w="3600" w:type="dxa"/>
            <w:vAlign w:val="bottom"/>
          </w:tcPr>
          <w:p>
            <w:pPr>
              <w:ind w:left="1460"/>
              <w:spacing w:after="0"/>
              <w:rPr>
                <w:sz w:val="20"/>
                <w:szCs w:val="20"/>
                <w:color w:val="auto"/>
              </w:rPr>
            </w:pPr>
            <w:r>
              <w:rPr>
                <w:rFonts w:ascii="Arial" w:cs="Arial" w:eastAsia="Arial" w:hAnsi="Arial"/>
                <w:sz w:val="16"/>
                <w:szCs w:val="16"/>
                <w:b w:val="1"/>
                <w:bCs w:val="1"/>
                <w:i w:val="1"/>
                <w:iCs w:val="1"/>
                <w:color w:val="1C90D3"/>
              </w:rPr>
              <w:t>2015 Key Accomplishments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2722880</wp:posOffset>
            </wp:positionH>
            <wp:positionV relativeFrom="paragraph">
              <wp:posOffset>-98425</wp:posOffset>
            </wp:positionV>
            <wp:extent cx="17145" cy="171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-64135</wp:posOffset>
            </wp:positionV>
            <wp:extent cx="17145" cy="171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-29845</wp:posOffset>
            </wp:positionV>
            <wp:extent cx="17145" cy="171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3810</wp:posOffset>
            </wp:positionV>
            <wp:extent cx="17145" cy="171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38100</wp:posOffset>
            </wp:positionV>
            <wp:extent cx="17145" cy="171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72390</wp:posOffset>
            </wp:positionV>
            <wp:extent cx="17145" cy="171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106680</wp:posOffset>
            </wp:positionV>
            <wp:extent cx="17145" cy="171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spacing w:after="0" w:line="182" w:lineRule="exact"/>
        <w:rPr>
          <w:sz w:val="20"/>
          <w:szCs w:val="20"/>
          <w:color w:val="auto"/>
        </w:rPr>
      </w:pPr>
    </w:p>
    <w:p>
      <w:pPr>
        <w:sectPr>
          <w:pgSz w:w="11900" w:h="16838" w:orient="portrait"/>
          <w:cols w:equalWidth="0" w:num="2">
            <w:col w:w="1800" w:space="700"/>
            <w:col w:w="8920"/>
          </w:cols>
          <w:pgMar w:left="240" w:top="2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Carol M. Stephenson, Chair</w:t>
      </w:r>
    </w:p>
    <w:p>
      <w:pPr>
        <w:spacing w:after="0" w:line="194" w:lineRule="exact"/>
        <w:rPr>
          <w:sz w:val="20"/>
          <w:szCs w:val="20"/>
          <w:color w:val="auto"/>
        </w:rPr>
      </w:pPr>
    </w:p>
    <w:p>
      <w:pPr>
        <w:spacing w:after="0" w:line="256" w:lineRule="auto"/>
        <w:rPr>
          <w:sz w:val="20"/>
          <w:szCs w:val="20"/>
          <w:color w:val="auto"/>
        </w:rPr>
      </w:pPr>
      <w:r>
        <w:rPr>
          <w:rFonts w:ascii="Arial" w:cs="Arial" w:eastAsia="Arial" w:hAnsi="Arial"/>
          <w:sz w:val="16"/>
          <w:szCs w:val="16"/>
          <w:b w:val="1"/>
          <w:bCs w:val="1"/>
          <w:i w:val="1"/>
          <w:iCs w:val="1"/>
          <w:color w:val="08228B"/>
        </w:rPr>
        <w:t>“Our executive pay for 2015 demonstrated strong alignment with the achievement of key financial and operating objectives.”</w:t>
      </w:r>
    </w:p>
    <w:p>
      <w:pPr>
        <w:spacing w:after="0" w:line="20" w:lineRule="exact"/>
        <w:rPr>
          <w:sz w:val="20"/>
          <w:szCs w:val="20"/>
          <w:color w:val="auto"/>
        </w:rPr>
      </w:pPr>
      <w:r>
        <w:rPr>
          <w:sz w:val="20"/>
          <w:szCs w:val="20"/>
          <w:color w:val="auto"/>
        </w:rPr>
        <w:br w:type="column"/>
      </w:r>
    </w:p>
    <w:p>
      <w:pPr>
        <w:ind w:left="180" w:right="340" w:hanging="179"/>
        <w:spacing w:after="0"/>
        <w:rPr>
          <w:sz w:val="20"/>
          <w:szCs w:val="20"/>
          <w:color w:val="auto"/>
        </w:rPr>
      </w:pPr>
      <w:r>
        <w:rPr>
          <w:sz w:val="1"/>
          <w:szCs w:val="1"/>
          <w:color w:val="auto"/>
        </w:rPr>
        <w:drawing>
          <wp:inline distT="0" distB="0" distL="0" distR="0">
            <wp:extent cx="85725" cy="94615"/>
            <wp:effectExtent l="0" t="0" r="0" b="0"/>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85725" cy="94615"/>
                    </a:xfrm>
                    <a:prstGeom prst="rect">
                      <a:avLst/>
                    </a:prstGeom>
                    <a:noFill/>
                    <a:ln>
                      <a:noFill/>
                    </a:ln>
                  </pic:spPr>
                </pic:pic>
              </a:graphicData>
            </a:graphic>
          </wp:inline>
        </w:drawing>
      </w:r>
      <w:r>
        <w:rPr>
          <w:rFonts w:ascii="Arial" w:cs="Arial" w:eastAsia="Arial" w:hAnsi="Arial"/>
          <w:sz w:val="16"/>
          <w:szCs w:val="16"/>
          <w:color w:val="auto"/>
        </w:rPr>
        <w:t xml:space="preserve"> Oversees the Company’s executive compensation policies and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2722880</wp:posOffset>
            </wp:positionH>
            <wp:positionV relativeFrom="paragraph">
              <wp:posOffset>-218440</wp:posOffset>
            </wp:positionV>
            <wp:extent cx="17145" cy="171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-184150</wp:posOffset>
            </wp:positionV>
            <wp:extent cx="17145" cy="171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-149860</wp:posOffset>
            </wp:positionV>
            <wp:extent cx="17145" cy="171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-115570</wp:posOffset>
            </wp:positionV>
            <wp:extent cx="17145" cy="171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-81280</wp:posOffset>
            </wp:positionV>
            <wp:extent cx="17145" cy="171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-46990</wp:posOffset>
            </wp:positionV>
            <wp:extent cx="17145" cy="171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-12700</wp:posOffset>
            </wp:positionV>
            <wp:extent cx="17145" cy="171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20955</wp:posOffset>
            </wp:positionV>
            <wp:extent cx="17145" cy="171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55245</wp:posOffset>
            </wp:positionV>
            <wp:extent cx="17145" cy="171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89535</wp:posOffset>
            </wp:positionV>
            <wp:extent cx="17145" cy="171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spacing w:after="0" w:line="162" w:lineRule="exact"/>
        <w:rPr>
          <w:sz w:val="20"/>
          <w:szCs w:val="20"/>
          <w:color w:val="auto"/>
        </w:rPr>
      </w:pPr>
    </w:p>
    <w:p>
      <w:pPr>
        <w:ind w:left="180" w:hanging="179"/>
        <w:spacing w:after="0"/>
        <w:rPr>
          <w:sz w:val="20"/>
          <w:szCs w:val="20"/>
          <w:color w:val="auto"/>
        </w:rPr>
      </w:pPr>
      <w:r>
        <w:rPr>
          <w:sz w:val="1"/>
          <w:szCs w:val="1"/>
          <w:color w:val="auto"/>
        </w:rPr>
        <w:drawing>
          <wp:inline distT="0" distB="0" distL="0" distR="0">
            <wp:extent cx="85725" cy="94615"/>
            <wp:effectExtent l="0" t="0" r="0" b="0"/>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85725" cy="94615"/>
                    </a:xfrm>
                    <a:prstGeom prst="rect">
                      <a:avLst/>
                    </a:prstGeom>
                    <a:noFill/>
                    <a:ln>
                      <a:noFill/>
                    </a:ln>
                  </pic:spPr>
                </pic:pic>
              </a:graphicData>
            </a:graphic>
          </wp:inline>
        </w:drawing>
      </w:r>
      <w:r>
        <w:rPr>
          <w:rFonts w:ascii="Arial" w:cs="Arial" w:eastAsia="Arial" w:hAnsi="Arial"/>
          <w:sz w:val="16"/>
          <w:szCs w:val="16"/>
          <w:color w:val="auto"/>
        </w:rPr>
        <w:t xml:space="preserve"> Reviews and approves corporate goals and objectives, evaluates CEO performance, and determines CEO compensation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2722880</wp:posOffset>
            </wp:positionH>
            <wp:positionV relativeFrom="paragraph">
              <wp:posOffset>-355600</wp:posOffset>
            </wp:positionV>
            <wp:extent cx="17145" cy="171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-321310</wp:posOffset>
            </wp:positionV>
            <wp:extent cx="17145" cy="171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-287020</wp:posOffset>
            </wp:positionV>
            <wp:extent cx="17145" cy="171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-252730</wp:posOffset>
            </wp:positionV>
            <wp:extent cx="17145" cy="171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-218440</wp:posOffset>
            </wp:positionV>
            <wp:extent cx="17145" cy="171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-184150</wp:posOffset>
            </wp:positionV>
            <wp:extent cx="17145" cy="171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-149860</wp:posOffset>
            </wp:positionV>
            <wp:extent cx="17145" cy="171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-115570</wp:posOffset>
            </wp:positionV>
            <wp:extent cx="17145" cy="171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-81280</wp:posOffset>
            </wp:positionV>
            <wp:extent cx="17145" cy="171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-46990</wp:posOffset>
            </wp:positionV>
            <wp:extent cx="17145" cy="171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-12700</wp:posOffset>
            </wp:positionV>
            <wp:extent cx="17145" cy="171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20955</wp:posOffset>
            </wp:positionV>
            <wp:extent cx="17145" cy="171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55245</wp:posOffset>
            </wp:positionV>
            <wp:extent cx="17145" cy="171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89535</wp:posOffset>
            </wp:positionV>
            <wp:extent cx="17145" cy="171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spacing w:after="0" w:line="162" w:lineRule="exact"/>
        <w:rPr>
          <w:sz w:val="20"/>
          <w:szCs w:val="20"/>
          <w:color w:val="auto"/>
        </w:rPr>
      </w:pPr>
    </w:p>
    <w:p>
      <w:pPr>
        <w:ind w:left="180" w:right="180" w:hanging="179"/>
        <w:spacing w:after="0"/>
        <w:rPr>
          <w:sz w:val="20"/>
          <w:szCs w:val="20"/>
          <w:color w:val="auto"/>
        </w:rPr>
      </w:pPr>
      <w:r>
        <w:rPr>
          <w:sz w:val="1"/>
          <w:szCs w:val="1"/>
          <w:color w:val="auto"/>
        </w:rPr>
        <w:drawing>
          <wp:inline distT="0" distB="0" distL="0" distR="0">
            <wp:extent cx="85725" cy="94615"/>
            <wp:effectExtent l="0" t="0" r="0" b="0"/>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85725" cy="94615"/>
                    </a:xfrm>
                    <a:prstGeom prst="rect">
                      <a:avLst/>
                    </a:prstGeom>
                    <a:noFill/>
                    <a:ln>
                      <a:noFill/>
                    </a:ln>
                  </pic:spPr>
                </pic:pic>
              </a:graphicData>
            </a:graphic>
          </wp:inline>
        </w:drawing>
      </w:r>
      <w:r>
        <w:rPr>
          <w:rFonts w:ascii="Arial" w:cs="Arial" w:eastAsia="Arial" w:hAnsi="Arial"/>
          <w:sz w:val="16"/>
          <w:szCs w:val="16"/>
          <w:color w:val="auto"/>
        </w:rPr>
        <w:t xml:space="preserve"> Reviews and approves compensation of NEOs, executive officers, and other senior leaders under its purview;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2722880</wp:posOffset>
            </wp:positionH>
            <wp:positionV relativeFrom="paragraph">
              <wp:posOffset>-355600</wp:posOffset>
            </wp:positionV>
            <wp:extent cx="17145" cy="171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-321310</wp:posOffset>
            </wp:positionV>
            <wp:extent cx="17145" cy="171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-287020</wp:posOffset>
            </wp:positionV>
            <wp:extent cx="17145" cy="171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-252730</wp:posOffset>
            </wp:positionV>
            <wp:extent cx="17145" cy="171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-218440</wp:posOffset>
            </wp:positionV>
            <wp:extent cx="17145" cy="171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-184150</wp:posOffset>
            </wp:positionV>
            <wp:extent cx="17145" cy="171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-149860</wp:posOffset>
            </wp:positionV>
            <wp:extent cx="17145" cy="171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-115570</wp:posOffset>
            </wp:positionV>
            <wp:extent cx="17145" cy="171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-81280</wp:posOffset>
            </wp:positionV>
            <wp:extent cx="17145" cy="171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-46990</wp:posOffset>
            </wp:positionV>
            <wp:extent cx="17145" cy="171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-12700</wp:posOffset>
            </wp:positionV>
            <wp:extent cx="17145" cy="171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20955</wp:posOffset>
            </wp:positionV>
            <wp:extent cx="17145" cy="171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55245</wp:posOffset>
            </wp:positionV>
            <wp:extent cx="17145" cy="171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89535</wp:posOffset>
            </wp:positionV>
            <wp:extent cx="17145" cy="171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spacing w:after="0" w:line="162" w:lineRule="exact"/>
        <w:rPr>
          <w:sz w:val="20"/>
          <w:szCs w:val="20"/>
          <w:color w:val="auto"/>
        </w:rPr>
      </w:pPr>
    </w:p>
    <w:p>
      <w:pPr>
        <w:ind w:left="180" w:right="280" w:hanging="179"/>
        <w:spacing w:after="0"/>
        <w:rPr>
          <w:sz w:val="20"/>
          <w:szCs w:val="20"/>
          <w:color w:val="auto"/>
        </w:rPr>
      </w:pPr>
      <w:r>
        <w:rPr>
          <w:sz w:val="1"/>
          <w:szCs w:val="1"/>
          <w:color w:val="auto"/>
        </w:rPr>
        <w:drawing>
          <wp:inline distT="0" distB="0" distL="0" distR="0">
            <wp:extent cx="85725" cy="94615"/>
            <wp:effectExtent l="0" t="0" r="0" b="0"/>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85725" cy="94615"/>
                    </a:xfrm>
                    <a:prstGeom prst="rect">
                      <a:avLst/>
                    </a:prstGeom>
                    <a:noFill/>
                    <a:ln>
                      <a:noFill/>
                    </a:ln>
                  </pic:spPr>
                </pic:pic>
              </a:graphicData>
            </a:graphic>
          </wp:inline>
        </w:drawing>
      </w:r>
      <w:r>
        <w:rPr>
          <w:rFonts w:ascii="Arial" w:cs="Arial" w:eastAsia="Arial" w:hAnsi="Arial"/>
          <w:sz w:val="16"/>
          <w:szCs w:val="16"/>
          <w:color w:val="auto"/>
        </w:rPr>
        <w:t xml:space="preserve"> Oversees compensation policies and practices to assure the plans do not encourage unnecessary or excessive risks;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2722880</wp:posOffset>
            </wp:positionH>
            <wp:positionV relativeFrom="paragraph">
              <wp:posOffset>-355600</wp:posOffset>
            </wp:positionV>
            <wp:extent cx="17145" cy="171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-321310</wp:posOffset>
            </wp:positionV>
            <wp:extent cx="17145" cy="171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-287020</wp:posOffset>
            </wp:positionV>
            <wp:extent cx="17145" cy="171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-252730</wp:posOffset>
            </wp:positionV>
            <wp:extent cx="17145" cy="171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-218440</wp:posOffset>
            </wp:positionV>
            <wp:extent cx="17145" cy="171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-184150</wp:posOffset>
            </wp:positionV>
            <wp:extent cx="17145" cy="171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-149860</wp:posOffset>
            </wp:positionV>
            <wp:extent cx="17145" cy="171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-115570</wp:posOffset>
            </wp:positionV>
            <wp:extent cx="17145" cy="171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-81280</wp:posOffset>
            </wp:positionV>
            <wp:extent cx="17145" cy="171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-46990</wp:posOffset>
            </wp:positionV>
            <wp:extent cx="17145" cy="171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-12700</wp:posOffset>
            </wp:positionV>
            <wp:extent cx="17145" cy="171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20955</wp:posOffset>
            </wp:positionV>
            <wp:extent cx="17145" cy="171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55245</wp:posOffset>
            </wp:positionV>
            <wp:extent cx="17145" cy="171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89535</wp:posOffset>
            </wp:positionV>
            <wp:extent cx="17145" cy="171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spacing w:after="0" w:line="162" w:lineRule="exact"/>
        <w:rPr>
          <w:sz w:val="20"/>
          <w:szCs w:val="20"/>
          <w:color w:val="auto"/>
        </w:rPr>
      </w:pPr>
    </w:p>
    <w:p>
      <w:pPr>
        <w:jc w:val="right"/>
        <w:ind w:right="200"/>
        <w:spacing w:after="0" w:line="263" w:lineRule="auto"/>
        <w:rPr>
          <w:sz w:val="20"/>
          <w:szCs w:val="20"/>
          <w:color w:val="auto"/>
        </w:rPr>
      </w:pPr>
      <w:r>
        <w:rPr>
          <w:sz w:val="1"/>
          <w:szCs w:val="1"/>
          <w:color w:val="auto"/>
        </w:rPr>
        <w:drawing>
          <wp:inline distT="0" distB="0" distL="0" distR="0">
            <wp:extent cx="85725" cy="94615"/>
            <wp:effectExtent l="0" t="0" r="0" b="0"/>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85725" cy="94615"/>
                    </a:xfrm>
                    <a:prstGeom prst="rect">
                      <a:avLst/>
                    </a:prstGeom>
                    <a:noFill/>
                    <a:ln>
                      <a:noFill/>
                    </a:ln>
                  </pic:spPr>
                </pic:pic>
              </a:graphicData>
            </a:graphic>
          </wp:inline>
        </w:drawing>
      </w:r>
      <w:r>
        <w:rPr>
          <w:rFonts w:ascii="Arial" w:cs="Arial" w:eastAsia="Arial" w:hAnsi="Arial"/>
          <w:sz w:val="16"/>
          <w:szCs w:val="16"/>
          <w:color w:val="auto"/>
        </w:rPr>
        <w:t xml:space="preserve"> Oversees the Company’s policies and practices that promote diversity and inclusion within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-1581785</wp:posOffset>
            </wp:positionH>
            <wp:positionV relativeFrom="paragraph">
              <wp:posOffset>-247015</wp:posOffset>
            </wp:positionV>
            <wp:extent cx="4322445" cy="3600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4322445" cy="3600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340" w:hanging="179"/>
        <w:spacing w:after="0"/>
        <w:rPr>
          <w:sz w:val="20"/>
          <w:szCs w:val="20"/>
          <w:color w:val="auto"/>
        </w:rPr>
      </w:pPr>
      <w:r>
        <w:rPr>
          <w:sz w:val="1"/>
          <w:szCs w:val="1"/>
          <w:color w:val="auto"/>
        </w:rPr>
        <w:drawing>
          <wp:inline distT="0" distB="0" distL="0" distR="0">
            <wp:extent cx="85725" cy="94615"/>
            <wp:effectExtent l="0" t="0" r="0" b="0"/>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85725" cy="94615"/>
                    </a:xfrm>
                    <a:prstGeom prst="rect">
                      <a:avLst/>
                    </a:prstGeom>
                    <a:noFill/>
                    <a:ln>
                      <a:noFill/>
                    </a:ln>
                  </pic:spPr>
                </pic:pic>
              </a:graphicData>
            </a:graphic>
          </wp:inline>
        </w:drawing>
      </w:r>
      <w:r>
        <w:rPr>
          <w:rFonts w:ascii="Arial" w:cs="Arial" w:eastAsia="Arial" w:hAnsi="Arial"/>
          <w:sz w:val="16"/>
          <w:szCs w:val="16"/>
          <w:color w:val="auto"/>
        </w:rPr>
        <w:t xml:space="preserve"> Second full year of demonstrated pay for performance under new incentive plans introduced in 2014;</w:t>
      </w:r>
    </w:p>
    <w:p>
      <w:pPr>
        <w:spacing w:after="0" w:line="182" w:lineRule="exact"/>
        <w:rPr>
          <w:sz w:val="20"/>
          <w:szCs w:val="20"/>
          <w:color w:val="auto"/>
        </w:rPr>
      </w:pPr>
    </w:p>
    <w:p>
      <w:pPr>
        <w:ind w:right="280" w:hanging="179"/>
        <w:spacing w:after="0"/>
        <w:rPr>
          <w:sz w:val="20"/>
          <w:szCs w:val="20"/>
          <w:color w:val="auto"/>
        </w:rPr>
      </w:pPr>
      <w:r>
        <w:rPr>
          <w:sz w:val="1"/>
          <w:szCs w:val="1"/>
          <w:color w:val="auto"/>
        </w:rPr>
        <w:drawing>
          <wp:inline distT="0" distB="0" distL="0" distR="0">
            <wp:extent cx="85725" cy="94615"/>
            <wp:effectExtent l="0" t="0" r="0" b="0"/>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85725" cy="94615"/>
                    </a:xfrm>
                    <a:prstGeom prst="rect">
                      <a:avLst/>
                    </a:prstGeom>
                    <a:noFill/>
                    <a:ln>
                      <a:noFill/>
                    </a:ln>
                  </pic:spPr>
                </pic:pic>
              </a:graphicData>
            </a:graphic>
          </wp:inline>
        </w:drawing>
      </w:r>
      <w:r>
        <w:rPr>
          <w:rFonts w:ascii="Arial" w:cs="Arial" w:eastAsia="Arial" w:hAnsi="Arial"/>
          <w:sz w:val="16"/>
          <w:szCs w:val="16"/>
          <w:color w:val="auto"/>
        </w:rPr>
        <w:t xml:space="preserve"> Introduced non-compete and non-solicitation restrictive covenants for our most senior executives as part of Driving Stockholder Value Option Grant;</w:t>
      </w:r>
    </w:p>
    <w:p>
      <w:pPr>
        <w:spacing w:after="0" w:line="182" w:lineRule="exact"/>
        <w:rPr>
          <w:sz w:val="20"/>
          <w:szCs w:val="20"/>
          <w:color w:val="auto"/>
        </w:rPr>
      </w:pPr>
    </w:p>
    <w:p>
      <w:pPr>
        <w:ind w:right="340" w:hanging="179"/>
        <w:spacing w:after="0"/>
        <w:rPr>
          <w:sz w:val="20"/>
          <w:szCs w:val="20"/>
          <w:color w:val="auto"/>
        </w:rPr>
      </w:pPr>
      <w:r>
        <w:rPr>
          <w:sz w:val="1"/>
          <w:szCs w:val="1"/>
          <w:color w:val="auto"/>
        </w:rPr>
        <w:drawing>
          <wp:inline distT="0" distB="0" distL="0" distR="0">
            <wp:extent cx="85725" cy="94615"/>
            <wp:effectExtent l="0" t="0" r="0" b="0"/>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85725" cy="94615"/>
                    </a:xfrm>
                    <a:prstGeom prst="rect">
                      <a:avLst/>
                    </a:prstGeom>
                    <a:noFill/>
                    <a:ln>
                      <a:noFill/>
                    </a:ln>
                  </pic:spPr>
                </pic:pic>
              </a:graphicData>
            </a:graphic>
          </wp:inline>
        </w:drawing>
      </w:r>
      <w:r>
        <w:rPr>
          <w:rFonts w:ascii="Arial" w:cs="Arial" w:eastAsia="Arial" w:hAnsi="Arial"/>
          <w:sz w:val="16"/>
          <w:szCs w:val="16"/>
          <w:color w:val="auto"/>
        </w:rPr>
        <w:t xml:space="preserve"> Reviewed and discussed the impact of upcoming SEC regulations; and</w:t>
      </w:r>
    </w:p>
    <w:p>
      <w:pPr>
        <w:spacing w:after="0" w:line="182" w:lineRule="exact"/>
        <w:rPr>
          <w:sz w:val="20"/>
          <w:szCs w:val="20"/>
          <w:color w:val="auto"/>
        </w:rPr>
      </w:pPr>
    </w:p>
    <w:p>
      <w:pPr>
        <w:ind w:right="360" w:hanging="179"/>
        <w:spacing w:after="0"/>
        <w:rPr>
          <w:sz w:val="20"/>
          <w:szCs w:val="20"/>
          <w:color w:val="auto"/>
        </w:rPr>
      </w:pPr>
      <w:r>
        <w:rPr>
          <w:sz w:val="1"/>
          <w:szCs w:val="1"/>
          <w:color w:val="auto"/>
        </w:rPr>
        <w:drawing>
          <wp:inline distT="0" distB="0" distL="0" distR="0">
            <wp:extent cx="85725" cy="94615"/>
            <wp:effectExtent l="0" t="0" r="0" b="0"/>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85725" cy="94615"/>
                    </a:xfrm>
                    <a:prstGeom prst="rect">
                      <a:avLst/>
                    </a:prstGeom>
                    <a:noFill/>
                    <a:ln>
                      <a:noFill/>
                    </a:ln>
                  </pic:spPr>
                </pic:pic>
              </a:graphicData>
            </a:graphic>
          </wp:inline>
        </w:drawing>
      </w:r>
      <w:r>
        <w:rPr>
          <w:rFonts w:ascii="Arial" w:cs="Arial" w:eastAsia="Arial" w:hAnsi="Arial"/>
          <w:sz w:val="16"/>
          <w:szCs w:val="16"/>
          <w:color w:val="auto"/>
        </w:rPr>
        <w:t xml:space="preserve"> Adopted enhancements to the Committee’s Charter to align with best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715645</wp:posOffset>
            </wp:positionV>
            <wp:extent cx="284734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1162" w:lineRule="exact"/>
        <w:rPr>
          <w:sz w:val="20"/>
          <w:szCs w:val="20"/>
          <w:color w:val="auto"/>
        </w:rPr>
      </w:pPr>
    </w:p>
    <w:p>
      <w:pPr>
        <w:sectPr>
          <w:pgSz w:w="11900" w:h="16838" w:orient="portrait"/>
          <w:cols w:equalWidth="0" w:num="3">
            <w:col w:w="2200" w:space="300"/>
            <w:col w:w="4120" w:space="580"/>
            <w:col w:w="4220"/>
          </w:cols>
          <w:pgMar w:left="240" w:top="225" w:right="239" w:bottom="1440" w:gutter="0" w:footer="0" w:header="0"/>
          <w:type w:val="continuous"/>
        </w:sectPr>
      </w:pPr>
    </w:p>
    <w:p>
      <w:pPr>
        <w:spacing w:after="0" w:line="47"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Our Board has determined that each member of our Executive Compensation Committee is independent in accordance with NYSE listing standards and our corporate governance guidelines, as well as additional independence standards applicable to Compensation Committee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246620" cy="2603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165735</wp:posOffset>
            </wp:positionV>
            <wp:extent cx="1440815" cy="44577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440815" cy="44577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type w:val="continuous"/>
        </w:sectPr>
      </w:pPr>
    </w:p>
    <w:p>
      <w:pPr>
        <w:spacing w:after="0" w:line="324"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FFFFFF"/>
        </w:rPr>
        <w:t>GOVERNANCE AND</w:t>
      </w:r>
    </w:p>
    <w:p>
      <w:pPr>
        <w:spacing w:after="0" w:line="25"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FFFFFF"/>
        </w:rPr>
        <w:t>CORPORATE</w:t>
      </w:r>
    </w:p>
    <w:p>
      <w:pPr>
        <w:spacing w:after="0" w:line="5"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FFFFFF"/>
        </w:rPr>
        <w:t>RESPONSIBILITY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857885" cy="85788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857885" cy="8578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Members: </w:t>
      </w:r>
      <w:r>
        <w:rPr>
          <w:rFonts w:ascii="Arial" w:cs="Arial" w:eastAsia="Arial" w:hAnsi="Arial"/>
          <w:sz w:val="16"/>
          <w:szCs w:val="16"/>
          <w:b w:val="1"/>
          <w:bCs w:val="1"/>
          <w:color w:val="auto"/>
        </w:rPr>
        <w:t>Patricia F. Russo (Chair), Joseph Jimenez, Kathryn V. Marinello, and Carol M. Stephenson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Meetings held in 2015: </w:t>
      </w:r>
      <w:r>
        <w:rPr>
          <w:rFonts w:ascii="Arial" w:cs="Arial" w:eastAsia="Arial" w:hAnsi="Arial"/>
          <w:sz w:val="16"/>
          <w:szCs w:val="16"/>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48895</wp:posOffset>
            </wp:positionV>
            <wp:extent cx="5728335" cy="7747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5728335" cy="77470"/>
                    </a:xfrm>
                    <a:prstGeom prst="rect">
                      <a:avLst/>
                    </a:prstGeom>
                    <a:noFill/>
                  </pic:spPr>
                </pic:pic>
              </a:graphicData>
            </a:graphic>
          </wp:anchor>
        </w:drawing>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060" w:type="dxa"/>
            <w:vAlign w:val="bottom"/>
          </w:tcPr>
          <w:p>
            <w:pPr>
              <w:spacing w:after="0"/>
              <w:rPr>
                <w:sz w:val="20"/>
                <w:szCs w:val="20"/>
                <w:color w:val="auto"/>
              </w:rPr>
            </w:pPr>
            <w:r>
              <w:rPr>
                <w:rFonts w:ascii="Arial" w:cs="Arial" w:eastAsia="Arial" w:hAnsi="Arial"/>
                <w:sz w:val="16"/>
                <w:szCs w:val="16"/>
                <w:b w:val="1"/>
                <w:bCs w:val="1"/>
                <w:i w:val="1"/>
                <w:iCs w:val="1"/>
                <w:color w:val="1C90D3"/>
              </w:rPr>
              <w:t>Key Responsibilities</w:t>
            </w:r>
          </w:p>
        </w:tc>
        <w:tc>
          <w:tcPr>
            <w:tcW w:w="3600" w:type="dxa"/>
            <w:vAlign w:val="bottom"/>
          </w:tcPr>
          <w:p>
            <w:pPr>
              <w:ind w:left="1460"/>
              <w:spacing w:after="0"/>
              <w:rPr>
                <w:sz w:val="20"/>
                <w:szCs w:val="20"/>
                <w:color w:val="auto"/>
              </w:rPr>
            </w:pPr>
            <w:r>
              <w:rPr>
                <w:rFonts w:ascii="Arial" w:cs="Arial" w:eastAsia="Arial" w:hAnsi="Arial"/>
                <w:sz w:val="16"/>
                <w:szCs w:val="16"/>
                <w:b w:val="1"/>
                <w:bCs w:val="1"/>
                <w:i w:val="1"/>
                <w:iCs w:val="1"/>
                <w:color w:val="1C90D3"/>
              </w:rPr>
              <w:t>2015 Key Accomplishments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2722880</wp:posOffset>
            </wp:positionH>
            <wp:positionV relativeFrom="paragraph">
              <wp:posOffset>-98425</wp:posOffset>
            </wp:positionV>
            <wp:extent cx="17145" cy="171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-64135</wp:posOffset>
            </wp:positionV>
            <wp:extent cx="17145" cy="171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-29845</wp:posOffset>
            </wp:positionV>
            <wp:extent cx="17145" cy="171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3810</wp:posOffset>
            </wp:positionV>
            <wp:extent cx="17145" cy="171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38100</wp:posOffset>
            </wp:positionV>
            <wp:extent cx="17145" cy="171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72390</wp:posOffset>
            </wp:positionV>
            <wp:extent cx="17145" cy="171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106680</wp:posOffset>
            </wp:positionV>
            <wp:extent cx="17145" cy="171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spacing w:after="0" w:line="182" w:lineRule="exact"/>
        <w:rPr>
          <w:sz w:val="20"/>
          <w:szCs w:val="20"/>
          <w:color w:val="auto"/>
        </w:rPr>
      </w:pPr>
    </w:p>
    <w:p>
      <w:pPr>
        <w:sectPr>
          <w:pgSz w:w="11900" w:h="16838" w:orient="portrait"/>
          <w:cols w:equalWidth="0" w:num="2">
            <w:col w:w="1900" w:space="600"/>
            <w:col w:w="8920"/>
          </w:cols>
          <w:pgMar w:left="240" w:top="22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Patricia F. Russo, Chair</w:t>
      </w:r>
    </w:p>
    <w:p>
      <w:pPr>
        <w:spacing w:after="0" w:line="194" w:lineRule="exact"/>
        <w:rPr>
          <w:sz w:val="20"/>
          <w:szCs w:val="20"/>
          <w:color w:val="auto"/>
        </w:rPr>
      </w:pPr>
    </w:p>
    <w:p>
      <w:pPr>
        <w:spacing w:after="0" w:line="253" w:lineRule="auto"/>
        <w:rPr>
          <w:sz w:val="20"/>
          <w:szCs w:val="20"/>
          <w:color w:val="auto"/>
        </w:rPr>
      </w:pPr>
      <w:r>
        <w:rPr>
          <w:rFonts w:ascii="Arial" w:cs="Arial" w:eastAsia="Arial" w:hAnsi="Arial"/>
          <w:sz w:val="16"/>
          <w:szCs w:val="16"/>
          <w:b w:val="1"/>
          <w:bCs w:val="1"/>
          <w:i w:val="1"/>
          <w:iCs w:val="1"/>
          <w:color w:val="08228B"/>
        </w:rPr>
        <w:t>“Investor engagement, the addition of new Board members and our new leadership structure, as well as governance enhancements, were key priorities for 2015.”</w:t>
      </w:r>
    </w:p>
    <w:p>
      <w:pPr>
        <w:spacing w:after="0" w:line="20" w:lineRule="exact"/>
        <w:rPr>
          <w:sz w:val="20"/>
          <w:szCs w:val="20"/>
          <w:color w:val="auto"/>
        </w:rPr>
      </w:pPr>
      <w:r>
        <w:rPr>
          <w:sz w:val="20"/>
          <w:szCs w:val="20"/>
          <w:color w:val="auto"/>
        </w:rPr>
        <w:br w:type="column"/>
      </w:r>
    </w:p>
    <w:p>
      <w:pPr>
        <w:ind w:right="80" w:hanging="179"/>
        <w:spacing w:after="0"/>
        <w:rPr>
          <w:sz w:val="20"/>
          <w:szCs w:val="20"/>
          <w:color w:val="auto"/>
        </w:rPr>
      </w:pPr>
      <w:r>
        <w:rPr>
          <w:sz w:val="1"/>
          <w:szCs w:val="1"/>
          <w:color w:val="auto"/>
        </w:rPr>
        <w:drawing>
          <wp:inline distT="0" distB="0" distL="0" distR="0">
            <wp:extent cx="85725" cy="94615"/>
            <wp:effectExtent l="0" t="0" r="0" b="0"/>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85725" cy="94615"/>
                    </a:xfrm>
                    <a:prstGeom prst="rect">
                      <a:avLst/>
                    </a:prstGeom>
                    <a:noFill/>
                    <a:ln>
                      <a:noFill/>
                    </a:ln>
                  </pic:spPr>
                </pic:pic>
              </a:graphicData>
            </a:graphic>
          </wp:inline>
        </w:drawing>
      </w:r>
      <w:r>
        <w:rPr>
          <w:rFonts w:ascii="Arial" w:cs="Arial" w:eastAsia="Arial" w:hAnsi="Arial"/>
          <w:sz w:val="16"/>
          <w:szCs w:val="16"/>
          <w:color w:val="auto"/>
        </w:rPr>
        <w:t xml:space="preserve"> Reviews the appropriate composition of the Board and recommends Board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2608580</wp:posOffset>
            </wp:positionH>
            <wp:positionV relativeFrom="paragraph">
              <wp:posOffset>-218440</wp:posOffset>
            </wp:positionV>
            <wp:extent cx="17145" cy="171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-184150</wp:posOffset>
            </wp:positionV>
            <wp:extent cx="17145" cy="171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-149860</wp:posOffset>
            </wp:positionV>
            <wp:extent cx="17145" cy="171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-115570</wp:posOffset>
            </wp:positionV>
            <wp:extent cx="17145" cy="171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-81280</wp:posOffset>
            </wp:positionV>
            <wp:extent cx="17145" cy="171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-46990</wp:posOffset>
            </wp:positionV>
            <wp:extent cx="17145" cy="171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-12700</wp:posOffset>
            </wp:positionV>
            <wp:extent cx="17145" cy="171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20955</wp:posOffset>
            </wp:positionV>
            <wp:extent cx="17145" cy="171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55245</wp:posOffset>
            </wp:positionV>
            <wp:extent cx="17145" cy="171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89535</wp:posOffset>
            </wp:positionV>
            <wp:extent cx="17145" cy="171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spacing w:after="0" w:line="162" w:lineRule="exact"/>
        <w:rPr>
          <w:sz w:val="20"/>
          <w:szCs w:val="20"/>
          <w:color w:val="auto"/>
        </w:rPr>
      </w:pPr>
    </w:p>
    <w:p>
      <w:pPr>
        <w:ind w:right="40" w:hanging="179"/>
        <w:spacing w:after="0"/>
        <w:rPr>
          <w:sz w:val="20"/>
          <w:szCs w:val="20"/>
          <w:color w:val="auto"/>
        </w:rPr>
      </w:pPr>
      <w:r>
        <w:rPr>
          <w:sz w:val="1"/>
          <w:szCs w:val="1"/>
          <w:color w:val="auto"/>
        </w:rPr>
        <w:drawing>
          <wp:inline distT="0" distB="0" distL="0" distR="0">
            <wp:extent cx="85725" cy="94615"/>
            <wp:effectExtent l="0" t="0" r="0" b="0"/>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85725" cy="94615"/>
                    </a:xfrm>
                    <a:prstGeom prst="rect">
                      <a:avLst/>
                    </a:prstGeom>
                    <a:noFill/>
                    <a:ln>
                      <a:noFill/>
                    </a:ln>
                  </pic:spPr>
                </pic:pic>
              </a:graphicData>
            </a:graphic>
          </wp:inline>
        </w:drawing>
      </w:r>
      <w:r>
        <w:rPr>
          <w:rFonts w:ascii="Arial" w:cs="Arial" w:eastAsia="Arial" w:hAnsi="Arial"/>
          <w:sz w:val="16"/>
          <w:szCs w:val="16"/>
          <w:color w:val="auto"/>
        </w:rPr>
        <w:t xml:space="preserve"> Establishes the Company’s corporate governance framework, including all significant governance policies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2608580</wp:posOffset>
            </wp:positionH>
            <wp:positionV relativeFrom="paragraph">
              <wp:posOffset>-355600</wp:posOffset>
            </wp:positionV>
            <wp:extent cx="17145" cy="171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-321310</wp:posOffset>
            </wp:positionV>
            <wp:extent cx="17145" cy="171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-287020</wp:posOffset>
            </wp:positionV>
            <wp:extent cx="17145" cy="171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-252730</wp:posOffset>
            </wp:positionV>
            <wp:extent cx="17145" cy="171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-218440</wp:posOffset>
            </wp:positionV>
            <wp:extent cx="17145" cy="171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-184150</wp:posOffset>
            </wp:positionV>
            <wp:extent cx="17145" cy="171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-149860</wp:posOffset>
            </wp:positionV>
            <wp:extent cx="17145" cy="171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-115570</wp:posOffset>
            </wp:positionV>
            <wp:extent cx="17145" cy="171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-81280</wp:posOffset>
            </wp:positionV>
            <wp:extent cx="17145" cy="171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-46990</wp:posOffset>
            </wp:positionV>
            <wp:extent cx="17145" cy="171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-12700</wp:posOffset>
            </wp:positionV>
            <wp:extent cx="17145" cy="171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20955</wp:posOffset>
            </wp:positionV>
            <wp:extent cx="17145" cy="171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55245</wp:posOffset>
            </wp:positionV>
            <wp:extent cx="17145" cy="171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89535</wp:posOffset>
            </wp:positionV>
            <wp:extent cx="17145" cy="171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spacing w:after="0" w:line="162" w:lineRule="exact"/>
        <w:rPr>
          <w:sz w:val="20"/>
          <w:szCs w:val="20"/>
          <w:color w:val="auto"/>
        </w:rPr>
      </w:pPr>
    </w:p>
    <w:p>
      <w:pPr>
        <w:ind w:right="60" w:hanging="179"/>
        <w:spacing w:after="0"/>
        <w:rPr>
          <w:sz w:val="20"/>
          <w:szCs w:val="20"/>
          <w:color w:val="auto"/>
        </w:rPr>
      </w:pPr>
      <w:r>
        <w:rPr>
          <w:sz w:val="1"/>
          <w:szCs w:val="1"/>
          <w:color w:val="auto"/>
        </w:rPr>
        <w:drawing>
          <wp:inline distT="0" distB="0" distL="0" distR="0">
            <wp:extent cx="85725" cy="94615"/>
            <wp:effectExtent l="0" t="0" r="0" b="0"/>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85725" cy="94615"/>
                    </a:xfrm>
                    <a:prstGeom prst="rect">
                      <a:avLst/>
                    </a:prstGeom>
                    <a:noFill/>
                    <a:ln>
                      <a:noFill/>
                    </a:ln>
                  </pic:spPr>
                </pic:pic>
              </a:graphicData>
            </a:graphic>
          </wp:inline>
        </w:drawing>
      </w:r>
      <w:r>
        <w:rPr>
          <w:rFonts w:ascii="Arial" w:cs="Arial" w:eastAsia="Arial" w:hAnsi="Arial"/>
          <w:sz w:val="16"/>
          <w:szCs w:val="16"/>
          <w:color w:val="auto"/>
        </w:rPr>
        <w:t xml:space="preserve"> Oversees the self-evaluation process of the Board and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2608580</wp:posOffset>
            </wp:positionH>
            <wp:positionV relativeFrom="paragraph">
              <wp:posOffset>-235585</wp:posOffset>
            </wp:positionV>
            <wp:extent cx="17145" cy="171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-201295</wp:posOffset>
            </wp:positionV>
            <wp:extent cx="17145" cy="171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-167005</wp:posOffset>
            </wp:positionV>
            <wp:extent cx="17145" cy="171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-132715</wp:posOffset>
            </wp:positionV>
            <wp:extent cx="17145" cy="171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-98425</wp:posOffset>
            </wp:positionV>
            <wp:extent cx="17145" cy="171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-64135</wp:posOffset>
            </wp:positionV>
            <wp:extent cx="17145" cy="171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-29845</wp:posOffset>
            </wp:positionV>
            <wp:extent cx="17145" cy="171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3810</wp:posOffset>
            </wp:positionV>
            <wp:extent cx="17145" cy="171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38100</wp:posOffset>
            </wp:positionV>
            <wp:extent cx="17145" cy="171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72390</wp:posOffset>
            </wp:positionV>
            <wp:extent cx="17145" cy="171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106680</wp:posOffset>
            </wp:positionV>
            <wp:extent cx="17145" cy="171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spacing w:after="0" w:line="162" w:lineRule="exact"/>
        <w:rPr>
          <w:sz w:val="20"/>
          <w:szCs w:val="20"/>
          <w:color w:val="auto"/>
        </w:rPr>
      </w:pPr>
    </w:p>
    <w:p>
      <w:pPr>
        <w:ind w:hanging="179"/>
        <w:spacing w:after="0"/>
        <w:rPr>
          <w:sz w:val="20"/>
          <w:szCs w:val="20"/>
          <w:color w:val="auto"/>
        </w:rPr>
      </w:pPr>
      <w:r>
        <w:rPr>
          <w:sz w:val="1"/>
          <w:szCs w:val="1"/>
          <w:color w:val="auto"/>
        </w:rPr>
        <w:drawing>
          <wp:inline distT="0" distB="0" distL="0" distR="0">
            <wp:extent cx="85725" cy="94615"/>
            <wp:effectExtent l="0" t="0" r="0" b="0"/>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85725" cy="94615"/>
                    </a:xfrm>
                    <a:prstGeom prst="rect">
                      <a:avLst/>
                    </a:prstGeom>
                    <a:noFill/>
                    <a:ln>
                      <a:noFill/>
                    </a:ln>
                  </pic:spPr>
                </pic:pic>
              </a:graphicData>
            </a:graphic>
          </wp:inline>
        </w:drawing>
      </w:r>
      <w:r>
        <w:rPr>
          <w:rFonts w:ascii="Arial" w:cs="Arial" w:eastAsia="Arial" w:hAnsi="Arial"/>
          <w:sz w:val="16"/>
          <w:szCs w:val="16"/>
          <w:color w:val="auto"/>
        </w:rPr>
        <w:t xml:space="preserve"> Recommends compensation of non-employee directors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2608580</wp:posOffset>
            </wp:positionH>
            <wp:positionV relativeFrom="paragraph">
              <wp:posOffset>-218440</wp:posOffset>
            </wp:positionV>
            <wp:extent cx="17145" cy="171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-184150</wp:posOffset>
            </wp:positionV>
            <wp:extent cx="17145" cy="171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-149860</wp:posOffset>
            </wp:positionV>
            <wp:extent cx="17145" cy="171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-115570</wp:posOffset>
            </wp:positionV>
            <wp:extent cx="17145" cy="171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-81280</wp:posOffset>
            </wp:positionV>
            <wp:extent cx="17145" cy="171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-46990</wp:posOffset>
            </wp:positionV>
            <wp:extent cx="17145" cy="171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-12700</wp:posOffset>
            </wp:positionV>
            <wp:extent cx="17145" cy="171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20955</wp:posOffset>
            </wp:positionV>
            <wp:extent cx="17145" cy="171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55245</wp:posOffset>
            </wp:positionV>
            <wp:extent cx="17145" cy="171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89535</wp:posOffset>
            </wp:positionV>
            <wp:extent cx="17145" cy="171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spacing w:after="0" w:line="162" w:lineRule="exact"/>
        <w:rPr>
          <w:sz w:val="20"/>
          <w:szCs w:val="20"/>
          <w:color w:val="auto"/>
        </w:rPr>
      </w:pPr>
    </w:p>
    <w:p>
      <w:pPr>
        <w:ind w:right="200" w:hanging="179"/>
        <w:spacing w:after="0"/>
        <w:rPr>
          <w:sz w:val="20"/>
          <w:szCs w:val="20"/>
          <w:color w:val="auto"/>
        </w:rPr>
      </w:pPr>
      <w:r>
        <w:rPr>
          <w:sz w:val="1"/>
          <w:szCs w:val="1"/>
          <w:color w:val="auto"/>
        </w:rPr>
        <w:drawing>
          <wp:inline distT="0" distB="0" distL="0" distR="0">
            <wp:extent cx="85725" cy="94615"/>
            <wp:effectExtent l="0" t="0" r="0" b="0"/>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85725" cy="94615"/>
                    </a:xfrm>
                    <a:prstGeom prst="rect">
                      <a:avLst/>
                    </a:prstGeom>
                    <a:noFill/>
                    <a:ln>
                      <a:noFill/>
                    </a:ln>
                  </pic:spPr>
                </pic:pic>
              </a:graphicData>
            </a:graphic>
          </wp:inline>
        </w:drawing>
      </w:r>
      <w:r>
        <w:rPr>
          <w:rFonts w:ascii="Arial" w:cs="Arial" w:eastAsia="Arial" w:hAnsi="Arial"/>
          <w:sz w:val="16"/>
          <w:szCs w:val="16"/>
          <w:color w:val="auto"/>
        </w:rPr>
        <w:t xml:space="preserve"> Reviews and approves related party transactions, as applicable;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2608580</wp:posOffset>
            </wp:positionH>
            <wp:positionV relativeFrom="paragraph">
              <wp:posOffset>-235585</wp:posOffset>
            </wp:positionV>
            <wp:extent cx="17145" cy="171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-201295</wp:posOffset>
            </wp:positionV>
            <wp:extent cx="17145" cy="171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-167005</wp:posOffset>
            </wp:positionV>
            <wp:extent cx="17145" cy="171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-132715</wp:posOffset>
            </wp:positionV>
            <wp:extent cx="17145" cy="171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-98425</wp:posOffset>
            </wp:positionV>
            <wp:extent cx="17145" cy="171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-64135</wp:posOffset>
            </wp:positionV>
            <wp:extent cx="17145" cy="171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-29845</wp:posOffset>
            </wp:positionV>
            <wp:extent cx="17145" cy="171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3810</wp:posOffset>
            </wp:positionV>
            <wp:extent cx="17145" cy="171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38100</wp:posOffset>
            </wp:positionV>
            <wp:extent cx="17145" cy="171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72390</wp:posOffset>
            </wp:positionV>
            <wp:extent cx="17145" cy="171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106680</wp:posOffset>
            </wp:positionV>
            <wp:extent cx="17145" cy="171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spacing w:after="0" w:line="162" w:lineRule="exact"/>
        <w:rPr>
          <w:sz w:val="20"/>
          <w:szCs w:val="20"/>
          <w:color w:val="auto"/>
        </w:rPr>
      </w:pPr>
    </w:p>
    <w:p>
      <w:pPr>
        <w:ind w:right="180" w:hanging="179"/>
        <w:spacing w:after="0"/>
        <w:rPr>
          <w:sz w:val="20"/>
          <w:szCs w:val="20"/>
          <w:color w:val="auto"/>
        </w:rPr>
      </w:pPr>
      <w:r>
        <w:rPr>
          <w:sz w:val="1"/>
          <w:szCs w:val="1"/>
          <w:color w:val="auto"/>
        </w:rPr>
        <w:drawing>
          <wp:inline distT="0" distB="0" distL="0" distR="0">
            <wp:extent cx="85725" cy="94615"/>
            <wp:effectExtent l="0" t="0" r="0" b="0"/>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85725" cy="94615"/>
                    </a:xfrm>
                    <a:prstGeom prst="rect">
                      <a:avLst/>
                    </a:prstGeom>
                    <a:noFill/>
                    <a:ln>
                      <a:noFill/>
                    </a:ln>
                  </pic:spPr>
                </pic:pic>
              </a:graphicData>
            </a:graphic>
          </wp:inline>
        </w:drawing>
      </w:r>
      <w:r>
        <w:rPr>
          <w:rFonts w:ascii="Arial" w:cs="Arial" w:eastAsia="Arial" w:hAnsi="Arial"/>
          <w:sz w:val="16"/>
          <w:szCs w:val="16"/>
          <w:color w:val="auto"/>
        </w:rPr>
        <w:t xml:space="preserve"> Oversees Company policies and strategies related to corporate responsibility, sustainability, and political contributions.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-1696085</wp:posOffset>
            </wp:positionH>
            <wp:positionV relativeFrom="paragraph">
              <wp:posOffset>-338455</wp:posOffset>
            </wp:positionV>
            <wp:extent cx="4322445" cy="46291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4322445" cy="4629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80" w:right="180" w:hanging="179"/>
        <w:spacing w:after="0"/>
        <w:rPr>
          <w:sz w:val="20"/>
          <w:szCs w:val="20"/>
          <w:color w:val="auto"/>
        </w:rPr>
      </w:pPr>
      <w:r>
        <w:rPr>
          <w:sz w:val="1"/>
          <w:szCs w:val="1"/>
          <w:color w:val="auto"/>
        </w:rPr>
        <w:drawing>
          <wp:inline distT="0" distB="0" distL="0" distR="0">
            <wp:extent cx="85725" cy="94615"/>
            <wp:effectExtent l="0" t="0" r="0" b="0"/>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85725" cy="94615"/>
                    </a:xfrm>
                    <a:prstGeom prst="rect">
                      <a:avLst/>
                    </a:prstGeom>
                    <a:noFill/>
                    <a:ln>
                      <a:noFill/>
                    </a:ln>
                  </pic:spPr>
                </pic:pic>
              </a:graphicData>
            </a:graphic>
          </wp:inline>
        </w:drawing>
      </w:r>
      <w:r>
        <w:rPr>
          <w:rFonts w:ascii="Arial" w:cs="Arial" w:eastAsia="Arial" w:hAnsi="Arial"/>
          <w:sz w:val="16"/>
          <w:szCs w:val="16"/>
          <w:color w:val="auto"/>
        </w:rPr>
        <w:t xml:space="preserve"> Realigned Board leadership structure to combine the Chairman and CEO roles and appointed an independent Lead Director;</w:t>
      </w:r>
    </w:p>
    <w:p>
      <w:pPr>
        <w:spacing w:after="0" w:line="182" w:lineRule="exact"/>
        <w:rPr>
          <w:sz w:val="20"/>
          <w:szCs w:val="20"/>
          <w:color w:val="auto"/>
        </w:rPr>
      </w:pPr>
    </w:p>
    <w:p>
      <w:pPr>
        <w:spacing w:after="0"/>
        <w:rPr>
          <w:sz w:val="20"/>
          <w:szCs w:val="20"/>
          <w:color w:val="auto"/>
        </w:rPr>
      </w:pPr>
      <w:r>
        <w:rPr>
          <w:sz w:val="1"/>
          <w:szCs w:val="1"/>
          <w:color w:val="auto"/>
        </w:rPr>
        <w:drawing>
          <wp:inline distT="0" distB="0" distL="0" distR="0">
            <wp:extent cx="85725" cy="94615"/>
            <wp:effectExtent l="0" t="0" r="0" b="0"/>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85725" cy="94615"/>
                    </a:xfrm>
                    <a:prstGeom prst="rect">
                      <a:avLst/>
                    </a:prstGeom>
                    <a:noFill/>
                    <a:ln>
                      <a:noFill/>
                    </a:ln>
                  </pic:spPr>
                </pic:pic>
              </a:graphicData>
            </a:graphic>
          </wp:inline>
        </w:drawing>
      </w:r>
      <w:r>
        <w:rPr>
          <w:rFonts w:ascii="Arial" w:cs="Arial" w:eastAsia="Arial" w:hAnsi="Arial"/>
          <w:sz w:val="16"/>
          <w:szCs w:val="16"/>
          <w:color w:val="auto"/>
        </w:rPr>
        <w:t xml:space="preserve"> Appointed two highly regarded directors, Linda R.</w:t>
      </w:r>
    </w:p>
    <w:p>
      <w:pPr>
        <w:spacing w:after="0" w:line="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Gooden and Joseph Jimenez;</w:t>
      </w:r>
    </w:p>
    <w:p>
      <w:pPr>
        <w:spacing w:after="0" w:line="192" w:lineRule="exact"/>
        <w:rPr>
          <w:sz w:val="20"/>
          <w:szCs w:val="20"/>
          <w:color w:val="auto"/>
        </w:rPr>
      </w:pPr>
    </w:p>
    <w:p>
      <w:pPr>
        <w:ind w:left="180" w:right="200" w:hanging="179"/>
        <w:spacing w:after="0"/>
        <w:rPr>
          <w:sz w:val="20"/>
          <w:szCs w:val="20"/>
          <w:color w:val="auto"/>
        </w:rPr>
      </w:pPr>
      <w:r>
        <w:rPr>
          <w:sz w:val="1"/>
          <w:szCs w:val="1"/>
          <w:color w:val="auto"/>
        </w:rPr>
        <w:drawing>
          <wp:inline distT="0" distB="0" distL="0" distR="0">
            <wp:extent cx="85725" cy="94615"/>
            <wp:effectExtent l="0" t="0" r="0" b="0"/>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85725" cy="94615"/>
                    </a:xfrm>
                    <a:prstGeom prst="rect">
                      <a:avLst/>
                    </a:prstGeom>
                    <a:noFill/>
                    <a:ln>
                      <a:noFill/>
                    </a:ln>
                  </pic:spPr>
                </pic:pic>
              </a:graphicData>
            </a:graphic>
          </wp:inline>
        </w:drawing>
      </w:r>
      <w:r>
        <w:rPr>
          <w:rFonts w:ascii="Arial" w:cs="Arial" w:eastAsia="Arial" w:hAnsi="Arial"/>
          <w:sz w:val="16"/>
          <w:szCs w:val="16"/>
          <w:color w:val="auto"/>
        </w:rPr>
        <w:t xml:space="preserve"> Undertook a comprehensive review of proxy access that led to the recent adoption of a proxy access bylaw;</w:t>
      </w:r>
    </w:p>
    <w:p>
      <w:pPr>
        <w:spacing w:after="0" w:line="182" w:lineRule="exact"/>
        <w:rPr>
          <w:sz w:val="20"/>
          <w:szCs w:val="20"/>
          <w:color w:val="auto"/>
        </w:rPr>
      </w:pPr>
    </w:p>
    <w:p>
      <w:pPr>
        <w:jc w:val="both"/>
        <w:ind w:left="180" w:right="260" w:hanging="179"/>
        <w:spacing w:after="0"/>
        <w:rPr>
          <w:sz w:val="20"/>
          <w:szCs w:val="20"/>
          <w:color w:val="auto"/>
        </w:rPr>
      </w:pPr>
      <w:r>
        <w:rPr>
          <w:sz w:val="1"/>
          <w:szCs w:val="1"/>
          <w:color w:val="auto"/>
        </w:rPr>
        <w:drawing>
          <wp:inline distT="0" distB="0" distL="0" distR="0">
            <wp:extent cx="85725" cy="94615"/>
            <wp:effectExtent l="0" t="0" r="0" b="0"/>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85725" cy="94615"/>
                    </a:xfrm>
                    <a:prstGeom prst="rect">
                      <a:avLst/>
                    </a:prstGeom>
                    <a:noFill/>
                    <a:ln>
                      <a:noFill/>
                    </a:ln>
                  </pic:spPr>
                </pic:pic>
              </a:graphicData>
            </a:graphic>
          </wp:inline>
        </w:drawing>
      </w:r>
      <w:r>
        <w:rPr>
          <w:rFonts w:ascii="Arial" w:cs="Arial" w:eastAsia="Arial" w:hAnsi="Arial"/>
          <w:sz w:val="16"/>
          <w:szCs w:val="16"/>
          <w:color w:val="auto"/>
        </w:rPr>
        <w:t xml:space="preserve"> Adopted Director-Shareholder Engagement Policy and have had and will continue to have direct conversations with investors; and</w:t>
      </w:r>
    </w:p>
    <w:p>
      <w:pPr>
        <w:spacing w:after="0" w:line="182" w:lineRule="exact"/>
        <w:rPr>
          <w:sz w:val="20"/>
          <w:szCs w:val="20"/>
          <w:color w:val="auto"/>
        </w:rPr>
      </w:pPr>
    </w:p>
    <w:p>
      <w:pPr>
        <w:ind w:left="180" w:right="520" w:hanging="179"/>
        <w:spacing w:after="0"/>
        <w:rPr>
          <w:sz w:val="20"/>
          <w:szCs w:val="20"/>
          <w:color w:val="auto"/>
        </w:rPr>
      </w:pPr>
      <w:r>
        <w:rPr>
          <w:sz w:val="1"/>
          <w:szCs w:val="1"/>
          <w:color w:val="auto"/>
        </w:rPr>
        <w:drawing>
          <wp:inline distT="0" distB="0" distL="0" distR="0">
            <wp:extent cx="85725" cy="94615"/>
            <wp:effectExtent l="0" t="0" r="0" b="0"/>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85725" cy="94615"/>
                    </a:xfrm>
                    <a:prstGeom prst="rect">
                      <a:avLst/>
                    </a:prstGeom>
                    <a:noFill/>
                    <a:ln>
                      <a:noFill/>
                    </a:ln>
                  </pic:spPr>
                </pic:pic>
              </a:graphicData>
            </a:graphic>
          </wp:inline>
        </w:drawing>
      </w:r>
      <w:r>
        <w:rPr>
          <w:rFonts w:ascii="Arial" w:cs="Arial" w:eastAsia="Arial" w:hAnsi="Arial"/>
          <w:sz w:val="16"/>
          <w:szCs w:val="16"/>
          <w:color w:val="auto"/>
        </w:rPr>
        <w:t xml:space="preserve"> Amended the Board’s Governance Guidelines, Committee Charter and other related policies based upon a comprehensive governance review.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wp:posOffset>
            </wp:positionH>
            <wp:positionV relativeFrom="paragraph">
              <wp:posOffset>355600</wp:posOffset>
            </wp:positionV>
            <wp:extent cx="2847340"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578" w:lineRule="exact"/>
        <w:rPr>
          <w:sz w:val="20"/>
          <w:szCs w:val="20"/>
          <w:color w:val="auto"/>
        </w:rPr>
      </w:pPr>
    </w:p>
    <w:p>
      <w:pPr>
        <w:sectPr>
          <w:pgSz w:w="11900" w:h="16838" w:orient="portrait"/>
          <w:cols w:equalWidth="0" w:num="3">
            <w:col w:w="2180" w:space="500"/>
            <w:col w:w="3980" w:space="360"/>
            <w:col w:w="4400"/>
          </w:cols>
          <w:pgMar w:left="240" w:top="225" w:right="239" w:bottom="1440" w:gutter="0" w:footer="0" w:header="0"/>
          <w:type w:val="continuous"/>
        </w:sectPr>
      </w:pPr>
    </w:p>
    <w:p>
      <w:pPr>
        <w:spacing w:after="0" w:line="65"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Our Board has determined that each member of our Governance and Corporate Responsibility Committee is independent in accordance with the NYSE listing standards and our corporate governance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246620" cy="2603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13"/>
        </w:trPr>
        <w:tc>
          <w:tcPr>
            <w:tcW w:w="4340" w:type="dxa"/>
            <w:vAlign w:val="bottom"/>
            <w:tcBorders>
              <w:bottom w:val="single" w:sz="8" w:color="08228B"/>
            </w:tcBorders>
          </w:tcPr>
          <w:p>
            <w:pPr>
              <w:spacing w:after="0"/>
              <w:rPr>
                <w:sz w:val="9"/>
                <w:szCs w:val="9"/>
                <w:color w:val="auto"/>
              </w:rPr>
            </w:pPr>
          </w:p>
        </w:tc>
        <w:tc>
          <w:tcPr>
            <w:tcW w:w="2060" w:type="dxa"/>
            <w:vAlign w:val="bottom"/>
            <w:vMerge w:val="restart"/>
          </w:tcPr>
          <w:p>
            <w:pPr>
              <w:ind w:left="60"/>
              <w:spacing w:after="0"/>
              <w:rPr>
                <w:sz w:val="20"/>
                <w:szCs w:val="20"/>
                <w:color w:val="auto"/>
              </w:rPr>
            </w:pPr>
            <w:r>
              <w:rPr>
                <w:rFonts w:ascii="Arial" w:cs="Arial" w:eastAsia="Arial" w:hAnsi="Arial"/>
                <w:sz w:val="16"/>
                <w:szCs w:val="16"/>
                <w:b w:val="1"/>
                <w:bCs w:val="1"/>
                <w:color w:val="1C90D3"/>
              </w:rPr>
              <w:t xml:space="preserve">2016 </w:t>
            </w:r>
            <w:r>
              <w:rPr>
                <w:rFonts w:ascii="Arial" w:cs="Arial" w:eastAsia="Arial" w:hAnsi="Arial"/>
                <w:sz w:val="16"/>
                <w:szCs w:val="16"/>
                <w:color w:val="08228B"/>
              </w:rPr>
              <w:t>PROXY STATEMENT</w:t>
            </w:r>
          </w:p>
        </w:tc>
        <w:tc>
          <w:tcPr>
            <w:tcW w:w="2400" w:type="dxa"/>
            <w:vAlign w:val="bottom"/>
            <w:tcBorders>
              <w:bottom w:val="single" w:sz="8" w:color="08228B"/>
            </w:tcBorders>
          </w:tcPr>
          <w:p>
            <w:pPr>
              <w:spacing w:after="0"/>
              <w:rPr>
                <w:sz w:val="9"/>
                <w:szCs w:val="9"/>
                <w:color w:val="auto"/>
              </w:rPr>
            </w:pPr>
          </w:p>
        </w:tc>
        <w:tc>
          <w:tcPr>
            <w:tcW w:w="2620" w:type="dxa"/>
            <w:vAlign w:val="bottom"/>
            <w:vMerge w:val="restart"/>
          </w:tcPr>
          <w:p>
            <w:pPr>
              <w:jc w:val="right"/>
              <w:ind w:right="39"/>
              <w:spacing w:after="0"/>
              <w:rPr>
                <w:sz w:val="20"/>
                <w:szCs w:val="20"/>
                <w:color w:val="auto"/>
              </w:rPr>
            </w:pPr>
            <w:r>
              <w:rPr>
                <w:rFonts w:ascii="Arial" w:cs="Arial" w:eastAsia="Arial" w:hAnsi="Arial"/>
                <w:sz w:val="16"/>
                <w:szCs w:val="16"/>
                <w:color w:val="08228B"/>
              </w:rPr>
              <w:t>25</w:t>
            </w:r>
          </w:p>
        </w:tc>
        <w:tc>
          <w:tcPr>
            <w:tcW w:w="0" w:type="dxa"/>
            <w:vAlign w:val="bottom"/>
          </w:tcPr>
          <w:p>
            <w:pPr>
              <w:spacing w:after="0"/>
              <w:rPr>
                <w:sz w:val="1"/>
                <w:szCs w:val="1"/>
                <w:color w:val="auto"/>
              </w:rPr>
            </w:pPr>
          </w:p>
        </w:tc>
      </w:tr>
      <w:tr>
        <w:trPr>
          <w:trHeight w:val="82"/>
        </w:trPr>
        <w:tc>
          <w:tcPr>
            <w:tcW w:w="4340" w:type="dxa"/>
            <w:vAlign w:val="bottom"/>
          </w:tcPr>
          <w:p>
            <w:pPr>
              <w:spacing w:after="0"/>
              <w:rPr>
                <w:sz w:val="7"/>
                <w:szCs w:val="7"/>
                <w:color w:val="auto"/>
              </w:rPr>
            </w:pPr>
          </w:p>
        </w:tc>
        <w:tc>
          <w:tcPr>
            <w:tcW w:w="2060" w:type="dxa"/>
            <w:vAlign w:val="bottom"/>
            <w:vMerge w:val="continue"/>
          </w:tcPr>
          <w:p>
            <w:pPr>
              <w:spacing w:after="0"/>
              <w:rPr>
                <w:sz w:val="7"/>
                <w:szCs w:val="7"/>
                <w:color w:val="auto"/>
              </w:rPr>
            </w:pPr>
          </w:p>
        </w:tc>
        <w:tc>
          <w:tcPr>
            <w:tcW w:w="2400" w:type="dxa"/>
            <w:vAlign w:val="bottom"/>
          </w:tcPr>
          <w:p>
            <w:pPr>
              <w:spacing w:after="0"/>
              <w:rPr>
                <w:sz w:val="7"/>
                <w:szCs w:val="7"/>
                <w:color w:val="auto"/>
              </w:rPr>
            </w:pPr>
          </w:p>
        </w:tc>
        <w:tc>
          <w:tcPr>
            <w:tcW w:w="2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7"/>
        </w:trPr>
        <w:tc>
          <w:tcPr>
            <w:tcW w:w="4340" w:type="dxa"/>
            <w:vAlign w:val="bottom"/>
            <w:tcBorders>
              <w:bottom w:val="single" w:sz="8" w:color="C0C0C0"/>
            </w:tcBorders>
          </w:tcPr>
          <w:p>
            <w:pPr>
              <w:spacing w:after="0"/>
              <w:rPr>
                <w:sz w:val="24"/>
                <w:szCs w:val="24"/>
                <w:color w:val="auto"/>
              </w:rPr>
            </w:pPr>
          </w:p>
        </w:tc>
        <w:tc>
          <w:tcPr>
            <w:tcW w:w="2060" w:type="dxa"/>
            <w:vAlign w:val="bottom"/>
            <w:tcBorders>
              <w:bottom w:val="single" w:sz="8" w:color="C0C0C0"/>
            </w:tcBorders>
          </w:tcPr>
          <w:p>
            <w:pPr>
              <w:spacing w:after="0"/>
              <w:rPr>
                <w:sz w:val="24"/>
                <w:szCs w:val="24"/>
                <w:color w:val="auto"/>
              </w:rPr>
            </w:pPr>
          </w:p>
        </w:tc>
        <w:tc>
          <w:tcPr>
            <w:tcW w:w="2400" w:type="dxa"/>
            <w:vAlign w:val="bottom"/>
            <w:tcBorders>
              <w:bottom w:val="single" w:sz="8" w:color="C0C0C0"/>
            </w:tcBorders>
          </w:tcPr>
          <w:p>
            <w:pPr>
              <w:spacing w:after="0"/>
              <w:rPr>
                <w:sz w:val="24"/>
                <w:szCs w:val="24"/>
                <w:color w:val="auto"/>
              </w:rPr>
            </w:pPr>
          </w:p>
        </w:tc>
        <w:tc>
          <w:tcPr>
            <w:tcW w:w="262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5613400</wp:posOffset>
            </wp:positionH>
            <wp:positionV relativeFrom="paragraph">
              <wp:posOffset>-334010</wp:posOffset>
            </wp:positionV>
            <wp:extent cx="1286510" cy="8572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286510" cy="8572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1440815" cy="56578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440815" cy="565785"/>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jc w:val="right"/>
        <w:ind w:right="280"/>
        <w:spacing w:after="0"/>
        <w:rPr>
          <w:sz w:val="20"/>
          <w:szCs w:val="20"/>
          <w:color w:val="auto"/>
        </w:rPr>
      </w:pPr>
      <w:r>
        <w:rPr>
          <w:rFonts w:ascii="Arial" w:cs="Arial" w:eastAsia="Arial" w:hAnsi="Arial"/>
          <w:sz w:val="16"/>
          <w:szCs w:val="16"/>
          <w:b w:val="1"/>
          <w:bCs w:val="1"/>
          <w:color w:val="FFFFFF"/>
        </w:rPr>
        <w:t>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857885" cy="85788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857885" cy="8578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7" w:lineRule="exact"/>
        <w:rPr>
          <w:sz w:val="20"/>
          <w:szCs w:val="20"/>
          <w:color w:val="auto"/>
        </w:rPr>
      </w:pPr>
    </w:p>
    <w:p>
      <w:pPr>
        <w:ind w:right="420"/>
        <w:spacing w:after="0" w:line="286" w:lineRule="auto"/>
        <w:rPr>
          <w:sz w:val="20"/>
          <w:szCs w:val="20"/>
          <w:color w:val="auto"/>
        </w:rPr>
      </w:pPr>
      <w:r>
        <w:rPr>
          <w:rFonts w:ascii="Arial" w:cs="Arial" w:eastAsia="Arial" w:hAnsi="Arial"/>
          <w:sz w:val="16"/>
          <w:szCs w:val="16"/>
          <w:color w:val="auto"/>
        </w:rPr>
        <w:t xml:space="preserve">Members: </w:t>
      </w:r>
      <w:r>
        <w:rPr>
          <w:rFonts w:ascii="Arial" w:cs="Arial" w:eastAsia="Arial" w:hAnsi="Arial"/>
          <w:sz w:val="16"/>
          <w:szCs w:val="16"/>
          <w:b w:val="1"/>
          <w:bCs w:val="1"/>
          <w:color w:val="auto"/>
        </w:rPr>
        <w:t>James J. Mulva (Chair), Joseph J. Ashton, Stephen J. Girsky, Kathryn V. Marinello, Patricia F. Russo,</w:t>
      </w:r>
      <w:r>
        <w:rPr>
          <w:rFonts w:ascii="Arial" w:cs="Arial" w:eastAsia="Arial" w:hAnsi="Arial"/>
          <w:sz w:val="16"/>
          <w:szCs w:val="16"/>
          <w:color w:val="auto"/>
        </w:rPr>
        <w:t xml:space="preserve"> </w:t>
      </w:r>
      <w:r>
        <w:rPr>
          <w:rFonts w:ascii="Arial" w:cs="Arial" w:eastAsia="Arial" w:hAnsi="Arial"/>
          <w:sz w:val="16"/>
          <w:szCs w:val="16"/>
          <w:b w:val="1"/>
          <w:bCs w:val="1"/>
          <w:color w:val="auto"/>
        </w:rPr>
        <w:t>and Thomas M. Schoewe</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Meetings held in 2015: </w:t>
      </w:r>
      <w:r>
        <w:rPr>
          <w:rFonts w:ascii="Arial" w:cs="Arial" w:eastAsia="Arial" w:hAnsi="Arial"/>
          <w:sz w:val="16"/>
          <w:szCs w:val="16"/>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48895</wp:posOffset>
            </wp:positionV>
            <wp:extent cx="5728335" cy="7747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5728335" cy="77470"/>
                    </a:xfrm>
                    <a:prstGeom prst="rect">
                      <a:avLst/>
                    </a:prstGeom>
                    <a:noFill/>
                  </pic:spPr>
                </pic:pic>
              </a:graphicData>
            </a:graphic>
          </wp:anchor>
        </w:drawing>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060" w:type="dxa"/>
            <w:vAlign w:val="bottom"/>
          </w:tcPr>
          <w:p>
            <w:pPr>
              <w:spacing w:after="0"/>
              <w:rPr>
                <w:sz w:val="20"/>
                <w:szCs w:val="20"/>
                <w:color w:val="auto"/>
              </w:rPr>
            </w:pPr>
            <w:r>
              <w:rPr>
                <w:rFonts w:ascii="Arial" w:cs="Arial" w:eastAsia="Arial" w:hAnsi="Arial"/>
                <w:sz w:val="16"/>
                <w:szCs w:val="16"/>
                <w:b w:val="1"/>
                <w:bCs w:val="1"/>
                <w:i w:val="1"/>
                <w:iCs w:val="1"/>
                <w:color w:val="1C90D3"/>
              </w:rPr>
              <w:t>Key Responsibilities</w:t>
            </w:r>
          </w:p>
        </w:tc>
        <w:tc>
          <w:tcPr>
            <w:tcW w:w="3600" w:type="dxa"/>
            <w:vAlign w:val="bottom"/>
          </w:tcPr>
          <w:p>
            <w:pPr>
              <w:ind w:left="1460"/>
              <w:spacing w:after="0"/>
              <w:rPr>
                <w:sz w:val="20"/>
                <w:szCs w:val="20"/>
                <w:color w:val="auto"/>
              </w:rPr>
            </w:pPr>
            <w:r>
              <w:rPr>
                <w:rFonts w:ascii="Arial" w:cs="Arial" w:eastAsia="Arial" w:hAnsi="Arial"/>
                <w:sz w:val="16"/>
                <w:szCs w:val="16"/>
                <w:b w:val="1"/>
                <w:bCs w:val="1"/>
                <w:i w:val="1"/>
                <w:iCs w:val="1"/>
                <w:color w:val="1C90D3"/>
              </w:rPr>
              <w:t>2015 Key Accomplishments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2722880</wp:posOffset>
            </wp:positionH>
            <wp:positionV relativeFrom="paragraph">
              <wp:posOffset>-81280</wp:posOffset>
            </wp:positionV>
            <wp:extent cx="17145" cy="171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-46990</wp:posOffset>
            </wp:positionV>
            <wp:extent cx="17145" cy="171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-12700</wp:posOffset>
            </wp:positionV>
            <wp:extent cx="17145" cy="171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20955</wp:posOffset>
            </wp:positionV>
            <wp:extent cx="17145" cy="171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55245</wp:posOffset>
            </wp:positionV>
            <wp:extent cx="17145" cy="171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89535</wp:posOffset>
            </wp:positionV>
            <wp:extent cx="17145" cy="171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spacing w:after="0" w:line="182" w:lineRule="exact"/>
        <w:rPr>
          <w:sz w:val="20"/>
          <w:szCs w:val="20"/>
          <w:color w:val="auto"/>
        </w:rPr>
      </w:pPr>
    </w:p>
    <w:p>
      <w:pPr>
        <w:sectPr>
          <w:pgSz w:w="11900" w:h="16838" w:orient="portrait"/>
          <w:cols w:equalWidth="0" w:num="2">
            <w:col w:w="1780" w:space="720"/>
            <w:col w:w="8920"/>
          </w:cols>
          <w:pgMar w:left="240" w:top="2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James J. Mulva, Chair</w:t>
      </w:r>
    </w:p>
    <w:p>
      <w:pPr>
        <w:spacing w:after="0" w:line="194" w:lineRule="exact"/>
        <w:rPr>
          <w:sz w:val="20"/>
          <w:szCs w:val="20"/>
          <w:color w:val="auto"/>
        </w:rPr>
      </w:pPr>
    </w:p>
    <w:p>
      <w:pPr>
        <w:spacing w:after="0" w:line="259" w:lineRule="auto"/>
        <w:rPr>
          <w:sz w:val="20"/>
          <w:szCs w:val="20"/>
          <w:color w:val="auto"/>
        </w:rPr>
      </w:pPr>
      <w:r>
        <w:rPr>
          <w:rFonts w:ascii="Arial" w:cs="Arial" w:eastAsia="Arial" w:hAnsi="Arial"/>
          <w:sz w:val="16"/>
          <w:szCs w:val="16"/>
          <w:b w:val="1"/>
          <w:bCs w:val="1"/>
          <w:i w:val="1"/>
          <w:iCs w:val="1"/>
          <w:color w:val="08228B"/>
        </w:rPr>
        <w:t>“Oversight of the execution of the Company’s disciplined capital allocation strategy was a key priority in 2015.”</w:t>
      </w:r>
    </w:p>
    <w:p>
      <w:pPr>
        <w:spacing w:after="0" w:line="20" w:lineRule="exact"/>
        <w:rPr>
          <w:sz w:val="20"/>
          <w:szCs w:val="20"/>
          <w:color w:val="auto"/>
        </w:rPr>
      </w:pPr>
      <w:r>
        <w:rPr>
          <w:sz w:val="20"/>
          <w:szCs w:val="20"/>
          <w:color w:val="auto"/>
        </w:rPr>
        <w:br w:type="column"/>
      </w:r>
    </w:p>
    <w:p>
      <w:pPr>
        <w:ind w:right="560" w:hanging="179"/>
        <w:spacing w:after="0"/>
        <w:rPr>
          <w:sz w:val="20"/>
          <w:szCs w:val="20"/>
          <w:color w:val="auto"/>
        </w:rPr>
      </w:pPr>
      <w:r>
        <w:rPr>
          <w:sz w:val="1"/>
          <w:szCs w:val="1"/>
          <w:color w:val="auto"/>
        </w:rPr>
        <w:drawing>
          <wp:inline distT="0" distB="0" distL="0" distR="0">
            <wp:extent cx="85725" cy="94615"/>
            <wp:effectExtent l="0" t="0" r="0" b="0"/>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85725" cy="94615"/>
                    </a:xfrm>
                    <a:prstGeom prst="rect">
                      <a:avLst/>
                    </a:prstGeom>
                    <a:noFill/>
                    <a:ln>
                      <a:noFill/>
                    </a:ln>
                  </pic:spPr>
                </pic:pic>
              </a:graphicData>
            </a:graphic>
          </wp:inline>
        </w:drawing>
      </w:r>
      <w:r>
        <w:rPr>
          <w:rFonts w:ascii="Arial" w:cs="Arial" w:eastAsia="Arial" w:hAnsi="Arial"/>
          <w:sz w:val="16"/>
          <w:szCs w:val="16"/>
          <w:color w:val="auto"/>
        </w:rPr>
        <w:t xml:space="preserve"> Assists the Board in its oversight of our financial policies, strategies, and capital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2608580</wp:posOffset>
            </wp:positionH>
            <wp:positionV relativeFrom="paragraph">
              <wp:posOffset>-235585</wp:posOffset>
            </wp:positionV>
            <wp:extent cx="17145" cy="171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-201295</wp:posOffset>
            </wp:positionV>
            <wp:extent cx="17145" cy="171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-167005</wp:posOffset>
            </wp:positionV>
            <wp:extent cx="17145" cy="171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-132715</wp:posOffset>
            </wp:positionV>
            <wp:extent cx="17145" cy="171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-98425</wp:posOffset>
            </wp:positionV>
            <wp:extent cx="17145" cy="171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-64135</wp:posOffset>
            </wp:positionV>
            <wp:extent cx="17145" cy="171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-29845</wp:posOffset>
            </wp:positionV>
            <wp:extent cx="17145" cy="171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3810</wp:posOffset>
            </wp:positionV>
            <wp:extent cx="17145" cy="171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38100</wp:posOffset>
            </wp:positionV>
            <wp:extent cx="17145" cy="171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72390</wp:posOffset>
            </wp:positionV>
            <wp:extent cx="17145" cy="171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106680</wp:posOffset>
            </wp:positionV>
            <wp:extent cx="17145" cy="171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spacing w:after="0" w:line="162" w:lineRule="exact"/>
        <w:rPr>
          <w:sz w:val="20"/>
          <w:szCs w:val="20"/>
          <w:color w:val="auto"/>
        </w:rPr>
      </w:pPr>
    </w:p>
    <w:p>
      <w:pPr>
        <w:ind w:hanging="179"/>
        <w:spacing w:after="0"/>
        <w:rPr>
          <w:sz w:val="20"/>
          <w:szCs w:val="20"/>
          <w:color w:val="auto"/>
        </w:rPr>
      </w:pPr>
      <w:r>
        <w:rPr>
          <w:sz w:val="1"/>
          <w:szCs w:val="1"/>
          <w:color w:val="auto"/>
        </w:rPr>
        <w:drawing>
          <wp:inline distT="0" distB="0" distL="0" distR="0">
            <wp:extent cx="85725" cy="94615"/>
            <wp:effectExtent l="0" t="0" r="0" b="0"/>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85725" cy="94615"/>
                    </a:xfrm>
                    <a:prstGeom prst="rect">
                      <a:avLst/>
                    </a:prstGeom>
                    <a:noFill/>
                    <a:ln>
                      <a:noFill/>
                    </a:ln>
                  </pic:spPr>
                </pic:pic>
              </a:graphicData>
            </a:graphic>
          </wp:inline>
        </w:drawing>
      </w:r>
      <w:r>
        <w:rPr>
          <w:rFonts w:ascii="Arial" w:cs="Arial" w:eastAsia="Arial" w:hAnsi="Arial"/>
          <w:sz w:val="16"/>
          <w:szCs w:val="16"/>
          <w:color w:val="auto"/>
        </w:rPr>
        <w:t xml:space="preserve"> Reviews proposed dividend actions, stock splits and repurchases, and issuances of debt or equity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2608580</wp:posOffset>
            </wp:positionH>
            <wp:positionV relativeFrom="paragraph">
              <wp:posOffset>-218440</wp:posOffset>
            </wp:positionV>
            <wp:extent cx="17145" cy="171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-184150</wp:posOffset>
            </wp:positionV>
            <wp:extent cx="17145" cy="171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-149860</wp:posOffset>
            </wp:positionV>
            <wp:extent cx="17145" cy="171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-115570</wp:posOffset>
            </wp:positionV>
            <wp:extent cx="17145" cy="171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-81280</wp:posOffset>
            </wp:positionV>
            <wp:extent cx="17145" cy="171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-46990</wp:posOffset>
            </wp:positionV>
            <wp:extent cx="17145" cy="171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-12700</wp:posOffset>
            </wp:positionV>
            <wp:extent cx="17145" cy="171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20955</wp:posOffset>
            </wp:positionV>
            <wp:extent cx="17145" cy="171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55245</wp:posOffset>
            </wp:positionV>
            <wp:extent cx="17145" cy="171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89535</wp:posOffset>
            </wp:positionV>
            <wp:extent cx="17145" cy="171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spacing w:after="0" w:line="162" w:lineRule="exact"/>
        <w:rPr>
          <w:sz w:val="20"/>
          <w:szCs w:val="20"/>
          <w:color w:val="auto"/>
        </w:rPr>
      </w:pPr>
    </w:p>
    <w:p>
      <w:pPr>
        <w:ind w:right="140" w:hanging="179"/>
        <w:spacing w:after="0"/>
        <w:rPr>
          <w:sz w:val="20"/>
          <w:szCs w:val="20"/>
          <w:color w:val="auto"/>
        </w:rPr>
      </w:pPr>
      <w:r>
        <w:rPr>
          <w:sz w:val="1"/>
          <w:szCs w:val="1"/>
          <w:color w:val="auto"/>
        </w:rPr>
        <w:drawing>
          <wp:inline distT="0" distB="0" distL="0" distR="0">
            <wp:extent cx="85725" cy="94615"/>
            <wp:effectExtent l="0" t="0" r="0" b="0"/>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85725" cy="94615"/>
                    </a:xfrm>
                    <a:prstGeom prst="rect">
                      <a:avLst/>
                    </a:prstGeom>
                    <a:noFill/>
                    <a:ln>
                      <a:noFill/>
                    </a:ln>
                  </pic:spPr>
                </pic:pic>
              </a:graphicData>
            </a:graphic>
          </wp:inline>
        </w:drawing>
      </w:r>
      <w:r>
        <w:rPr>
          <w:rFonts w:ascii="Arial" w:cs="Arial" w:eastAsia="Arial" w:hAnsi="Arial"/>
          <w:sz w:val="16"/>
          <w:szCs w:val="16"/>
          <w:color w:val="auto"/>
        </w:rPr>
        <w:t xml:space="preserve"> Reviews any significant financial exposures and contingent liabilities of the Company, including foreign exchange, interest rate, and commodities exposures and the use of derivatives to hedge those exposures;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2608580</wp:posOffset>
            </wp:positionH>
            <wp:positionV relativeFrom="paragraph">
              <wp:posOffset>-595630</wp:posOffset>
            </wp:positionV>
            <wp:extent cx="17145" cy="171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-561340</wp:posOffset>
            </wp:positionV>
            <wp:extent cx="17145" cy="171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-527050</wp:posOffset>
            </wp:positionV>
            <wp:extent cx="17145" cy="171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-492760</wp:posOffset>
            </wp:positionV>
            <wp:extent cx="17145" cy="171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-458470</wp:posOffset>
            </wp:positionV>
            <wp:extent cx="17145" cy="171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-424180</wp:posOffset>
            </wp:positionV>
            <wp:extent cx="17145" cy="171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-389890</wp:posOffset>
            </wp:positionV>
            <wp:extent cx="17145" cy="171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-355600</wp:posOffset>
            </wp:positionV>
            <wp:extent cx="17145" cy="171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-321310</wp:posOffset>
            </wp:positionV>
            <wp:extent cx="17145" cy="171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-287020</wp:posOffset>
            </wp:positionV>
            <wp:extent cx="17145" cy="171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-252730</wp:posOffset>
            </wp:positionV>
            <wp:extent cx="17145" cy="171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-218440</wp:posOffset>
            </wp:positionV>
            <wp:extent cx="17145" cy="171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-184150</wp:posOffset>
            </wp:positionV>
            <wp:extent cx="17145" cy="171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-149860</wp:posOffset>
            </wp:positionV>
            <wp:extent cx="17145" cy="171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-115570</wp:posOffset>
            </wp:positionV>
            <wp:extent cx="17145" cy="171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-81280</wp:posOffset>
            </wp:positionV>
            <wp:extent cx="17145" cy="171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-46990</wp:posOffset>
            </wp:positionV>
            <wp:extent cx="17145" cy="171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-12700</wp:posOffset>
            </wp:positionV>
            <wp:extent cx="17145" cy="171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20955</wp:posOffset>
            </wp:positionV>
            <wp:extent cx="17145" cy="171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55245</wp:posOffset>
            </wp:positionV>
            <wp:extent cx="17145" cy="171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89535</wp:posOffset>
            </wp:positionV>
            <wp:extent cx="17145" cy="171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spacing w:after="0" w:line="162" w:lineRule="exact"/>
        <w:rPr>
          <w:sz w:val="20"/>
          <w:szCs w:val="20"/>
          <w:color w:val="auto"/>
        </w:rPr>
      </w:pPr>
    </w:p>
    <w:p>
      <w:pPr>
        <w:ind w:right="20" w:hanging="179"/>
        <w:spacing w:after="0"/>
        <w:rPr>
          <w:sz w:val="20"/>
          <w:szCs w:val="20"/>
          <w:color w:val="auto"/>
        </w:rPr>
      </w:pPr>
      <w:r>
        <w:rPr>
          <w:sz w:val="1"/>
          <w:szCs w:val="1"/>
          <w:color w:val="auto"/>
        </w:rPr>
        <w:drawing>
          <wp:inline distT="0" distB="0" distL="0" distR="0">
            <wp:extent cx="85725" cy="94615"/>
            <wp:effectExtent l="0" t="0" r="0" b="0"/>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85725" cy="94615"/>
                    </a:xfrm>
                    <a:prstGeom prst="rect">
                      <a:avLst/>
                    </a:prstGeom>
                    <a:noFill/>
                    <a:ln>
                      <a:noFill/>
                    </a:ln>
                  </pic:spPr>
                </pic:pic>
              </a:graphicData>
            </a:graphic>
          </wp:inline>
        </w:drawing>
      </w:r>
      <w:r>
        <w:rPr>
          <w:rFonts w:ascii="Arial" w:cs="Arial" w:eastAsia="Arial" w:hAnsi="Arial"/>
          <w:sz w:val="16"/>
          <w:szCs w:val="16"/>
          <w:color w:val="auto"/>
        </w:rPr>
        <w:t xml:space="preserve"> Reviews the administration, investment performance, risk profile, and funding of U.S. employee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-1696085</wp:posOffset>
            </wp:positionH>
            <wp:positionV relativeFrom="paragraph">
              <wp:posOffset>-235585</wp:posOffset>
            </wp:positionV>
            <wp:extent cx="4322445" cy="60007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4322445" cy="6000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20" w:hanging="179"/>
        <w:spacing w:after="0"/>
        <w:rPr>
          <w:sz w:val="20"/>
          <w:szCs w:val="20"/>
          <w:color w:val="auto"/>
        </w:rPr>
      </w:pPr>
      <w:r>
        <w:rPr>
          <w:sz w:val="1"/>
          <w:szCs w:val="1"/>
          <w:color w:val="auto"/>
        </w:rPr>
        <w:drawing>
          <wp:inline distT="0" distB="0" distL="0" distR="0">
            <wp:extent cx="85725" cy="94615"/>
            <wp:effectExtent l="0" t="0" r="0" b="0"/>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85725" cy="94615"/>
                    </a:xfrm>
                    <a:prstGeom prst="rect">
                      <a:avLst/>
                    </a:prstGeom>
                    <a:noFill/>
                    <a:ln>
                      <a:noFill/>
                    </a:ln>
                  </pic:spPr>
                </pic:pic>
              </a:graphicData>
            </a:graphic>
          </wp:inline>
        </w:drawing>
      </w:r>
      <w:r>
        <w:rPr>
          <w:rFonts w:ascii="Arial" w:cs="Arial" w:eastAsia="Arial" w:hAnsi="Arial"/>
          <w:sz w:val="16"/>
          <w:szCs w:val="16"/>
          <w:color w:val="auto"/>
        </w:rPr>
        <w:t xml:space="preserve"> Adopted a new capital allocation framework to drive long-term value creation;</w:t>
      </w:r>
    </w:p>
    <w:p>
      <w:pPr>
        <w:spacing w:after="0" w:line="182" w:lineRule="exact"/>
        <w:rPr>
          <w:sz w:val="20"/>
          <w:szCs w:val="20"/>
          <w:color w:val="auto"/>
        </w:rPr>
      </w:pPr>
    </w:p>
    <w:p>
      <w:pPr>
        <w:jc w:val="both"/>
        <w:ind w:right="260" w:hanging="179"/>
        <w:spacing w:after="0"/>
        <w:rPr>
          <w:sz w:val="20"/>
          <w:szCs w:val="20"/>
          <w:color w:val="auto"/>
        </w:rPr>
      </w:pPr>
      <w:r>
        <w:rPr>
          <w:sz w:val="1"/>
          <w:szCs w:val="1"/>
          <w:color w:val="auto"/>
        </w:rPr>
        <w:drawing>
          <wp:inline distT="0" distB="0" distL="0" distR="0">
            <wp:extent cx="85725" cy="94615"/>
            <wp:effectExtent l="0" t="0" r="0" b="0"/>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85725" cy="94615"/>
                    </a:xfrm>
                    <a:prstGeom prst="rect">
                      <a:avLst/>
                    </a:prstGeom>
                    <a:noFill/>
                    <a:ln>
                      <a:noFill/>
                    </a:ln>
                  </pic:spPr>
                </pic:pic>
              </a:graphicData>
            </a:graphic>
          </wp:inline>
        </w:drawing>
      </w:r>
      <w:r>
        <w:rPr>
          <w:rFonts w:ascii="Arial" w:cs="Arial" w:eastAsia="Arial" w:hAnsi="Arial"/>
          <w:sz w:val="16"/>
          <w:szCs w:val="16"/>
          <w:color w:val="auto"/>
        </w:rPr>
        <w:t xml:space="preserve"> Increased the dividend and instituted an initial $5 billion share repurchase program, with a subsequent increase to $9 billion prior to the end of 2017;</w:t>
      </w:r>
    </w:p>
    <w:p>
      <w:pPr>
        <w:spacing w:after="0" w:line="182" w:lineRule="exact"/>
        <w:rPr>
          <w:sz w:val="20"/>
          <w:szCs w:val="20"/>
          <w:color w:val="auto"/>
        </w:rPr>
      </w:pPr>
    </w:p>
    <w:p>
      <w:pPr>
        <w:ind w:right="420" w:hanging="179"/>
        <w:spacing w:after="0"/>
        <w:rPr>
          <w:sz w:val="20"/>
          <w:szCs w:val="20"/>
          <w:color w:val="auto"/>
        </w:rPr>
      </w:pPr>
      <w:r>
        <w:rPr>
          <w:sz w:val="1"/>
          <w:szCs w:val="1"/>
          <w:color w:val="auto"/>
        </w:rPr>
        <w:drawing>
          <wp:inline distT="0" distB="0" distL="0" distR="0">
            <wp:extent cx="85725" cy="94615"/>
            <wp:effectExtent l="0" t="0" r="0" b="0"/>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85725" cy="94615"/>
                    </a:xfrm>
                    <a:prstGeom prst="rect">
                      <a:avLst/>
                    </a:prstGeom>
                    <a:noFill/>
                    <a:ln>
                      <a:noFill/>
                    </a:ln>
                  </pic:spPr>
                </pic:pic>
              </a:graphicData>
            </a:graphic>
          </wp:inline>
        </w:drawing>
      </w:r>
      <w:r>
        <w:rPr>
          <w:rFonts w:ascii="Arial" w:cs="Arial" w:eastAsia="Arial" w:hAnsi="Arial"/>
          <w:sz w:val="16"/>
          <w:szCs w:val="16"/>
          <w:color w:val="auto"/>
        </w:rPr>
        <w:t xml:space="preserve"> Approved, along with the full Board, 2016 Automotive Capital Plan and GM Financial Funding Plan;</w:t>
      </w:r>
    </w:p>
    <w:p>
      <w:pPr>
        <w:spacing w:after="0" w:line="182" w:lineRule="exact"/>
        <w:rPr>
          <w:sz w:val="20"/>
          <w:szCs w:val="20"/>
          <w:color w:val="auto"/>
        </w:rPr>
      </w:pPr>
    </w:p>
    <w:p>
      <w:pPr>
        <w:ind w:right="180" w:hanging="179"/>
        <w:spacing w:after="0"/>
        <w:rPr>
          <w:sz w:val="20"/>
          <w:szCs w:val="20"/>
          <w:color w:val="auto"/>
        </w:rPr>
      </w:pPr>
      <w:r>
        <w:rPr>
          <w:sz w:val="1"/>
          <w:szCs w:val="1"/>
          <w:color w:val="auto"/>
        </w:rPr>
        <w:drawing>
          <wp:inline distT="0" distB="0" distL="0" distR="0">
            <wp:extent cx="85725" cy="94615"/>
            <wp:effectExtent l="0" t="0" r="0" b="0"/>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85725" cy="94615"/>
                    </a:xfrm>
                    <a:prstGeom prst="rect">
                      <a:avLst/>
                    </a:prstGeom>
                    <a:noFill/>
                    <a:ln>
                      <a:noFill/>
                    </a:ln>
                  </pic:spPr>
                </pic:pic>
              </a:graphicData>
            </a:graphic>
          </wp:inline>
        </w:drawing>
      </w:r>
      <w:r>
        <w:rPr>
          <w:rFonts w:ascii="Arial" w:cs="Arial" w:eastAsia="Arial" w:hAnsi="Arial"/>
          <w:sz w:val="16"/>
          <w:szCs w:val="16"/>
          <w:color w:val="auto"/>
        </w:rPr>
        <w:t xml:space="preserve"> Reviewed pension funding strategy, resulting in approval of $2 billion debt issuance and discretionary pension funding; and</w:t>
      </w:r>
    </w:p>
    <w:p>
      <w:pPr>
        <w:spacing w:after="0" w:line="182" w:lineRule="exact"/>
        <w:rPr>
          <w:sz w:val="20"/>
          <w:szCs w:val="20"/>
          <w:color w:val="auto"/>
        </w:rPr>
      </w:pPr>
    </w:p>
    <w:p>
      <w:pPr>
        <w:ind w:right="360" w:hanging="179"/>
        <w:spacing w:after="0"/>
        <w:rPr>
          <w:sz w:val="20"/>
          <w:szCs w:val="20"/>
          <w:color w:val="auto"/>
        </w:rPr>
      </w:pPr>
      <w:r>
        <w:rPr>
          <w:sz w:val="1"/>
          <w:szCs w:val="1"/>
          <w:color w:val="auto"/>
        </w:rPr>
        <w:drawing>
          <wp:inline distT="0" distB="0" distL="0" distR="0">
            <wp:extent cx="85725" cy="94615"/>
            <wp:effectExtent l="0" t="0" r="0" b="0"/>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85725" cy="94615"/>
                    </a:xfrm>
                    <a:prstGeom prst="rect">
                      <a:avLst/>
                    </a:prstGeom>
                    <a:noFill/>
                    <a:ln>
                      <a:noFill/>
                    </a:ln>
                  </pic:spPr>
                </pic:pic>
              </a:graphicData>
            </a:graphic>
          </wp:inline>
        </w:drawing>
      </w:r>
      <w:r>
        <w:rPr>
          <w:rFonts w:ascii="Arial" w:cs="Arial" w:eastAsia="Arial" w:hAnsi="Arial"/>
          <w:sz w:val="16"/>
          <w:szCs w:val="16"/>
          <w:color w:val="auto"/>
        </w:rPr>
        <w:t xml:space="preserve"> Adopted enhancements to the Committee’s Charter to align with best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115570</wp:posOffset>
            </wp:positionV>
            <wp:extent cx="2847340"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2260" w:space="420"/>
            <w:col w:w="4000" w:space="520"/>
            <w:col w:w="4220"/>
          </w:cols>
          <w:pgMar w:left="240" w:top="225" w:right="239" w:bottom="1440" w:gutter="0" w:footer="0" w:header="0"/>
          <w:type w:val="continuous"/>
        </w:sectPr>
      </w:pPr>
    </w:p>
    <w:p>
      <w:pPr>
        <w:spacing w:after="0" w:line="65"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All members of the Finance Committee are non-employee directors, a majority of whom have been determined by our Board to be independent in accordance with the NYSE listing standards and our corporate governance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246620" cy="2603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165735</wp:posOffset>
            </wp:positionV>
            <wp:extent cx="1440815" cy="56578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1440815" cy="56578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940"/>
        <w:spacing w:after="0"/>
        <w:rPr>
          <w:sz w:val="20"/>
          <w:szCs w:val="20"/>
          <w:color w:val="auto"/>
        </w:rPr>
      </w:pPr>
      <w:r>
        <w:rPr>
          <w:rFonts w:ascii="Arial" w:cs="Arial" w:eastAsia="Arial" w:hAnsi="Arial"/>
          <w:sz w:val="16"/>
          <w:szCs w:val="16"/>
          <w:b w:val="1"/>
          <w:bCs w:val="1"/>
          <w:color w:val="FFFFFF"/>
        </w:rPr>
        <w:t>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857885" cy="85788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857885" cy="8578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auto"/>
        </w:rPr>
        <w:t xml:space="preserve">Members: </w:t>
      </w:r>
      <w:r>
        <w:rPr>
          <w:rFonts w:ascii="Arial" w:cs="Arial" w:eastAsia="Arial" w:hAnsi="Arial"/>
          <w:sz w:val="16"/>
          <w:szCs w:val="16"/>
          <w:b w:val="1"/>
          <w:bCs w:val="1"/>
          <w:color w:val="auto"/>
        </w:rPr>
        <w:t>Michael G. Mullen (Chair), Joseph J. Ashton, Stephen J. Girsky, Linda R. Gooden, James J. Mulva, and</w:t>
      </w:r>
      <w:r>
        <w:rPr>
          <w:rFonts w:ascii="Arial" w:cs="Arial" w:eastAsia="Arial" w:hAnsi="Arial"/>
          <w:sz w:val="16"/>
          <w:szCs w:val="16"/>
          <w:color w:val="auto"/>
        </w:rPr>
        <w:t xml:space="preserve"> </w:t>
      </w:r>
      <w:r>
        <w:rPr>
          <w:rFonts w:ascii="Arial" w:cs="Arial" w:eastAsia="Arial" w:hAnsi="Arial"/>
          <w:sz w:val="16"/>
          <w:szCs w:val="16"/>
          <w:b w:val="1"/>
          <w:bCs w:val="1"/>
          <w:color w:val="auto"/>
        </w:rPr>
        <w:t>Thomas M. Schoewe</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Meetings held in 2015: </w:t>
      </w:r>
      <w:r>
        <w:rPr>
          <w:rFonts w:ascii="Arial" w:cs="Arial" w:eastAsia="Arial" w:hAnsi="Arial"/>
          <w:sz w:val="16"/>
          <w:szCs w:val="16"/>
          <w:b w:val="1"/>
          <w:b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48895</wp:posOffset>
            </wp:positionV>
            <wp:extent cx="5728335" cy="7747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5728335" cy="77470"/>
                    </a:xfrm>
                    <a:prstGeom prst="rect">
                      <a:avLst/>
                    </a:prstGeom>
                    <a:noFill/>
                  </pic:spPr>
                </pic:pic>
              </a:graphicData>
            </a:graphic>
          </wp:anchor>
        </w:drawing>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060" w:type="dxa"/>
            <w:vAlign w:val="bottom"/>
          </w:tcPr>
          <w:p>
            <w:pPr>
              <w:spacing w:after="0"/>
              <w:rPr>
                <w:sz w:val="20"/>
                <w:szCs w:val="20"/>
                <w:color w:val="auto"/>
              </w:rPr>
            </w:pPr>
            <w:r>
              <w:rPr>
                <w:rFonts w:ascii="Arial" w:cs="Arial" w:eastAsia="Arial" w:hAnsi="Arial"/>
                <w:sz w:val="16"/>
                <w:szCs w:val="16"/>
                <w:b w:val="1"/>
                <w:bCs w:val="1"/>
                <w:i w:val="1"/>
                <w:iCs w:val="1"/>
                <w:color w:val="1C90D3"/>
              </w:rPr>
              <w:t>Key Responsibilities</w:t>
            </w:r>
          </w:p>
        </w:tc>
        <w:tc>
          <w:tcPr>
            <w:tcW w:w="3600" w:type="dxa"/>
            <w:vAlign w:val="bottom"/>
          </w:tcPr>
          <w:p>
            <w:pPr>
              <w:ind w:left="1460"/>
              <w:spacing w:after="0"/>
              <w:rPr>
                <w:sz w:val="20"/>
                <w:szCs w:val="20"/>
                <w:color w:val="auto"/>
              </w:rPr>
            </w:pPr>
            <w:r>
              <w:rPr>
                <w:rFonts w:ascii="Arial" w:cs="Arial" w:eastAsia="Arial" w:hAnsi="Arial"/>
                <w:sz w:val="16"/>
                <w:szCs w:val="16"/>
                <w:b w:val="1"/>
                <w:bCs w:val="1"/>
                <w:i w:val="1"/>
                <w:iCs w:val="1"/>
                <w:color w:val="1C90D3"/>
              </w:rPr>
              <w:t>2015 Key Accomplishments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2722880</wp:posOffset>
            </wp:positionH>
            <wp:positionV relativeFrom="paragraph">
              <wp:posOffset>-81280</wp:posOffset>
            </wp:positionV>
            <wp:extent cx="17145" cy="171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-46990</wp:posOffset>
            </wp:positionV>
            <wp:extent cx="17145" cy="171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-12700</wp:posOffset>
            </wp:positionV>
            <wp:extent cx="17145" cy="171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20955</wp:posOffset>
            </wp:positionV>
            <wp:extent cx="17145" cy="171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55245</wp:posOffset>
            </wp:positionV>
            <wp:extent cx="17145" cy="171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89535</wp:posOffset>
            </wp:positionV>
            <wp:extent cx="17145" cy="171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spacing w:after="0" w:line="182" w:lineRule="exact"/>
        <w:rPr>
          <w:sz w:val="20"/>
          <w:szCs w:val="20"/>
          <w:color w:val="auto"/>
        </w:rPr>
      </w:pPr>
    </w:p>
    <w:p>
      <w:pPr>
        <w:sectPr>
          <w:pgSz w:w="11900" w:h="16838" w:orient="portrait"/>
          <w:cols w:equalWidth="0" w:num="2">
            <w:col w:w="1780" w:space="720"/>
            <w:col w:w="8920"/>
          </w:cols>
          <w:pgMar w:left="240" w:top="22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Michael G. Mullen, Chair</w:t>
      </w:r>
    </w:p>
    <w:p>
      <w:pPr>
        <w:spacing w:after="0" w:line="194" w:lineRule="exact"/>
        <w:rPr>
          <w:sz w:val="20"/>
          <w:szCs w:val="20"/>
          <w:color w:val="auto"/>
        </w:rPr>
      </w:pPr>
    </w:p>
    <w:p>
      <w:pPr>
        <w:spacing w:after="0" w:line="253" w:lineRule="auto"/>
        <w:rPr>
          <w:sz w:val="20"/>
          <w:szCs w:val="20"/>
          <w:color w:val="auto"/>
        </w:rPr>
      </w:pPr>
      <w:r>
        <w:rPr>
          <w:rFonts w:ascii="Arial" w:cs="Arial" w:eastAsia="Arial" w:hAnsi="Arial"/>
          <w:sz w:val="16"/>
          <w:szCs w:val="16"/>
          <w:b w:val="1"/>
          <w:bCs w:val="1"/>
          <w:i w:val="1"/>
          <w:iCs w:val="1"/>
          <w:color w:val="08228B"/>
        </w:rPr>
        <w:t>“In 2015, our priority was the strategic risk management transformation and oversight for significant risk areas, including customer and vehicle safety and cybersecurity.”</w:t>
      </w:r>
    </w:p>
    <w:p>
      <w:pPr>
        <w:spacing w:after="0" w:line="20" w:lineRule="exact"/>
        <w:rPr>
          <w:sz w:val="20"/>
          <w:szCs w:val="20"/>
          <w:color w:val="auto"/>
        </w:rPr>
      </w:pPr>
      <w:r>
        <w:rPr>
          <w:sz w:val="20"/>
          <w:szCs w:val="20"/>
          <w:color w:val="auto"/>
        </w:rPr>
        <w:br w:type="column"/>
      </w:r>
    </w:p>
    <w:p>
      <w:pPr>
        <w:ind w:right="340" w:hanging="179"/>
        <w:spacing w:after="0"/>
        <w:rPr>
          <w:sz w:val="20"/>
          <w:szCs w:val="20"/>
          <w:color w:val="auto"/>
        </w:rPr>
      </w:pPr>
      <w:r>
        <w:rPr>
          <w:sz w:val="1"/>
          <w:szCs w:val="1"/>
          <w:color w:val="auto"/>
        </w:rPr>
        <w:drawing>
          <wp:inline distT="0" distB="0" distL="0" distR="0">
            <wp:extent cx="85725" cy="94615"/>
            <wp:effectExtent l="0" t="0" r="0" b="0"/>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85725" cy="94615"/>
                    </a:xfrm>
                    <a:prstGeom prst="rect">
                      <a:avLst/>
                    </a:prstGeom>
                    <a:noFill/>
                    <a:ln>
                      <a:noFill/>
                    </a:ln>
                  </pic:spPr>
                </pic:pic>
              </a:graphicData>
            </a:graphic>
          </wp:inline>
        </w:drawing>
      </w:r>
      <w:r>
        <w:rPr>
          <w:rFonts w:ascii="Arial" w:cs="Arial" w:eastAsia="Arial" w:hAnsi="Arial"/>
          <w:sz w:val="16"/>
          <w:szCs w:val="16"/>
          <w:color w:val="auto"/>
        </w:rPr>
        <w:t xml:space="preserve"> Reviews the Company’s strategic risk management program, risk governance structure, and risk framework;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2608580</wp:posOffset>
            </wp:positionH>
            <wp:positionV relativeFrom="paragraph">
              <wp:posOffset>-355600</wp:posOffset>
            </wp:positionV>
            <wp:extent cx="17145" cy="171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-321310</wp:posOffset>
            </wp:positionV>
            <wp:extent cx="17145" cy="171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-287020</wp:posOffset>
            </wp:positionV>
            <wp:extent cx="17145" cy="171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-252730</wp:posOffset>
            </wp:positionV>
            <wp:extent cx="17145" cy="171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-218440</wp:posOffset>
            </wp:positionV>
            <wp:extent cx="17145" cy="171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-184150</wp:posOffset>
            </wp:positionV>
            <wp:extent cx="17145" cy="171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-149860</wp:posOffset>
            </wp:positionV>
            <wp:extent cx="17145" cy="171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-115570</wp:posOffset>
            </wp:positionV>
            <wp:extent cx="17145" cy="171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-81280</wp:posOffset>
            </wp:positionV>
            <wp:extent cx="17145" cy="171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-46990</wp:posOffset>
            </wp:positionV>
            <wp:extent cx="17145" cy="171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-12700</wp:posOffset>
            </wp:positionV>
            <wp:extent cx="17145" cy="171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20955</wp:posOffset>
            </wp:positionV>
            <wp:extent cx="17145" cy="171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55245</wp:posOffset>
            </wp:positionV>
            <wp:extent cx="17145" cy="171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89535</wp:posOffset>
            </wp:positionV>
            <wp:extent cx="17145" cy="1714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spacing w:after="0" w:line="162" w:lineRule="exact"/>
        <w:rPr>
          <w:sz w:val="20"/>
          <w:szCs w:val="20"/>
          <w:color w:val="auto"/>
        </w:rPr>
      </w:pPr>
    </w:p>
    <w:p>
      <w:pPr>
        <w:ind w:hanging="179"/>
        <w:spacing w:after="0"/>
        <w:rPr>
          <w:sz w:val="20"/>
          <w:szCs w:val="20"/>
          <w:color w:val="auto"/>
        </w:rPr>
      </w:pPr>
      <w:r>
        <w:rPr>
          <w:sz w:val="1"/>
          <w:szCs w:val="1"/>
          <w:color w:val="auto"/>
        </w:rPr>
        <w:drawing>
          <wp:inline distT="0" distB="0" distL="0" distR="0">
            <wp:extent cx="85725" cy="94615"/>
            <wp:effectExtent l="0" t="0" r="0" b="0"/>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85725" cy="94615"/>
                    </a:xfrm>
                    <a:prstGeom prst="rect">
                      <a:avLst/>
                    </a:prstGeom>
                    <a:noFill/>
                    <a:ln>
                      <a:noFill/>
                    </a:ln>
                  </pic:spPr>
                </pic:pic>
              </a:graphicData>
            </a:graphic>
          </wp:inline>
        </w:drawing>
      </w:r>
      <w:r>
        <w:rPr>
          <w:rFonts w:ascii="Arial" w:cs="Arial" w:eastAsia="Arial" w:hAnsi="Arial"/>
          <w:sz w:val="16"/>
          <w:szCs w:val="16"/>
          <w:color w:val="auto"/>
        </w:rPr>
        <w:t xml:space="preserve"> Establishes top-down tone and culture within the Company regarding risk, including open risk discussions and integration of risk management in the Company’s behaviors, decision-making, and processes;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2608580</wp:posOffset>
            </wp:positionH>
            <wp:positionV relativeFrom="paragraph">
              <wp:posOffset>-595630</wp:posOffset>
            </wp:positionV>
            <wp:extent cx="17145" cy="171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-561340</wp:posOffset>
            </wp:positionV>
            <wp:extent cx="17145" cy="171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-527050</wp:posOffset>
            </wp:positionV>
            <wp:extent cx="17145" cy="171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-492760</wp:posOffset>
            </wp:positionV>
            <wp:extent cx="17145" cy="171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-458470</wp:posOffset>
            </wp:positionV>
            <wp:extent cx="17145" cy="171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-424180</wp:posOffset>
            </wp:positionV>
            <wp:extent cx="17145" cy="171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-389890</wp:posOffset>
            </wp:positionV>
            <wp:extent cx="17145" cy="171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-355600</wp:posOffset>
            </wp:positionV>
            <wp:extent cx="17145" cy="1714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-321310</wp:posOffset>
            </wp:positionV>
            <wp:extent cx="17145" cy="171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-287020</wp:posOffset>
            </wp:positionV>
            <wp:extent cx="17145" cy="1714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-252730</wp:posOffset>
            </wp:positionV>
            <wp:extent cx="17145" cy="1714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-218440</wp:posOffset>
            </wp:positionV>
            <wp:extent cx="17145" cy="1714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-184150</wp:posOffset>
            </wp:positionV>
            <wp:extent cx="17145" cy="1714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-149860</wp:posOffset>
            </wp:positionV>
            <wp:extent cx="17145" cy="1714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-115570</wp:posOffset>
            </wp:positionV>
            <wp:extent cx="17145" cy="1714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-81280</wp:posOffset>
            </wp:positionV>
            <wp:extent cx="17145" cy="1714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-46990</wp:posOffset>
            </wp:positionV>
            <wp:extent cx="17145" cy="171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-12700</wp:posOffset>
            </wp:positionV>
            <wp:extent cx="17145" cy="1714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20955</wp:posOffset>
            </wp:positionV>
            <wp:extent cx="17145" cy="1714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55245</wp:posOffset>
            </wp:positionV>
            <wp:extent cx="17145" cy="171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89535</wp:posOffset>
            </wp:positionV>
            <wp:extent cx="17145" cy="1714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spacing w:after="0" w:line="162" w:lineRule="exact"/>
        <w:rPr>
          <w:sz w:val="20"/>
          <w:szCs w:val="20"/>
          <w:color w:val="auto"/>
        </w:rPr>
      </w:pPr>
    </w:p>
    <w:p>
      <w:pPr>
        <w:ind w:right="200" w:hanging="179"/>
        <w:spacing w:after="0"/>
        <w:rPr>
          <w:sz w:val="20"/>
          <w:szCs w:val="20"/>
          <w:color w:val="auto"/>
        </w:rPr>
      </w:pPr>
      <w:r>
        <w:rPr>
          <w:sz w:val="1"/>
          <w:szCs w:val="1"/>
          <w:color w:val="auto"/>
        </w:rPr>
        <w:drawing>
          <wp:inline distT="0" distB="0" distL="0" distR="0">
            <wp:extent cx="85725" cy="94615"/>
            <wp:effectExtent l="0" t="0" r="0" b="0"/>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85725" cy="94615"/>
                    </a:xfrm>
                    <a:prstGeom prst="rect">
                      <a:avLst/>
                    </a:prstGeom>
                    <a:noFill/>
                    <a:ln>
                      <a:noFill/>
                    </a:ln>
                  </pic:spPr>
                </pic:pic>
              </a:graphicData>
            </a:graphic>
          </wp:inline>
        </w:drawing>
      </w:r>
      <w:r>
        <w:rPr>
          <w:rFonts w:ascii="Arial" w:cs="Arial" w:eastAsia="Arial" w:hAnsi="Arial"/>
          <w:sz w:val="16"/>
          <w:szCs w:val="16"/>
          <w:color w:val="auto"/>
        </w:rPr>
        <w:t xml:space="preserve"> Reviews the impact of the Company’s processes and procedures on customer and employee safety.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-1696085</wp:posOffset>
            </wp:positionH>
            <wp:positionV relativeFrom="paragraph">
              <wp:posOffset>-235585</wp:posOffset>
            </wp:positionV>
            <wp:extent cx="4322445" cy="108077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4322445" cy="10807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220" w:hanging="179"/>
        <w:spacing w:after="0"/>
        <w:rPr>
          <w:sz w:val="20"/>
          <w:szCs w:val="20"/>
          <w:color w:val="auto"/>
        </w:rPr>
      </w:pPr>
      <w:r>
        <w:rPr>
          <w:sz w:val="1"/>
          <w:szCs w:val="1"/>
          <w:color w:val="auto"/>
        </w:rPr>
        <w:drawing>
          <wp:inline distT="0" distB="0" distL="0" distR="0">
            <wp:extent cx="85725" cy="94615"/>
            <wp:effectExtent l="0" t="0" r="0" b="0"/>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85725" cy="94615"/>
                    </a:xfrm>
                    <a:prstGeom prst="rect">
                      <a:avLst/>
                    </a:prstGeom>
                    <a:noFill/>
                    <a:ln>
                      <a:noFill/>
                    </a:ln>
                  </pic:spPr>
                </pic:pic>
              </a:graphicData>
            </a:graphic>
          </wp:inline>
        </w:drawing>
      </w:r>
      <w:r>
        <w:rPr>
          <w:rFonts w:ascii="Arial" w:cs="Arial" w:eastAsia="Arial" w:hAnsi="Arial"/>
          <w:sz w:val="16"/>
          <w:szCs w:val="16"/>
          <w:color w:val="auto"/>
        </w:rPr>
        <w:t xml:space="preserve"> Reviewed the results of the annual risk assessment and risk framework covering top risks and mitigation plans, as appropriate;</w:t>
      </w:r>
    </w:p>
    <w:p>
      <w:pPr>
        <w:spacing w:after="0" w:line="182" w:lineRule="exact"/>
        <w:rPr>
          <w:sz w:val="20"/>
          <w:szCs w:val="20"/>
          <w:color w:val="auto"/>
        </w:rPr>
      </w:pPr>
    </w:p>
    <w:p>
      <w:pPr>
        <w:ind w:right="580" w:hanging="179"/>
        <w:spacing w:after="0"/>
        <w:rPr>
          <w:sz w:val="20"/>
          <w:szCs w:val="20"/>
          <w:color w:val="auto"/>
        </w:rPr>
      </w:pPr>
      <w:r>
        <w:rPr>
          <w:sz w:val="1"/>
          <w:szCs w:val="1"/>
          <w:color w:val="auto"/>
        </w:rPr>
        <w:drawing>
          <wp:inline distT="0" distB="0" distL="0" distR="0">
            <wp:extent cx="85725" cy="94615"/>
            <wp:effectExtent l="0" t="0" r="0" b="0"/>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85725" cy="94615"/>
                    </a:xfrm>
                    <a:prstGeom prst="rect">
                      <a:avLst/>
                    </a:prstGeom>
                    <a:noFill/>
                    <a:ln>
                      <a:noFill/>
                    </a:ln>
                  </pic:spPr>
                </pic:pic>
              </a:graphicData>
            </a:graphic>
          </wp:inline>
        </w:drawing>
      </w:r>
      <w:r>
        <w:rPr>
          <w:rFonts w:ascii="Arial" w:cs="Arial" w:eastAsia="Arial" w:hAnsi="Arial"/>
          <w:sz w:val="16"/>
          <w:szCs w:val="16"/>
          <w:color w:val="auto"/>
        </w:rPr>
        <w:t xml:space="preserve"> Continued to closely monitor implementation of the Valukas Report recommendations;</w:t>
      </w:r>
    </w:p>
    <w:p>
      <w:pPr>
        <w:spacing w:after="0" w:line="182" w:lineRule="exact"/>
        <w:rPr>
          <w:sz w:val="20"/>
          <w:szCs w:val="20"/>
          <w:color w:val="auto"/>
        </w:rPr>
      </w:pPr>
    </w:p>
    <w:p>
      <w:pPr>
        <w:ind w:right="140" w:hanging="179"/>
        <w:spacing w:after="0"/>
        <w:rPr>
          <w:sz w:val="20"/>
          <w:szCs w:val="20"/>
          <w:color w:val="auto"/>
        </w:rPr>
      </w:pPr>
      <w:r>
        <w:rPr>
          <w:sz w:val="1"/>
          <w:szCs w:val="1"/>
          <w:color w:val="auto"/>
        </w:rPr>
        <w:drawing>
          <wp:inline distT="0" distB="0" distL="0" distR="0">
            <wp:extent cx="85725" cy="94615"/>
            <wp:effectExtent l="0" t="0" r="0" b="0"/>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85725" cy="94615"/>
                    </a:xfrm>
                    <a:prstGeom prst="rect">
                      <a:avLst/>
                    </a:prstGeom>
                    <a:noFill/>
                    <a:ln>
                      <a:noFill/>
                    </a:ln>
                  </pic:spPr>
                </pic:pic>
              </a:graphicData>
            </a:graphic>
          </wp:inline>
        </w:drawing>
      </w:r>
      <w:r>
        <w:rPr>
          <w:rFonts w:ascii="Arial" w:cs="Arial" w:eastAsia="Arial" w:hAnsi="Arial"/>
          <w:sz w:val="16"/>
          <w:szCs w:val="16"/>
          <w:color w:val="auto"/>
        </w:rPr>
        <w:t xml:space="preserve"> Reviewed management updates on recommended future program processes for identification of GM’s key risks and plans for addressing these risks;</w:t>
      </w:r>
    </w:p>
    <w:p>
      <w:pPr>
        <w:spacing w:after="0" w:line="182" w:lineRule="exact"/>
        <w:rPr>
          <w:sz w:val="20"/>
          <w:szCs w:val="20"/>
          <w:color w:val="auto"/>
        </w:rPr>
      </w:pPr>
    </w:p>
    <w:p>
      <w:pPr>
        <w:ind w:right="120" w:hanging="179"/>
        <w:spacing w:after="0"/>
        <w:rPr>
          <w:sz w:val="20"/>
          <w:szCs w:val="20"/>
          <w:color w:val="auto"/>
        </w:rPr>
      </w:pPr>
      <w:r>
        <w:rPr>
          <w:sz w:val="1"/>
          <w:szCs w:val="1"/>
          <w:color w:val="auto"/>
        </w:rPr>
        <w:drawing>
          <wp:inline distT="0" distB="0" distL="0" distR="0">
            <wp:extent cx="85725" cy="94615"/>
            <wp:effectExtent l="0" t="0" r="0" b="0"/>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85725" cy="94615"/>
                    </a:xfrm>
                    <a:prstGeom prst="rect">
                      <a:avLst/>
                    </a:prstGeom>
                    <a:noFill/>
                    <a:ln>
                      <a:noFill/>
                    </a:ln>
                  </pic:spPr>
                </pic:pic>
              </a:graphicData>
            </a:graphic>
          </wp:inline>
        </w:drawing>
      </w:r>
      <w:r>
        <w:rPr>
          <w:rFonts w:ascii="Arial" w:cs="Arial" w:eastAsia="Arial" w:hAnsi="Arial"/>
          <w:sz w:val="16"/>
          <w:szCs w:val="16"/>
          <w:color w:val="auto"/>
        </w:rPr>
        <w:t xml:space="preserve"> Continued evolution of the Company’s risk management program to an integrated level of maturity where risks are treated as a portfolio at the enterprise level as well as embedded into business decision-making; and</w:t>
      </w:r>
    </w:p>
    <w:p>
      <w:pPr>
        <w:spacing w:after="0" w:line="182" w:lineRule="exact"/>
        <w:rPr>
          <w:sz w:val="20"/>
          <w:szCs w:val="20"/>
          <w:color w:val="auto"/>
        </w:rPr>
      </w:pPr>
    </w:p>
    <w:p>
      <w:pPr>
        <w:ind w:right="360" w:hanging="179"/>
        <w:spacing w:after="0"/>
        <w:rPr>
          <w:sz w:val="20"/>
          <w:szCs w:val="20"/>
          <w:color w:val="auto"/>
        </w:rPr>
      </w:pPr>
      <w:r>
        <w:rPr>
          <w:sz w:val="1"/>
          <w:szCs w:val="1"/>
          <w:color w:val="auto"/>
        </w:rPr>
        <w:drawing>
          <wp:inline distT="0" distB="0" distL="0" distR="0">
            <wp:extent cx="85725" cy="94615"/>
            <wp:effectExtent l="0" t="0" r="0" b="0"/>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85725" cy="94615"/>
                    </a:xfrm>
                    <a:prstGeom prst="rect">
                      <a:avLst/>
                    </a:prstGeom>
                    <a:noFill/>
                    <a:ln>
                      <a:noFill/>
                    </a:ln>
                  </pic:spPr>
                </pic:pic>
              </a:graphicData>
            </a:graphic>
          </wp:inline>
        </w:drawing>
      </w:r>
      <w:r>
        <w:rPr>
          <w:rFonts w:ascii="Arial" w:cs="Arial" w:eastAsia="Arial" w:hAnsi="Arial"/>
          <w:sz w:val="16"/>
          <w:szCs w:val="16"/>
          <w:color w:val="auto"/>
        </w:rPr>
        <w:t xml:space="preserve"> Adopted enhancements to the Committee’s Charter to align with best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115570</wp:posOffset>
            </wp:positionV>
            <wp:extent cx="2847340"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2260" w:space="420"/>
            <w:col w:w="4020" w:space="500"/>
            <w:col w:w="4220"/>
          </w:cols>
          <w:pgMar w:left="240" w:top="225" w:right="239" w:bottom="1440" w:gutter="0" w:footer="0" w:header="0"/>
          <w:type w:val="continuous"/>
        </w:sectPr>
      </w:pPr>
    </w:p>
    <w:p>
      <w:pPr>
        <w:spacing w:after="0" w:line="65"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All members of the Risk Committee are non-employee directors, a majority of whom have been determined by our Board to be independent in accordance with the NYSE listing standards and our corporate governance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246620" cy="2603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165735</wp:posOffset>
            </wp:positionV>
            <wp:extent cx="1440815" cy="68580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1440815" cy="685800"/>
                    </a:xfrm>
                    <a:prstGeom prst="rect">
                      <a:avLst/>
                    </a:prstGeom>
                    <a:noFill/>
                  </pic:spPr>
                </pic:pic>
              </a:graphicData>
            </a:graphic>
          </wp:anchor>
        </w:drawing>
      </w:r>
    </w:p>
    <w:p>
      <w:pPr>
        <w:spacing w:after="0" w:line="297" w:lineRule="exact"/>
        <w:rPr>
          <w:sz w:val="20"/>
          <w:szCs w:val="20"/>
          <w:color w:val="auto"/>
        </w:rPr>
      </w:pPr>
    </w:p>
    <w:p>
      <w:pPr>
        <w:ind w:left="2340" w:right="120"/>
        <w:spacing w:after="0" w:line="246" w:lineRule="auto"/>
        <w:rPr>
          <w:sz w:val="20"/>
          <w:szCs w:val="20"/>
          <w:color w:val="auto"/>
        </w:rPr>
      </w:pPr>
      <w:r>
        <w:rPr>
          <w:rFonts w:ascii="Arial" w:cs="Arial" w:eastAsia="Arial" w:hAnsi="Arial"/>
          <w:sz w:val="16"/>
          <w:szCs w:val="16"/>
          <w:color w:val="auto"/>
        </w:rPr>
        <w:t>In addition to the above standing Committees, our Board has an Executive Committee composed of the Chairman and CEO, the Independent Lead Director, and the Chairs of our other standing Committees. The Executive Committee is chaired by</w:t>
      </w:r>
    </w:p>
    <w:p>
      <w:pPr>
        <w:spacing w:after="0" w:line="1" w:lineRule="exact"/>
        <w:rPr>
          <w:sz w:val="20"/>
          <w:szCs w:val="20"/>
          <w:color w:val="auto"/>
        </w:rPr>
      </w:pPr>
    </w:p>
    <w:p>
      <w:pPr>
        <w:jc w:val="both"/>
        <w:ind w:left="2340" w:right="120" w:hanging="1639"/>
        <w:spacing w:after="0" w:line="253" w:lineRule="auto"/>
        <w:tabs>
          <w:tab w:leader="none" w:pos="2320" w:val="left"/>
        </w:tabs>
        <w:rPr>
          <w:sz w:val="20"/>
          <w:szCs w:val="20"/>
          <w:color w:val="auto"/>
        </w:rPr>
      </w:pPr>
      <w:r>
        <w:rPr>
          <w:rFonts w:ascii="Arial" w:cs="Arial" w:eastAsia="Arial" w:hAnsi="Arial"/>
          <w:sz w:val="16"/>
          <w:szCs w:val="16"/>
          <w:b w:val="1"/>
          <w:bCs w:val="1"/>
          <w:color w:val="FFFFFF"/>
        </w:rPr>
        <w:t>EXECUTIVE</w:t>
      </w:r>
      <w:r>
        <w:rPr>
          <w:sz w:val="20"/>
          <w:szCs w:val="20"/>
          <w:color w:val="auto"/>
        </w:rPr>
        <w:tab/>
      </w:r>
      <w:r>
        <w:rPr>
          <w:rFonts w:ascii="Arial" w:cs="Arial" w:eastAsia="Arial" w:hAnsi="Arial"/>
          <w:sz w:val="16"/>
          <w:szCs w:val="16"/>
          <w:color w:val="auto"/>
        </w:rPr>
        <w:t>Mary T. Barra and empowered to act for the full Board in intervals between Board meetings, with the exception of certain matters that the Board has not delegated. The Executive Committee meets as necessary, and all actions by the Executive Committee are reported at the next succeeding Board meeting. In 2015, the Executive Committee met one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1445895</wp:posOffset>
            </wp:positionH>
            <wp:positionV relativeFrom="paragraph">
              <wp:posOffset>23495</wp:posOffset>
            </wp:positionV>
            <wp:extent cx="5728335" cy="1714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5728335" cy="17145"/>
                    </a:xfrm>
                    <a:prstGeom prst="rect">
                      <a:avLst/>
                    </a:prstGeom>
                    <a:noFill/>
                  </pic:spPr>
                </pic:pic>
              </a:graphicData>
            </a:graphic>
          </wp:anchor>
        </w:drawing>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13"/>
        </w:trPr>
        <w:tc>
          <w:tcPr>
            <w:tcW w:w="4340" w:type="dxa"/>
            <w:vAlign w:val="bottom"/>
            <w:tcBorders>
              <w:bottom w:val="single" w:sz="8" w:color="08228B"/>
            </w:tcBorders>
          </w:tcPr>
          <w:p>
            <w:pPr>
              <w:spacing w:after="0"/>
              <w:rPr>
                <w:sz w:val="9"/>
                <w:szCs w:val="9"/>
                <w:color w:val="auto"/>
              </w:rPr>
            </w:pPr>
          </w:p>
        </w:tc>
        <w:tc>
          <w:tcPr>
            <w:tcW w:w="2060" w:type="dxa"/>
            <w:vAlign w:val="bottom"/>
            <w:vMerge w:val="restart"/>
          </w:tcPr>
          <w:p>
            <w:pPr>
              <w:ind w:left="60"/>
              <w:spacing w:after="0"/>
              <w:rPr>
                <w:sz w:val="20"/>
                <w:szCs w:val="20"/>
                <w:color w:val="auto"/>
              </w:rPr>
            </w:pPr>
            <w:r>
              <w:rPr>
                <w:rFonts w:ascii="Arial" w:cs="Arial" w:eastAsia="Arial" w:hAnsi="Arial"/>
                <w:sz w:val="16"/>
                <w:szCs w:val="16"/>
                <w:b w:val="1"/>
                <w:bCs w:val="1"/>
                <w:color w:val="1C90D3"/>
              </w:rPr>
              <w:t xml:space="preserve">2016 </w:t>
            </w:r>
            <w:r>
              <w:rPr>
                <w:rFonts w:ascii="Arial" w:cs="Arial" w:eastAsia="Arial" w:hAnsi="Arial"/>
                <w:sz w:val="16"/>
                <w:szCs w:val="16"/>
                <w:color w:val="08228B"/>
              </w:rPr>
              <w:t>PROXY STATEMENT</w:t>
            </w:r>
          </w:p>
        </w:tc>
        <w:tc>
          <w:tcPr>
            <w:tcW w:w="2400" w:type="dxa"/>
            <w:vAlign w:val="bottom"/>
            <w:tcBorders>
              <w:bottom w:val="single" w:sz="8" w:color="08228B"/>
            </w:tcBorders>
          </w:tcPr>
          <w:p>
            <w:pPr>
              <w:spacing w:after="0"/>
              <w:rPr>
                <w:sz w:val="9"/>
                <w:szCs w:val="9"/>
                <w:color w:val="auto"/>
              </w:rPr>
            </w:pPr>
          </w:p>
        </w:tc>
        <w:tc>
          <w:tcPr>
            <w:tcW w:w="2620" w:type="dxa"/>
            <w:vAlign w:val="bottom"/>
            <w:vMerge w:val="restart"/>
          </w:tcPr>
          <w:p>
            <w:pPr>
              <w:jc w:val="right"/>
              <w:ind w:right="39"/>
              <w:spacing w:after="0"/>
              <w:rPr>
                <w:sz w:val="20"/>
                <w:szCs w:val="20"/>
                <w:color w:val="auto"/>
              </w:rPr>
            </w:pPr>
            <w:r>
              <w:rPr>
                <w:rFonts w:ascii="Arial" w:cs="Arial" w:eastAsia="Arial" w:hAnsi="Arial"/>
                <w:sz w:val="16"/>
                <w:szCs w:val="16"/>
                <w:color w:val="08228B"/>
              </w:rPr>
              <w:t>26</w:t>
            </w:r>
          </w:p>
        </w:tc>
        <w:tc>
          <w:tcPr>
            <w:tcW w:w="0" w:type="dxa"/>
            <w:vAlign w:val="bottom"/>
          </w:tcPr>
          <w:p>
            <w:pPr>
              <w:spacing w:after="0"/>
              <w:rPr>
                <w:sz w:val="1"/>
                <w:szCs w:val="1"/>
                <w:color w:val="auto"/>
              </w:rPr>
            </w:pPr>
          </w:p>
        </w:tc>
      </w:tr>
      <w:tr>
        <w:trPr>
          <w:trHeight w:val="82"/>
        </w:trPr>
        <w:tc>
          <w:tcPr>
            <w:tcW w:w="4340" w:type="dxa"/>
            <w:vAlign w:val="bottom"/>
          </w:tcPr>
          <w:p>
            <w:pPr>
              <w:spacing w:after="0"/>
              <w:rPr>
                <w:sz w:val="7"/>
                <w:szCs w:val="7"/>
                <w:color w:val="auto"/>
              </w:rPr>
            </w:pPr>
          </w:p>
        </w:tc>
        <w:tc>
          <w:tcPr>
            <w:tcW w:w="2060" w:type="dxa"/>
            <w:vAlign w:val="bottom"/>
            <w:vMerge w:val="continue"/>
          </w:tcPr>
          <w:p>
            <w:pPr>
              <w:spacing w:after="0"/>
              <w:rPr>
                <w:sz w:val="7"/>
                <w:szCs w:val="7"/>
                <w:color w:val="auto"/>
              </w:rPr>
            </w:pPr>
          </w:p>
        </w:tc>
        <w:tc>
          <w:tcPr>
            <w:tcW w:w="2400" w:type="dxa"/>
            <w:vAlign w:val="bottom"/>
          </w:tcPr>
          <w:p>
            <w:pPr>
              <w:spacing w:after="0"/>
              <w:rPr>
                <w:sz w:val="7"/>
                <w:szCs w:val="7"/>
                <w:color w:val="auto"/>
              </w:rPr>
            </w:pPr>
          </w:p>
        </w:tc>
        <w:tc>
          <w:tcPr>
            <w:tcW w:w="2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7"/>
        </w:trPr>
        <w:tc>
          <w:tcPr>
            <w:tcW w:w="4340" w:type="dxa"/>
            <w:vAlign w:val="bottom"/>
            <w:tcBorders>
              <w:bottom w:val="single" w:sz="8" w:color="C0C0C0"/>
            </w:tcBorders>
          </w:tcPr>
          <w:p>
            <w:pPr>
              <w:spacing w:after="0"/>
              <w:rPr>
                <w:sz w:val="24"/>
                <w:szCs w:val="24"/>
                <w:color w:val="auto"/>
              </w:rPr>
            </w:pPr>
          </w:p>
        </w:tc>
        <w:tc>
          <w:tcPr>
            <w:tcW w:w="2060" w:type="dxa"/>
            <w:vAlign w:val="bottom"/>
            <w:tcBorders>
              <w:bottom w:val="single" w:sz="8" w:color="C0C0C0"/>
            </w:tcBorders>
          </w:tcPr>
          <w:p>
            <w:pPr>
              <w:spacing w:after="0"/>
              <w:rPr>
                <w:sz w:val="24"/>
                <w:szCs w:val="24"/>
                <w:color w:val="auto"/>
              </w:rPr>
            </w:pPr>
          </w:p>
        </w:tc>
        <w:tc>
          <w:tcPr>
            <w:tcW w:w="2400" w:type="dxa"/>
            <w:vAlign w:val="bottom"/>
            <w:tcBorders>
              <w:bottom w:val="single" w:sz="8" w:color="C0C0C0"/>
            </w:tcBorders>
          </w:tcPr>
          <w:p>
            <w:pPr>
              <w:spacing w:after="0"/>
              <w:rPr>
                <w:sz w:val="24"/>
                <w:szCs w:val="24"/>
                <w:color w:val="auto"/>
              </w:rPr>
            </w:pPr>
          </w:p>
        </w:tc>
        <w:tc>
          <w:tcPr>
            <w:tcW w:w="262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5613400</wp:posOffset>
            </wp:positionH>
            <wp:positionV relativeFrom="paragraph">
              <wp:posOffset>-334010</wp:posOffset>
            </wp:positionV>
            <wp:extent cx="1286510" cy="8572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1286510" cy="8572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Back to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32"/>
          <w:szCs w:val="32"/>
          <w:color w:val="1C90D3"/>
        </w:rPr>
        <w:t>Access to Outside Advisors</w:t>
      </w:r>
    </w:p>
    <w:p>
      <w:pPr>
        <w:spacing w:after="0" w:line="319" w:lineRule="exact"/>
        <w:rPr>
          <w:sz w:val="20"/>
          <w:szCs w:val="20"/>
          <w:color w:val="auto"/>
        </w:rPr>
      </w:pPr>
    </w:p>
    <w:p>
      <w:pPr>
        <w:spacing w:after="0"/>
        <w:rPr>
          <w:sz w:val="20"/>
          <w:szCs w:val="20"/>
          <w:color w:val="auto"/>
        </w:rPr>
      </w:pPr>
      <w:r>
        <w:rPr>
          <w:rFonts w:ascii="Arial" w:cs="Arial" w:eastAsia="Arial" w:hAnsi="Arial"/>
          <w:sz w:val="16"/>
          <w:szCs w:val="16"/>
          <w:color w:val="auto"/>
        </w:rPr>
        <w:t>The Board and each Board Committee can select and retain the services of outside advisors at our expense.</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32"/>
          <w:szCs w:val="32"/>
          <w:color w:val="1C90D3"/>
        </w:rPr>
        <w:t>Board Meetings and Attendance</w:t>
      </w:r>
    </w:p>
    <w:p>
      <w:pPr>
        <w:spacing w:after="0" w:line="31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2015, our Board held a total of 12 meetings, and average director attendance at Board and Committee meetings was 95 percent. Each director standing for re-election attended at least 80 percent of the total meetings of the Board and Committees on which he or she served during the periods that he or she served in 2015. Directors are expected to attend our annual meeting of shareholders, which is held in conjunction with a regularly scheduled Board meeting. All of GM’s directors standing for re-election attended the 2015 Annual Meeting.</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32"/>
          <w:szCs w:val="32"/>
          <w:color w:val="1C90D3"/>
        </w:rPr>
        <w:t>Board and Committee Oversight of Risk</w:t>
      </w:r>
    </w:p>
    <w:p>
      <w:pPr>
        <w:spacing w:after="0" w:line="31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One of the essential functions of our Board is oversight of management, directly and through its various Committees. Identifying and managing the risks we face is an important component of management’s responsibilities. Risks are considered in virtually every business decision and as part of the Company’s business strategy. We recognize that it is neither possible nor prudent to eliminate all risk. Indeed, purposeful and appropriate risk-taking is essential for the Company to be competitive on a global basis and to achieve our strategic objectives.</w:t>
      </w:r>
    </w:p>
    <w:p>
      <w:pPr>
        <w:spacing w:after="0" w:line="17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Our Board has overall responsibility for risk oversight, with a focus on the most significant risks facing the Company. Effective risk management is the responsibility of the CEO and other members of the Company’s management, specifically the Executive Leadership Team. As part of the risk management process, each of the Company’s business units and functions is responsible for identifying risks that could affect achievement of business goals and strategies, assessing the likelihood and potential impact of significant risks, and prioritizing the risks and actions to be taken to mitigate such risks, as appropriate.</w:t>
      </w:r>
    </w:p>
    <w:p>
      <w:pPr>
        <w:spacing w:after="0" w:line="17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Our Board implements its risk oversight function both as a whole and through delegation to Board Committees, particularly the Risk Committee. The Board receives regular reports from our management on particular risks within the Company, through review of the Company’s strategic plan, and through regular communication with its Committees. At least annually, management provides a comprehensive report to the Board on the key strategic, operating, financial, and compliance risks facing the Company, including management’s response to managing and mitigating such risks, as appropriate.</w:t>
      </w:r>
    </w:p>
    <w:p>
      <w:pPr>
        <w:spacing w:after="0" w:line="17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Chair of the Risk Committee coordinates with the Chairs of other Board Committees in their review of the Company risks that have been delegated to these Committees to support them in coordinating the relationship between risk management policies and practices and their respective oversight accountabilities. Each of the other Board Committees, which meet regularly and report back to the Board, is responsible for oversight of risk management practices for categories of risks relevant to its functions. In general, the Board Committees oversee the following risks: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13"/>
        </w:trPr>
        <w:tc>
          <w:tcPr>
            <w:tcW w:w="4340" w:type="dxa"/>
            <w:vAlign w:val="bottom"/>
            <w:tcBorders>
              <w:bottom w:val="single" w:sz="8" w:color="08228B"/>
            </w:tcBorders>
          </w:tcPr>
          <w:p>
            <w:pPr>
              <w:spacing w:after="0"/>
              <w:rPr>
                <w:sz w:val="9"/>
                <w:szCs w:val="9"/>
                <w:color w:val="auto"/>
              </w:rPr>
            </w:pPr>
          </w:p>
        </w:tc>
        <w:tc>
          <w:tcPr>
            <w:tcW w:w="2060" w:type="dxa"/>
            <w:vAlign w:val="bottom"/>
            <w:vMerge w:val="restart"/>
          </w:tcPr>
          <w:p>
            <w:pPr>
              <w:ind w:left="60"/>
              <w:spacing w:after="0"/>
              <w:rPr>
                <w:sz w:val="20"/>
                <w:szCs w:val="20"/>
                <w:color w:val="auto"/>
              </w:rPr>
            </w:pPr>
            <w:r>
              <w:rPr>
                <w:rFonts w:ascii="Arial" w:cs="Arial" w:eastAsia="Arial" w:hAnsi="Arial"/>
                <w:sz w:val="16"/>
                <w:szCs w:val="16"/>
                <w:b w:val="1"/>
                <w:bCs w:val="1"/>
                <w:color w:val="1C90D3"/>
              </w:rPr>
              <w:t xml:space="preserve">2016 </w:t>
            </w:r>
            <w:r>
              <w:rPr>
                <w:rFonts w:ascii="Arial" w:cs="Arial" w:eastAsia="Arial" w:hAnsi="Arial"/>
                <w:sz w:val="16"/>
                <w:szCs w:val="16"/>
                <w:color w:val="08228B"/>
              </w:rPr>
              <w:t>PROXY STATEMENT</w:t>
            </w:r>
          </w:p>
        </w:tc>
        <w:tc>
          <w:tcPr>
            <w:tcW w:w="2400" w:type="dxa"/>
            <w:vAlign w:val="bottom"/>
            <w:tcBorders>
              <w:bottom w:val="single" w:sz="8" w:color="08228B"/>
            </w:tcBorders>
          </w:tcPr>
          <w:p>
            <w:pPr>
              <w:spacing w:after="0"/>
              <w:rPr>
                <w:sz w:val="9"/>
                <w:szCs w:val="9"/>
                <w:color w:val="auto"/>
              </w:rPr>
            </w:pPr>
          </w:p>
        </w:tc>
        <w:tc>
          <w:tcPr>
            <w:tcW w:w="2620" w:type="dxa"/>
            <w:vAlign w:val="bottom"/>
            <w:vMerge w:val="restart"/>
          </w:tcPr>
          <w:p>
            <w:pPr>
              <w:jc w:val="right"/>
              <w:ind w:right="39"/>
              <w:spacing w:after="0"/>
              <w:rPr>
                <w:sz w:val="20"/>
                <w:szCs w:val="20"/>
                <w:color w:val="auto"/>
              </w:rPr>
            </w:pPr>
            <w:r>
              <w:rPr>
                <w:rFonts w:ascii="Arial" w:cs="Arial" w:eastAsia="Arial" w:hAnsi="Arial"/>
                <w:sz w:val="16"/>
                <w:szCs w:val="16"/>
                <w:color w:val="08228B"/>
              </w:rPr>
              <w:t>27</w:t>
            </w:r>
          </w:p>
        </w:tc>
        <w:tc>
          <w:tcPr>
            <w:tcW w:w="0" w:type="dxa"/>
            <w:vAlign w:val="bottom"/>
          </w:tcPr>
          <w:p>
            <w:pPr>
              <w:spacing w:after="0"/>
              <w:rPr>
                <w:sz w:val="1"/>
                <w:szCs w:val="1"/>
                <w:color w:val="auto"/>
              </w:rPr>
            </w:pPr>
          </w:p>
        </w:tc>
      </w:tr>
      <w:tr>
        <w:trPr>
          <w:trHeight w:val="82"/>
        </w:trPr>
        <w:tc>
          <w:tcPr>
            <w:tcW w:w="4340" w:type="dxa"/>
            <w:vAlign w:val="bottom"/>
          </w:tcPr>
          <w:p>
            <w:pPr>
              <w:spacing w:after="0"/>
              <w:rPr>
                <w:sz w:val="7"/>
                <w:szCs w:val="7"/>
                <w:color w:val="auto"/>
              </w:rPr>
            </w:pPr>
          </w:p>
        </w:tc>
        <w:tc>
          <w:tcPr>
            <w:tcW w:w="2060" w:type="dxa"/>
            <w:vAlign w:val="bottom"/>
            <w:vMerge w:val="continue"/>
          </w:tcPr>
          <w:p>
            <w:pPr>
              <w:spacing w:after="0"/>
              <w:rPr>
                <w:sz w:val="7"/>
                <w:szCs w:val="7"/>
                <w:color w:val="auto"/>
              </w:rPr>
            </w:pPr>
          </w:p>
        </w:tc>
        <w:tc>
          <w:tcPr>
            <w:tcW w:w="2400" w:type="dxa"/>
            <w:vAlign w:val="bottom"/>
          </w:tcPr>
          <w:p>
            <w:pPr>
              <w:spacing w:after="0"/>
              <w:rPr>
                <w:sz w:val="7"/>
                <w:szCs w:val="7"/>
                <w:color w:val="auto"/>
              </w:rPr>
            </w:pPr>
          </w:p>
        </w:tc>
        <w:tc>
          <w:tcPr>
            <w:tcW w:w="2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7"/>
        </w:trPr>
        <w:tc>
          <w:tcPr>
            <w:tcW w:w="4340" w:type="dxa"/>
            <w:vAlign w:val="bottom"/>
            <w:tcBorders>
              <w:bottom w:val="single" w:sz="8" w:color="C0C0C0"/>
            </w:tcBorders>
          </w:tcPr>
          <w:p>
            <w:pPr>
              <w:spacing w:after="0"/>
              <w:rPr>
                <w:sz w:val="24"/>
                <w:szCs w:val="24"/>
                <w:color w:val="auto"/>
              </w:rPr>
            </w:pPr>
          </w:p>
        </w:tc>
        <w:tc>
          <w:tcPr>
            <w:tcW w:w="2060" w:type="dxa"/>
            <w:vAlign w:val="bottom"/>
            <w:tcBorders>
              <w:bottom w:val="single" w:sz="8" w:color="C0C0C0"/>
            </w:tcBorders>
          </w:tcPr>
          <w:p>
            <w:pPr>
              <w:spacing w:after="0"/>
              <w:rPr>
                <w:sz w:val="24"/>
                <w:szCs w:val="24"/>
                <w:color w:val="auto"/>
              </w:rPr>
            </w:pPr>
          </w:p>
        </w:tc>
        <w:tc>
          <w:tcPr>
            <w:tcW w:w="2400" w:type="dxa"/>
            <w:vAlign w:val="bottom"/>
            <w:tcBorders>
              <w:bottom w:val="single" w:sz="8" w:color="C0C0C0"/>
            </w:tcBorders>
          </w:tcPr>
          <w:p>
            <w:pPr>
              <w:spacing w:after="0"/>
              <w:rPr>
                <w:sz w:val="24"/>
                <w:szCs w:val="24"/>
                <w:color w:val="auto"/>
              </w:rPr>
            </w:pPr>
          </w:p>
        </w:tc>
        <w:tc>
          <w:tcPr>
            <w:tcW w:w="262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5613400</wp:posOffset>
            </wp:positionH>
            <wp:positionV relativeFrom="paragraph">
              <wp:posOffset>-334010</wp:posOffset>
            </wp:positionV>
            <wp:extent cx="1286510" cy="8572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1286510" cy="8572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845820</wp:posOffset>
            </wp:positionH>
            <wp:positionV relativeFrom="paragraph">
              <wp:posOffset>123190</wp:posOffset>
            </wp:positionV>
            <wp:extent cx="5574030" cy="464820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5574030" cy="4648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Board believes that its structure for risk oversight provides for open communication between management and the Board and its various committees, which effectively supports management’s enterprise risk management programs. In addition, strong independent directors chair the various committees involved in risk oversight, and all directors are involved in the risk assessment and ongoing risk reviews.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32"/>
          <w:szCs w:val="32"/>
          <w:color w:val="1C90D3"/>
        </w:rPr>
        <w:t>Succession Planning and Leadership Development</w:t>
      </w:r>
    </w:p>
    <w:p>
      <w:pPr>
        <w:spacing w:after="0" w:line="31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One of our Board’s primary responsibilities is to confirm that we have the appropriate management talent to successfully pursue our strategies. Management succession is regularly discussed by the directors with the CEO and during the Board’s executive sessions. The Board reviews candidates for all senior management positions to confirm that qualified candidates are available for all positions and that development plans are being utilized to strengthen the skills and qualifications of candidates. Our Independent Lead Director oversees the process for CEO succession and leads, at least annually, the Board’s discussion of CEO succession planning. Our CEO provides the Board with recommendations for and evaluations of potential CEO successors and reviews with the Board development plans for these successors. Directors engage with potential CEO and senior management talent at Board and Committee meetings and in less formal settings to enable directors to personally assess candidates. The Board reviews succession in the ordinary course of business as well as to conduct contingency planning in the event of an emergency or unanticipated event.</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13"/>
        </w:trPr>
        <w:tc>
          <w:tcPr>
            <w:tcW w:w="4340" w:type="dxa"/>
            <w:vAlign w:val="bottom"/>
            <w:tcBorders>
              <w:bottom w:val="single" w:sz="8" w:color="08228B"/>
            </w:tcBorders>
          </w:tcPr>
          <w:p>
            <w:pPr>
              <w:spacing w:after="0"/>
              <w:rPr>
                <w:sz w:val="9"/>
                <w:szCs w:val="9"/>
                <w:color w:val="auto"/>
              </w:rPr>
            </w:pPr>
          </w:p>
        </w:tc>
        <w:tc>
          <w:tcPr>
            <w:tcW w:w="2060" w:type="dxa"/>
            <w:vAlign w:val="bottom"/>
            <w:vMerge w:val="restart"/>
          </w:tcPr>
          <w:p>
            <w:pPr>
              <w:ind w:left="60"/>
              <w:spacing w:after="0"/>
              <w:rPr>
                <w:sz w:val="20"/>
                <w:szCs w:val="20"/>
                <w:color w:val="auto"/>
              </w:rPr>
            </w:pPr>
            <w:r>
              <w:rPr>
                <w:rFonts w:ascii="Arial" w:cs="Arial" w:eastAsia="Arial" w:hAnsi="Arial"/>
                <w:sz w:val="16"/>
                <w:szCs w:val="16"/>
                <w:b w:val="1"/>
                <w:bCs w:val="1"/>
                <w:color w:val="1C90D3"/>
              </w:rPr>
              <w:t xml:space="preserve">2016 </w:t>
            </w:r>
            <w:r>
              <w:rPr>
                <w:rFonts w:ascii="Arial" w:cs="Arial" w:eastAsia="Arial" w:hAnsi="Arial"/>
                <w:sz w:val="16"/>
                <w:szCs w:val="16"/>
                <w:color w:val="08228B"/>
              </w:rPr>
              <w:t>PROXY STATEMENT</w:t>
            </w:r>
          </w:p>
        </w:tc>
        <w:tc>
          <w:tcPr>
            <w:tcW w:w="2400" w:type="dxa"/>
            <w:vAlign w:val="bottom"/>
            <w:tcBorders>
              <w:bottom w:val="single" w:sz="8" w:color="08228B"/>
            </w:tcBorders>
          </w:tcPr>
          <w:p>
            <w:pPr>
              <w:spacing w:after="0"/>
              <w:rPr>
                <w:sz w:val="9"/>
                <w:szCs w:val="9"/>
                <w:color w:val="auto"/>
              </w:rPr>
            </w:pPr>
          </w:p>
        </w:tc>
        <w:tc>
          <w:tcPr>
            <w:tcW w:w="2620" w:type="dxa"/>
            <w:vAlign w:val="bottom"/>
            <w:vMerge w:val="restart"/>
          </w:tcPr>
          <w:p>
            <w:pPr>
              <w:jc w:val="right"/>
              <w:ind w:right="39"/>
              <w:spacing w:after="0"/>
              <w:rPr>
                <w:sz w:val="20"/>
                <w:szCs w:val="20"/>
                <w:color w:val="auto"/>
              </w:rPr>
            </w:pPr>
            <w:r>
              <w:rPr>
                <w:rFonts w:ascii="Arial" w:cs="Arial" w:eastAsia="Arial" w:hAnsi="Arial"/>
                <w:sz w:val="16"/>
                <w:szCs w:val="16"/>
                <w:color w:val="08228B"/>
              </w:rPr>
              <w:t>28</w:t>
            </w:r>
          </w:p>
        </w:tc>
        <w:tc>
          <w:tcPr>
            <w:tcW w:w="0" w:type="dxa"/>
            <w:vAlign w:val="bottom"/>
          </w:tcPr>
          <w:p>
            <w:pPr>
              <w:spacing w:after="0"/>
              <w:rPr>
                <w:sz w:val="1"/>
                <w:szCs w:val="1"/>
                <w:color w:val="auto"/>
              </w:rPr>
            </w:pPr>
          </w:p>
        </w:tc>
      </w:tr>
      <w:tr>
        <w:trPr>
          <w:trHeight w:val="82"/>
        </w:trPr>
        <w:tc>
          <w:tcPr>
            <w:tcW w:w="4340" w:type="dxa"/>
            <w:vAlign w:val="bottom"/>
          </w:tcPr>
          <w:p>
            <w:pPr>
              <w:spacing w:after="0"/>
              <w:rPr>
                <w:sz w:val="7"/>
                <w:szCs w:val="7"/>
                <w:color w:val="auto"/>
              </w:rPr>
            </w:pPr>
          </w:p>
        </w:tc>
        <w:tc>
          <w:tcPr>
            <w:tcW w:w="2060" w:type="dxa"/>
            <w:vAlign w:val="bottom"/>
            <w:vMerge w:val="continue"/>
          </w:tcPr>
          <w:p>
            <w:pPr>
              <w:spacing w:after="0"/>
              <w:rPr>
                <w:sz w:val="7"/>
                <w:szCs w:val="7"/>
                <w:color w:val="auto"/>
              </w:rPr>
            </w:pPr>
          </w:p>
        </w:tc>
        <w:tc>
          <w:tcPr>
            <w:tcW w:w="2400" w:type="dxa"/>
            <w:vAlign w:val="bottom"/>
          </w:tcPr>
          <w:p>
            <w:pPr>
              <w:spacing w:after="0"/>
              <w:rPr>
                <w:sz w:val="7"/>
                <w:szCs w:val="7"/>
                <w:color w:val="auto"/>
              </w:rPr>
            </w:pPr>
          </w:p>
        </w:tc>
        <w:tc>
          <w:tcPr>
            <w:tcW w:w="2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7"/>
        </w:trPr>
        <w:tc>
          <w:tcPr>
            <w:tcW w:w="4340" w:type="dxa"/>
            <w:vAlign w:val="bottom"/>
            <w:tcBorders>
              <w:bottom w:val="single" w:sz="8" w:color="C0C0C0"/>
            </w:tcBorders>
          </w:tcPr>
          <w:p>
            <w:pPr>
              <w:spacing w:after="0"/>
              <w:rPr>
                <w:sz w:val="24"/>
                <w:szCs w:val="24"/>
                <w:color w:val="auto"/>
              </w:rPr>
            </w:pPr>
          </w:p>
        </w:tc>
        <w:tc>
          <w:tcPr>
            <w:tcW w:w="2060" w:type="dxa"/>
            <w:vAlign w:val="bottom"/>
            <w:tcBorders>
              <w:bottom w:val="single" w:sz="8" w:color="C0C0C0"/>
            </w:tcBorders>
          </w:tcPr>
          <w:p>
            <w:pPr>
              <w:spacing w:after="0"/>
              <w:rPr>
                <w:sz w:val="24"/>
                <w:szCs w:val="24"/>
                <w:color w:val="auto"/>
              </w:rPr>
            </w:pPr>
          </w:p>
        </w:tc>
        <w:tc>
          <w:tcPr>
            <w:tcW w:w="2400" w:type="dxa"/>
            <w:vAlign w:val="bottom"/>
            <w:tcBorders>
              <w:bottom w:val="single" w:sz="8" w:color="C0C0C0"/>
            </w:tcBorders>
          </w:tcPr>
          <w:p>
            <w:pPr>
              <w:spacing w:after="0"/>
              <w:rPr>
                <w:sz w:val="24"/>
                <w:szCs w:val="24"/>
                <w:color w:val="auto"/>
              </w:rPr>
            </w:pPr>
          </w:p>
        </w:tc>
        <w:tc>
          <w:tcPr>
            <w:tcW w:w="262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5613400</wp:posOffset>
            </wp:positionH>
            <wp:positionV relativeFrom="paragraph">
              <wp:posOffset>-334010</wp:posOffset>
            </wp:positionV>
            <wp:extent cx="1286510" cy="8572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1286510" cy="8572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Back to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32"/>
          <w:szCs w:val="32"/>
          <w:color w:val="1C90D3"/>
        </w:rPr>
        <w:t>Board and Committee Evaluations</w:t>
      </w:r>
    </w:p>
    <w:p>
      <w:pPr>
        <w:spacing w:after="0" w:line="31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Board and each Committee conduct an annual self-evaluation to assess their effectiveness and consider opportunities for improvement. This process, overseen by the Governance Committee, also assesses the qualifications, skills, and experience of each director. As part of the evaluation process, each director completes a written questionnaire and is also interviewed by the Chairman and, if requested or needed, the Independent Lead Director, to provide feedback on the effectiveness of the Board, our Committees, and the contributions of individual directors. The results of the written questionnaires are compiled anonymously by the Corporate Secretary in the form of summaries for the full Board and each Committee. The feedback received from the questionnaires and interviews is reviewed and discussed by the Governance Committee (as it relates to both the Board and all Committees) and each other Committee (as it relates to such Committee). Following review and discussion by the Committees, the Chairman and Chair of the Governance Committee summarize the results of the evaluations and report to the full Board for discussion and action. In addition, the Chairman and, if applicable, the Independent Lead Director provides feedback from the individual director interviews to the full Board. Matters considered in evaluations include the following:</w:t>
      </w:r>
    </w:p>
    <w:p>
      <w:pPr>
        <w:spacing w:after="0" w:line="180" w:lineRule="exact"/>
        <w:rPr>
          <w:sz w:val="20"/>
          <w:szCs w:val="20"/>
          <w:color w:val="auto"/>
        </w:rPr>
      </w:pPr>
    </w:p>
    <w:p>
      <w:pPr>
        <w:ind w:left="180" w:hanging="172"/>
        <w:spacing w:after="0"/>
        <w:tabs>
          <w:tab w:leader="none" w:pos="180" w:val="left"/>
        </w:tabs>
        <w:numPr>
          <w:ilvl w:val="0"/>
          <w:numId w:val="16"/>
        </w:numPr>
        <w:rPr>
          <w:rFonts w:ascii="Arial" w:cs="Arial" w:eastAsia="Arial" w:hAnsi="Arial"/>
          <w:sz w:val="16"/>
          <w:szCs w:val="16"/>
          <w:color w:val="08228B"/>
        </w:rPr>
      </w:pPr>
      <w:r>
        <w:rPr>
          <w:rFonts w:ascii="Arial" w:cs="Arial" w:eastAsia="Arial" w:hAnsi="Arial"/>
          <w:sz w:val="16"/>
          <w:szCs w:val="16"/>
          <w:color w:val="auto"/>
        </w:rPr>
        <w:t>The effectiveness of the Board’s leadership structure and the Board Committee structure;</w:t>
      </w:r>
    </w:p>
    <w:p>
      <w:pPr>
        <w:spacing w:after="0" w:line="207" w:lineRule="exact"/>
        <w:rPr>
          <w:rFonts w:ascii="Arial" w:cs="Arial" w:eastAsia="Arial" w:hAnsi="Arial"/>
          <w:sz w:val="16"/>
          <w:szCs w:val="16"/>
          <w:color w:val="08228B"/>
        </w:rPr>
      </w:pPr>
    </w:p>
    <w:p>
      <w:pPr>
        <w:ind w:left="180" w:hanging="172"/>
        <w:spacing w:after="0"/>
        <w:tabs>
          <w:tab w:leader="none" w:pos="180" w:val="left"/>
        </w:tabs>
        <w:numPr>
          <w:ilvl w:val="0"/>
          <w:numId w:val="16"/>
        </w:numPr>
        <w:rPr>
          <w:rFonts w:ascii="Arial" w:cs="Arial" w:eastAsia="Arial" w:hAnsi="Arial"/>
          <w:sz w:val="16"/>
          <w:szCs w:val="16"/>
          <w:color w:val="08228B"/>
        </w:rPr>
      </w:pPr>
      <w:r>
        <w:rPr>
          <w:rFonts w:ascii="Arial" w:cs="Arial" w:eastAsia="Arial" w:hAnsi="Arial"/>
          <w:sz w:val="16"/>
          <w:szCs w:val="16"/>
          <w:color w:val="auto"/>
        </w:rPr>
        <w:t>Board and Committee skills, composition, diversity, and succession planning;</w:t>
      </w:r>
    </w:p>
    <w:p>
      <w:pPr>
        <w:spacing w:after="0" w:line="207" w:lineRule="exact"/>
        <w:rPr>
          <w:rFonts w:ascii="Arial" w:cs="Arial" w:eastAsia="Arial" w:hAnsi="Arial"/>
          <w:sz w:val="16"/>
          <w:szCs w:val="16"/>
          <w:color w:val="08228B"/>
        </w:rPr>
      </w:pPr>
    </w:p>
    <w:p>
      <w:pPr>
        <w:ind w:left="180" w:hanging="172"/>
        <w:spacing w:after="0"/>
        <w:tabs>
          <w:tab w:leader="none" w:pos="180" w:val="left"/>
        </w:tabs>
        <w:numPr>
          <w:ilvl w:val="0"/>
          <w:numId w:val="16"/>
        </w:numPr>
        <w:rPr>
          <w:rFonts w:ascii="Arial" w:cs="Arial" w:eastAsia="Arial" w:hAnsi="Arial"/>
          <w:sz w:val="16"/>
          <w:szCs w:val="16"/>
          <w:color w:val="08228B"/>
        </w:rPr>
      </w:pPr>
      <w:r>
        <w:rPr>
          <w:rFonts w:ascii="Arial" w:cs="Arial" w:eastAsia="Arial" w:hAnsi="Arial"/>
          <w:sz w:val="16"/>
          <w:szCs w:val="16"/>
          <w:color w:val="auto"/>
        </w:rPr>
        <w:t>Board culture and dynamics, including the effectiveness of discussion and debate at Board and Committee meetings;</w:t>
      </w:r>
    </w:p>
    <w:p>
      <w:pPr>
        <w:spacing w:after="0" w:line="207" w:lineRule="exact"/>
        <w:rPr>
          <w:rFonts w:ascii="Arial" w:cs="Arial" w:eastAsia="Arial" w:hAnsi="Arial"/>
          <w:sz w:val="16"/>
          <w:szCs w:val="16"/>
          <w:color w:val="08228B"/>
        </w:rPr>
      </w:pPr>
    </w:p>
    <w:p>
      <w:pPr>
        <w:ind w:left="180" w:hanging="172"/>
        <w:spacing w:after="0"/>
        <w:tabs>
          <w:tab w:leader="none" w:pos="180" w:val="left"/>
        </w:tabs>
        <w:numPr>
          <w:ilvl w:val="0"/>
          <w:numId w:val="16"/>
        </w:numPr>
        <w:rPr>
          <w:rFonts w:ascii="Arial" w:cs="Arial" w:eastAsia="Arial" w:hAnsi="Arial"/>
          <w:sz w:val="16"/>
          <w:szCs w:val="16"/>
          <w:color w:val="08228B"/>
        </w:rPr>
      </w:pPr>
      <w:r>
        <w:rPr>
          <w:rFonts w:ascii="Arial" w:cs="Arial" w:eastAsia="Arial" w:hAnsi="Arial"/>
          <w:sz w:val="16"/>
          <w:szCs w:val="16"/>
          <w:color w:val="auto"/>
        </w:rPr>
        <w:t>The quality of Board and Committee agendas and the relevance of Board and Committee priorities;</w:t>
      </w:r>
    </w:p>
    <w:p>
      <w:pPr>
        <w:spacing w:after="0" w:line="207" w:lineRule="exact"/>
        <w:rPr>
          <w:rFonts w:ascii="Arial" w:cs="Arial" w:eastAsia="Arial" w:hAnsi="Arial"/>
          <w:sz w:val="16"/>
          <w:szCs w:val="16"/>
          <w:color w:val="08228B"/>
        </w:rPr>
      </w:pPr>
    </w:p>
    <w:p>
      <w:pPr>
        <w:ind w:left="180" w:right="140" w:hanging="172"/>
        <w:spacing w:after="0" w:line="260" w:lineRule="auto"/>
        <w:tabs>
          <w:tab w:leader="none" w:pos="180" w:val="left"/>
        </w:tabs>
        <w:numPr>
          <w:ilvl w:val="0"/>
          <w:numId w:val="16"/>
        </w:numPr>
        <w:rPr>
          <w:rFonts w:ascii="Arial" w:cs="Arial" w:eastAsia="Arial" w:hAnsi="Arial"/>
          <w:sz w:val="16"/>
          <w:szCs w:val="16"/>
          <w:color w:val="08228B"/>
        </w:rPr>
      </w:pPr>
      <w:r>
        <w:rPr>
          <w:rFonts w:ascii="Arial" w:cs="Arial" w:eastAsia="Arial" w:hAnsi="Arial"/>
          <w:sz w:val="16"/>
          <w:szCs w:val="16"/>
          <w:color w:val="auto"/>
        </w:rPr>
        <w:t>Dynamics between the Board and management, including the quality of management presentations and information provided to the Board and Committees; and</w:t>
      </w:r>
    </w:p>
    <w:p>
      <w:pPr>
        <w:spacing w:after="0" w:line="182" w:lineRule="exact"/>
        <w:rPr>
          <w:rFonts w:ascii="Arial" w:cs="Arial" w:eastAsia="Arial" w:hAnsi="Arial"/>
          <w:sz w:val="16"/>
          <w:szCs w:val="16"/>
          <w:color w:val="08228B"/>
        </w:rPr>
      </w:pPr>
    </w:p>
    <w:p>
      <w:pPr>
        <w:ind w:left="180" w:hanging="172"/>
        <w:spacing w:after="0"/>
        <w:tabs>
          <w:tab w:leader="none" w:pos="180" w:val="left"/>
        </w:tabs>
        <w:numPr>
          <w:ilvl w:val="0"/>
          <w:numId w:val="16"/>
        </w:numPr>
        <w:rPr>
          <w:rFonts w:ascii="Arial" w:cs="Arial" w:eastAsia="Arial" w:hAnsi="Arial"/>
          <w:sz w:val="16"/>
          <w:szCs w:val="16"/>
          <w:color w:val="08228B"/>
        </w:rPr>
      </w:pPr>
      <w:r>
        <w:rPr>
          <w:rFonts w:ascii="Arial" w:cs="Arial" w:eastAsia="Arial" w:hAnsi="Arial"/>
          <w:sz w:val="16"/>
          <w:szCs w:val="16"/>
          <w:color w:val="auto"/>
        </w:rPr>
        <w:t>The contribution of individual directors, including the Chairman, Lead Director, and Committee Chairs.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32"/>
          <w:szCs w:val="32"/>
          <w:color w:val="1C90D3"/>
        </w:rPr>
        <w:t>Annual Evaluation of CEO</w:t>
      </w:r>
    </w:p>
    <w:p>
      <w:pPr>
        <w:spacing w:after="0" w:line="31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CEO reports annually to the Board regarding achievement of previously established goals and objectives. The non-management directors, meeting separately in executive session, annually conduct a formal evaluation of the CEO, which is communicated to the CEO by the Lead Director. The evaluation is based on both objective and subjective criteria, including, but not limited to: the Company’s financial performance, accomplishment of the Company’s long-term strategic objectives, and development of the Company’s top management team. The results of the evaluation are considered by the Compensation Committee in its deliberations when determining the compensation of the CEO, as further described in the “Compensation Discussion and Analysis” section in this Proxy Statement.</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32"/>
          <w:szCs w:val="32"/>
          <w:color w:val="1C90D3"/>
        </w:rPr>
        <w:t>Director Orientation and Continuing Education</w:t>
      </w:r>
    </w:p>
    <w:p>
      <w:pPr>
        <w:spacing w:after="0" w:line="31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All new directors participate in the Company’s director orientation program, which generally commences promptly after the meeting at which a new director is elected. The Governance Committee oversees an orientation process developed by management to familiarize new directors, through a review of background material and meetings with senior management, with the Company’s business and strategic plans, significant financial matters; core values, including ethics, compliance programs, corporate governance practices; and other key policies and practices. Board members are encouraged to visit GM facilities, dealers, and auto shows to enhance their understanding of the Company and its competitors in the auto industry. All directors are encouraged to attend, at our expense, director continuing education programs sponsored by governance organizations and other institutions.</w:t>
      </w:r>
    </w:p>
    <w:p>
      <w:pPr>
        <w:spacing w:after="0" w:line="17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2015, as part of the Company’s comprehensive review of its governance practices and policies, the Board adopted a written policy recommended by the Governance Committee to build upon current practices and expectations set forth in the Board’s Corporate Governance Guidelines regarding the orientation process for newly appointed directors and ongoing director education. The objective of the policy is to keep directors updated with information about the Company and its operations, corporate governance, and other matters relevant to board service. Consistent with prior practices, the Governance Committee annually reviews each director’s orientation and external education activities.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13"/>
        </w:trPr>
        <w:tc>
          <w:tcPr>
            <w:tcW w:w="4340" w:type="dxa"/>
            <w:vAlign w:val="bottom"/>
            <w:tcBorders>
              <w:bottom w:val="single" w:sz="8" w:color="08228B"/>
            </w:tcBorders>
          </w:tcPr>
          <w:p>
            <w:pPr>
              <w:spacing w:after="0"/>
              <w:rPr>
                <w:sz w:val="9"/>
                <w:szCs w:val="9"/>
                <w:color w:val="auto"/>
              </w:rPr>
            </w:pPr>
          </w:p>
        </w:tc>
        <w:tc>
          <w:tcPr>
            <w:tcW w:w="2060" w:type="dxa"/>
            <w:vAlign w:val="bottom"/>
            <w:vMerge w:val="restart"/>
          </w:tcPr>
          <w:p>
            <w:pPr>
              <w:ind w:left="60"/>
              <w:spacing w:after="0"/>
              <w:rPr>
                <w:sz w:val="20"/>
                <w:szCs w:val="20"/>
                <w:color w:val="auto"/>
              </w:rPr>
            </w:pPr>
            <w:r>
              <w:rPr>
                <w:rFonts w:ascii="Arial" w:cs="Arial" w:eastAsia="Arial" w:hAnsi="Arial"/>
                <w:sz w:val="16"/>
                <w:szCs w:val="16"/>
                <w:b w:val="1"/>
                <w:bCs w:val="1"/>
                <w:color w:val="1C90D3"/>
              </w:rPr>
              <w:t xml:space="preserve">2016 </w:t>
            </w:r>
            <w:r>
              <w:rPr>
                <w:rFonts w:ascii="Arial" w:cs="Arial" w:eastAsia="Arial" w:hAnsi="Arial"/>
                <w:sz w:val="16"/>
                <w:szCs w:val="16"/>
                <w:color w:val="08228B"/>
              </w:rPr>
              <w:t>PROXY STATEMENT</w:t>
            </w:r>
          </w:p>
        </w:tc>
        <w:tc>
          <w:tcPr>
            <w:tcW w:w="2400" w:type="dxa"/>
            <w:vAlign w:val="bottom"/>
            <w:tcBorders>
              <w:bottom w:val="single" w:sz="8" w:color="08228B"/>
            </w:tcBorders>
          </w:tcPr>
          <w:p>
            <w:pPr>
              <w:spacing w:after="0"/>
              <w:rPr>
                <w:sz w:val="9"/>
                <w:szCs w:val="9"/>
                <w:color w:val="auto"/>
              </w:rPr>
            </w:pPr>
          </w:p>
        </w:tc>
        <w:tc>
          <w:tcPr>
            <w:tcW w:w="2620" w:type="dxa"/>
            <w:vAlign w:val="bottom"/>
            <w:vMerge w:val="restart"/>
          </w:tcPr>
          <w:p>
            <w:pPr>
              <w:jc w:val="right"/>
              <w:ind w:right="39"/>
              <w:spacing w:after="0"/>
              <w:rPr>
                <w:sz w:val="20"/>
                <w:szCs w:val="20"/>
                <w:color w:val="auto"/>
              </w:rPr>
            </w:pPr>
            <w:r>
              <w:rPr>
                <w:rFonts w:ascii="Arial" w:cs="Arial" w:eastAsia="Arial" w:hAnsi="Arial"/>
                <w:sz w:val="16"/>
                <w:szCs w:val="16"/>
                <w:color w:val="08228B"/>
              </w:rPr>
              <w:t>29</w:t>
            </w:r>
          </w:p>
        </w:tc>
        <w:tc>
          <w:tcPr>
            <w:tcW w:w="0" w:type="dxa"/>
            <w:vAlign w:val="bottom"/>
          </w:tcPr>
          <w:p>
            <w:pPr>
              <w:spacing w:after="0"/>
              <w:rPr>
                <w:sz w:val="1"/>
                <w:szCs w:val="1"/>
                <w:color w:val="auto"/>
              </w:rPr>
            </w:pPr>
          </w:p>
        </w:tc>
      </w:tr>
      <w:tr>
        <w:trPr>
          <w:trHeight w:val="82"/>
        </w:trPr>
        <w:tc>
          <w:tcPr>
            <w:tcW w:w="4340" w:type="dxa"/>
            <w:vAlign w:val="bottom"/>
          </w:tcPr>
          <w:p>
            <w:pPr>
              <w:spacing w:after="0"/>
              <w:rPr>
                <w:sz w:val="7"/>
                <w:szCs w:val="7"/>
                <w:color w:val="auto"/>
              </w:rPr>
            </w:pPr>
          </w:p>
        </w:tc>
        <w:tc>
          <w:tcPr>
            <w:tcW w:w="2060" w:type="dxa"/>
            <w:vAlign w:val="bottom"/>
            <w:vMerge w:val="continue"/>
          </w:tcPr>
          <w:p>
            <w:pPr>
              <w:spacing w:after="0"/>
              <w:rPr>
                <w:sz w:val="7"/>
                <w:szCs w:val="7"/>
                <w:color w:val="auto"/>
              </w:rPr>
            </w:pPr>
          </w:p>
        </w:tc>
        <w:tc>
          <w:tcPr>
            <w:tcW w:w="2400" w:type="dxa"/>
            <w:vAlign w:val="bottom"/>
          </w:tcPr>
          <w:p>
            <w:pPr>
              <w:spacing w:after="0"/>
              <w:rPr>
                <w:sz w:val="7"/>
                <w:szCs w:val="7"/>
                <w:color w:val="auto"/>
              </w:rPr>
            </w:pPr>
          </w:p>
        </w:tc>
        <w:tc>
          <w:tcPr>
            <w:tcW w:w="2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7"/>
        </w:trPr>
        <w:tc>
          <w:tcPr>
            <w:tcW w:w="4340" w:type="dxa"/>
            <w:vAlign w:val="bottom"/>
            <w:tcBorders>
              <w:bottom w:val="single" w:sz="8" w:color="C0C0C0"/>
            </w:tcBorders>
          </w:tcPr>
          <w:p>
            <w:pPr>
              <w:spacing w:after="0"/>
              <w:rPr>
                <w:sz w:val="24"/>
                <w:szCs w:val="24"/>
                <w:color w:val="auto"/>
              </w:rPr>
            </w:pPr>
          </w:p>
        </w:tc>
        <w:tc>
          <w:tcPr>
            <w:tcW w:w="2060" w:type="dxa"/>
            <w:vAlign w:val="bottom"/>
            <w:tcBorders>
              <w:bottom w:val="single" w:sz="8" w:color="C0C0C0"/>
            </w:tcBorders>
          </w:tcPr>
          <w:p>
            <w:pPr>
              <w:spacing w:after="0"/>
              <w:rPr>
                <w:sz w:val="24"/>
                <w:szCs w:val="24"/>
                <w:color w:val="auto"/>
              </w:rPr>
            </w:pPr>
          </w:p>
        </w:tc>
        <w:tc>
          <w:tcPr>
            <w:tcW w:w="2400" w:type="dxa"/>
            <w:vAlign w:val="bottom"/>
            <w:tcBorders>
              <w:bottom w:val="single" w:sz="8" w:color="C0C0C0"/>
            </w:tcBorders>
          </w:tcPr>
          <w:p>
            <w:pPr>
              <w:spacing w:after="0"/>
              <w:rPr>
                <w:sz w:val="24"/>
                <w:szCs w:val="24"/>
                <w:color w:val="auto"/>
              </w:rPr>
            </w:pPr>
          </w:p>
        </w:tc>
        <w:tc>
          <w:tcPr>
            <w:tcW w:w="262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5613400</wp:posOffset>
            </wp:positionH>
            <wp:positionV relativeFrom="paragraph">
              <wp:posOffset>-334010</wp:posOffset>
            </wp:positionV>
            <wp:extent cx="1286510" cy="8572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1286510" cy="8572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Back to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32"/>
          <w:szCs w:val="32"/>
          <w:color w:val="1C90D3"/>
        </w:rPr>
        <w:t>Service on Other Public Company Boards</w:t>
      </w:r>
    </w:p>
    <w:p>
      <w:pPr>
        <w:spacing w:after="0" w:line="31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Board recognizes that service on other public company boards provides valuable governance and leadership experience that benefits the Company. The Board also believes, however, that it is critical that directors dedicate sufficient time to their service on the Company’s Board. Directors should advise the Chairman of the Board, Lead Director, or Chair of the Governance Committee in advance of accepting an invitation to serve on another public company board. This provides an opportunity to assess the impact of joining another board, based on various factors relevant to the specific situation, including the nature and extent of a director’s other professional obligations and the time commitment attendant to the new position. Directors who are engaged in active, full-time employment, for example, would have less time to devote to Board service than a director who exclusively serves on boards. Our Corporate Governance Guidelines provide that, without obtaining the approval of the Board:</w:t>
      </w:r>
    </w:p>
    <w:p>
      <w:pPr>
        <w:spacing w:after="0" w:line="182" w:lineRule="exact"/>
        <w:rPr>
          <w:sz w:val="20"/>
          <w:szCs w:val="20"/>
          <w:color w:val="auto"/>
        </w:rPr>
      </w:pPr>
    </w:p>
    <w:p>
      <w:pPr>
        <w:ind w:left="180" w:hanging="172"/>
        <w:spacing w:after="0"/>
        <w:tabs>
          <w:tab w:leader="none" w:pos="180" w:val="left"/>
        </w:tabs>
        <w:numPr>
          <w:ilvl w:val="0"/>
          <w:numId w:val="17"/>
        </w:numPr>
        <w:rPr>
          <w:rFonts w:ascii="Arial" w:cs="Arial" w:eastAsia="Arial" w:hAnsi="Arial"/>
          <w:sz w:val="16"/>
          <w:szCs w:val="16"/>
          <w:color w:val="08228B"/>
        </w:rPr>
      </w:pPr>
      <w:r>
        <w:rPr>
          <w:rFonts w:ascii="Arial" w:cs="Arial" w:eastAsia="Arial" w:hAnsi="Arial"/>
          <w:sz w:val="16"/>
          <w:szCs w:val="16"/>
          <w:color w:val="auto"/>
        </w:rPr>
        <w:t>A director may not serve on the boards of more than four other public companies (excluding nonprofits and subsidiaries); and</w:t>
      </w:r>
    </w:p>
    <w:p>
      <w:pPr>
        <w:spacing w:after="0" w:line="207" w:lineRule="exact"/>
        <w:rPr>
          <w:rFonts w:ascii="Arial" w:cs="Arial" w:eastAsia="Arial" w:hAnsi="Arial"/>
          <w:sz w:val="16"/>
          <w:szCs w:val="16"/>
          <w:color w:val="08228B"/>
        </w:rPr>
      </w:pPr>
    </w:p>
    <w:p>
      <w:pPr>
        <w:ind w:left="180" w:hanging="172"/>
        <w:spacing w:after="0"/>
        <w:tabs>
          <w:tab w:leader="none" w:pos="180" w:val="left"/>
        </w:tabs>
        <w:numPr>
          <w:ilvl w:val="0"/>
          <w:numId w:val="17"/>
        </w:numPr>
        <w:rPr>
          <w:rFonts w:ascii="Arial" w:cs="Arial" w:eastAsia="Arial" w:hAnsi="Arial"/>
          <w:sz w:val="16"/>
          <w:szCs w:val="16"/>
          <w:color w:val="08228B"/>
        </w:rPr>
      </w:pPr>
      <w:r>
        <w:rPr>
          <w:rFonts w:ascii="Arial" w:cs="Arial" w:eastAsia="Arial" w:hAnsi="Arial"/>
          <w:sz w:val="16"/>
          <w:szCs w:val="16"/>
          <w:color w:val="auto"/>
        </w:rPr>
        <w:t>No member of the Audit Committee may serve on more than two other public company audit committees.</w:t>
      </w:r>
    </w:p>
    <w:p>
      <w:pPr>
        <w:spacing w:after="0" w:line="19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All directors are in compliance with this policy. In general, management may not serve on the board of more than one other public company or for-profit entity and must obtain the approval of the Governance Committee prior to accepting an invitation to serve on an outside board.</w:t>
      </w:r>
    </w:p>
    <w:p>
      <w:pPr>
        <w:spacing w:after="0" w:line="400" w:lineRule="exact"/>
        <w:rPr>
          <w:sz w:val="20"/>
          <w:szCs w:val="20"/>
          <w:color w:val="auto"/>
        </w:rPr>
      </w:pPr>
    </w:p>
    <w:p>
      <w:pPr>
        <w:spacing w:after="0"/>
        <w:rPr>
          <w:sz w:val="20"/>
          <w:szCs w:val="20"/>
          <w:color w:val="auto"/>
        </w:rPr>
      </w:pPr>
      <w:r>
        <w:rPr>
          <w:rFonts w:ascii="Arial" w:cs="Arial" w:eastAsia="Arial" w:hAnsi="Arial"/>
          <w:sz w:val="32"/>
          <w:szCs w:val="32"/>
          <w:color w:val="1C90D3"/>
        </w:rPr>
        <w:t>Compensation Committee Interlocks and Insider Participation</w:t>
      </w:r>
    </w:p>
    <w:p>
      <w:pPr>
        <w:spacing w:after="0" w:line="31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During 2015, and as of the date of this Proxy Statement, none of the members of the Compensation Committee was or is an officer or employee of the Company, and no executive officer of the Company served or serves on the compensation committee or board of any company that employed or employs any member of the Company’s Compensation Committee or Board of Directors.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32"/>
          <w:szCs w:val="32"/>
          <w:color w:val="1C90D3"/>
        </w:rPr>
        <w:t>Shareholder Protections</w:t>
      </w:r>
    </w:p>
    <w:p>
      <w:pPr>
        <w:spacing w:after="0" w:line="31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Board is committed to governance policies and practices that increase shareholder value and protect important shareholder rights. Our Governance Committee regularly reviews these policies and practices. Among the policies and practices the Board believes demonstrate the Company’s commitment to protecting shareholder rights are:</w:t>
      </w:r>
    </w:p>
    <w:p>
      <w:pPr>
        <w:spacing w:after="0" w:line="174" w:lineRule="exact"/>
        <w:rPr>
          <w:sz w:val="20"/>
          <w:szCs w:val="20"/>
          <w:color w:val="auto"/>
        </w:rPr>
      </w:pPr>
    </w:p>
    <w:p>
      <w:pPr>
        <w:ind w:left="180" w:right="120" w:hanging="172"/>
        <w:spacing w:after="0" w:line="260" w:lineRule="auto"/>
        <w:tabs>
          <w:tab w:leader="none" w:pos="180" w:val="left"/>
        </w:tabs>
        <w:numPr>
          <w:ilvl w:val="0"/>
          <w:numId w:val="18"/>
        </w:numPr>
        <w:rPr>
          <w:rFonts w:ascii="Arial" w:cs="Arial" w:eastAsia="Arial" w:hAnsi="Arial"/>
          <w:sz w:val="16"/>
          <w:szCs w:val="16"/>
          <w:color w:val="08228B"/>
        </w:rPr>
      </w:pPr>
      <w:r>
        <w:rPr>
          <w:rFonts w:ascii="Arial" w:cs="Arial" w:eastAsia="Arial" w:hAnsi="Arial"/>
          <w:sz w:val="16"/>
          <w:szCs w:val="16"/>
          <w:color w:val="auto"/>
        </w:rPr>
        <w:t>Supermajority of independent directors serving on the Board, with key committees (including Audit, Compensation, and Governance) composed entirely of independent directors;</w:t>
      </w:r>
    </w:p>
    <w:p>
      <w:pPr>
        <w:spacing w:after="0" w:line="168" w:lineRule="exact"/>
        <w:rPr>
          <w:rFonts w:ascii="Arial" w:cs="Arial" w:eastAsia="Arial" w:hAnsi="Arial"/>
          <w:sz w:val="16"/>
          <w:szCs w:val="16"/>
          <w:color w:val="08228B"/>
        </w:rPr>
      </w:pPr>
    </w:p>
    <w:p>
      <w:pPr>
        <w:ind w:left="180" w:hanging="172"/>
        <w:spacing w:after="0"/>
        <w:tabs>
          <w:tab w:leader="none" w:pos="180" w:val="left"/>
        </w:tabs>
        <w:numPr>
          <w:ilvl w:val="0"/>
          <w:numId w:val="18"/>
        </w:numPr>
        <w:rPr>
          <w:rFonts w:ascii="Arial" w:cs="Arial" w:eastAsia="Arial" w:hAnsi="Arial"/>
          <w:sz w:val="16"/>
          <w:szCs w:val="16"/>
          <w:color w:val="08228B"/>
        </w:rPr>
      </w:pPr>
      <w:r>
        <w:rPr>
          <w:rFonts w:ascii="Arial" w:cs="Arial" w:eastAsia="Arial" w:hAnsi="Arial"/>
          <w:sz w:val="16"/>
          <w:szCs w:val="16"/>
          <w:color w:val="auto"/>
        </w:rPr>
        <w:t>Annual election of all directors;</w:t>
      </w:r>
    </w:p>
    <w:p>
      <w:pPr>
        <w:spacing w:after="0" w:line="194" w:lineRule="exact"/>
        <w:rPr>
          <w:rFonts w:ascii="Arial" w:cs="Arial" w:eastAsia="Arial" w:hAnsi="Arial"/>
          <w:sz w:val="16"/>
          <w:szCs w:val="16"/>
          <w:color w:val="08228B"/>
        </w:rPr>
      </w:pPr>
    </w:p>
    <w:p>
      <w:pPr>
        <w:ind w:left="180" w:hanging="172"/>
        <w:spacing w:after="0"/>
        <w:tabs>
          <w:tab w:leader="none" w:pos="180" w:val="left"/>
        </w:tabs>
        <w:numPr>
          <w:ilvl w:val="0"/>
          <w:numId w:val="18"/>
        </w:numPr>
        <w:rPr>
          <w:rFonts w:ascii="Arial" w:cs="Arial" w:eastAsia="Arial" w:hAnsi="Arial"/>
          <w:sz w:val="16"/>
          <w:szCs w:val="16"/>
          <w:color w:val="08228B"/>
        </w:rPr>
      </w:pPr>
      <w:r>
        <w:rPr>
          <w:rFonts w:ascii="Arial" w:cs="Arial" w:eastAsia="Arial" w:hAnsi="Arial"/>
          <w:sz w:val="16"/>
          <w:szCs w:val="16"/>
          <w:color w:val="auto"/>
        </w:rPr>
        <w:t>Majority voting standard for the election of directors in uncontested elections, coupled with a director resignation policy;</w:t>
      </w:r>
    </w:p>
    <w:p>
      <w:pPr>
        <w:spacing w:after="0" w:line="194" w:lineRule="exact"/>
        <w:rPr>
          <w:rFonts w:ascii="Arial" w:cs="Arial" w:eastAsia="Arial" w:hAnsi="Arial"/>
          <w:sz w:val="16"/>
          <w:szCs w:val="16"/>
          <w:color w:val="08228B"/>
        </w:rPr>
      </w:pPr>
    </w:p>
    <w:p>
      <w:pPr>
        <w:ind w:left="180" w:hanging="172"/>
        <w:spacing w:after="0"/>
        <w:tabs>
          <w:tab w:leader="none" w:pos="180" w:val="left"/>
        </w:tabs>
        <w:numPr>
          <w:ilvl w:val="0"/>
          <w:numId w:val="18"/>
        </w:numPr>
        <w:rPr>
          <w:rFonts w:ascii="Arial" w:cs="Arial" w:eastAsia="Arial" w:hAnsi="Arial"/>
          <w:sz w:val="16"/>
          <w:szCs w:val="16"/>
          <w:color w:val="08228B"/>
        </w:rPr>
      </w:pPr>
      <w:r>
        <w:rPr>
          <w:rFonts w:ascii="Arial" w:cs="Arial" w:eastAsia="Arial" w:hAnsi="Arial"/>
          <w:sz w:val="16"/>
          <w:szCs w:val="16"/>
          <w:color w:val="auto"/>
        </w:rPr>
        <w:t>Shareholder right to call for a special meeting;</w:t>
      </w:r>
    </w:p>
    <w:p>
      <w:pPr>
        <w:spacing w:after="0" w:line="194" w:lineRule="exact"/>
        <w:rPr>
          <w:rFonts w:ascii="Arial" w:cs="Arial" w:eastAsia="Arial" w:hAnsi="Arial"/>
          <w:sz w:val="16"/>
          <w:szCs w:val="16"/>
          <w:color w:val="08228B"/>
        </w:rPr>
      </w:pPr>
    </w:p>
    <w:p>
      <w:pPr>
        <w:jc w:val="both"/>
        <w:ind w:left="180" w:right="120" w:hanging="172"/>
        <w:spacing w:after="0" w:line="253" w:lineRule="auto"/>
        <w:tabs>
          <w:tab w:leader="none" w:pos="180" w:val="left"/>
        </w:tabs>
        <w:numPr>
          <w:ilvl w:val="0"/>
          <w:numId w:val="18"/>
        </w:numPr>
        <w:rPr>
          <w:rFonts w:ascii="Arial" w:cs="Arial" w:eastAsia="Arial" w:hAnsi="Arial"/>
          <w:sz w:val="16"/>
          <w:szCs w:val="16"/>
          <w:color w:val="08228B"/>
        </w:rPr>
      </w:pPr>
      <w:r>
        <w:rPr>
          <w:rFonts w:ascii="Arial" w:cs="Arial" w:eastAsia="Arial" w:hAnsi="Arial"/>
          <w:sz w:val="16"/>
          <w:szCs w:val="16"/>
          <w:color w:val="auto"/>
        </w:rPr>
        <w:t>Proxy access permitting a shareholder, or a group of up to 20 shareholders, owning at least 3 percent of the Company’s outstanding voting shares continuously for at least three years, to nominate and include in the Company’s proxy materials director nominees (two individuals or 20 percent of the Board, whichever is greater); and</w:t>
      </w:r>
    </w:p>
    <w:p>
      <w:pPr>
        <w:spacing w:after="0" w:line="174" w:lineRule="exact"/>
        <w:rPr>
          <w:rFonts w:ascii="Arial" w:cs="Arial" w:eastAsia="Arial" w:hAnsi="Arial"/>
          <w:sz w:val="16"/>
          <w:szCs w:val="16"/>
          <w:color w:val="08228B"/>
        </w:rPr>
      </w:pPr>
    </w:p>
    <w:p>
      <w:pPr>
        <w:ind w:left="180" w:hanging="172"/>
        <w:spacing w:after="0"/>
        <w:tabs>
          <w:tab w:leader="none" w:pos="180" w:val="left"/>
        </w:tabs>
        <w:numPr>
          <w:ilvl w:val="0"/>
          <w:numId w:val="18"/>
        </w:numPr>
        <w:rPr>
          <w:rFonts w:ascii="Arial" w:cs="Arial" w:eastAsia="Arial" w:hAnsi="Arial"/>
          <w:sz w:val="16"/>
          <w:szCs w:val="16"/>
          <w:color w:val="08228B"/>
        </w:rPr>
      </w:pPr>
      <w:r>
        <w:rPr>
          <w:rFonts w:ascii="Arial" w:cs="Arial" w:eastAsia="Arial" w:hAnsi="Arial"/>
          <w:sz w:val="16"/>
          <w:szCs w:val="16"/>
          <w:color w:val="auto"/>
        </w:rPr>
        <w:t>Director-Shareholder Engagement Policy that contemplates proactive and productive engagement with shareholders.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32"/>
          <w:szCs w:val="32"/>
          <w:color w:val="1C90D3"/>
        </w:rPr>
        <w:t>Shareholder Communication With the Board</w:t>
      </w:r>
    </w:p>
    <w:p>
      <w:pPr>
        <w:spacing w:after="0" w:line="319"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 xml:space="preserve">Shareholders and other interested parties may contact our Board as a whole, the non-management directors as a group, any Board Committee, the Chairman of the Board, the Lead Director, or any director by using contact information provided on our website at </w:t>
      </w:r>
      <w:r>
        <w:rPr>
          <w:rFonts w:ascii="Arial" w:cs="Arial" w:eastAsia="Arial" w:hAnsi="Arial"/>
          <w:sz w:val="16"/>
          <w:szCs w:val="16"/>
          <w:i w:val="1"/>
          <w:iCs w:val="1"/>
          <w:color w:val="auto"/>
        </w:rPr>
        <w:t>www.gm.com/investor</w:t>
      </w:r>
      <w:r>
        <w:rPr>
          <w:rFonts w:ascii="Arial" w:cs="Arial" w:eastAsia="Arial" w:hAnsi="Arial"/>
          <w:sz w:val="16"/>
          <w:szCs w:val="16"/>
          <w:color w:val="auto"/>
        </w:rPr>
        <w:t>, under “Corporate Governance.”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13"/>
        </w:trPr>
        <w:tc>
          <w:tcPr>
            <w:tcW w:w="4340" w:type="dxa"/>
            <w:vAlign w:val="bottom"/>
            <w:tcBorders>
              <w:bottom w:val="single" w:sz="8" w:color="08228B"/>
            </w:tcBorders>
          </w:tcPr>
          <w:p>
            <w:pPr>
              <w:spacing w:after="0"/>
              <w:rPr>
                <w:sz w:val="9"/>
                <w:szCs w:val="9"/>
                <w:color w:val="auto"/>
              </w:rPr>
            </w:pPr>
          </w:p>
        </w:tc>
        <w:tc>
          <w:tcPr>
            <w:tcW w:w="2060" w:type="dxa"/>
            <w:vAlign w:val="bottom"/>
            <w:vMerge w:val="restart"/>
          </w:tcPr>
          <w:p>
            <w:pPr>
              <w:ind w:left="60"/>
              <w:spacing w:after="0"/>
              <w:rPr>
                <w:sz w:val="20"/>
                <w:szCs w:val="20"/>
                <w:color w:val="auto"/>
              </w:rPr>
            </w:pPr>
            <w:r>
              <w:rPr>
                <w:rFonts w:ascii="Arial" w:cs="Arial" w:eastAsia="Arial" w:hAnsi="Arial"/>
                <w:sz w:val="16"/>
                <w:szCs w:val="16"/>
                <w:b w:val="1"/>
                <w:bCs w:val="1"/>
                <w:color w:val="1C90D3"/>
              </w:rPr>
              <w:t xml:space="preserve">2016 </w:t>
            </w:r>
            <w:r>
              <w:rPr>
                <w:rFonts w:ascii="Arial" w:cs="Arial" w:eastAsia="Arial" w:hAnsi="Arial"/>
                <w:sz w:val="16"/>
                <w:szCs w:val="16"/>
                <w:color w:val="08228B"/>
              </w:rPr>
              <w:t>PROXY STATEMENT</w:t>
            </w:r>
          </w:p>
        </w:tc>
        <w:tc>
          <w:tcPr>
            <w:tcW w:w="2400" w:type="dxa"/>
            <w:vAlign w:val="bottom"/>
            <w:tcBorders>
              <w:bottom w:val="single" w:sz="8" w:color="08228B"/>
            </w:tcBorders>
          </w:tcPr>
          <w:p>
            <w:pPr>
              <w:spacing w:after="0"/>
              <w:rPr>
                <w:sz w:val="9"/>
                <w:szCs w:val="9"/>
                <w:color w:val="auto"/>
              </w:rPr>
            </w:pPr>
          </w:p>
        </w:tc>
        <w:tc>
          <w:tcPr>
            <w:tcW w:w="2620" w:type="dxa"/>
            <w:vAlign w:val="bottom"/>
            <w:vMerge w:val="restart"/>
          </w:tcPr>
          <w:p>
            <w:pPr>
              <w:jc w:val="right"/>
              <w:ind w:right="39"/>
              <w:spacing w:after="0"/>
              <w:rPr>
                <w:sz w:val="20"/>
                <w:szCs w:val="20"/>
                <w:color w:val="auto"/>
              </w:rPr>
            </w:pPr>
            <w:r>
              <w:rPr>
                <w:rFonts w:ascii="Arial" w:cs="Arial" w:eastAsia="Arial" w:hAnsi="Arial"/>
                <w:sz w:val="16"/>
                <w:szCs w:val="16"/>
                <w:color w:val="08228B"/>
              </w:rPr>
              <w:t>30</w:t>
            </w:r>
          </w:p>
        </w:tc>
        <w:tc>
          <w:tcPr>
            <w:tcW w:w="0" w:type="dxa"/>
            <w:vAlign w:val="bottom"/>
          </w:tcPr>
          <w:p>
            <w:pPr>
              <w:spacing w:after="0"/>
              <w:rPr>
                <w:sz w:val="1"/>
                <w:szCs w:val="1"/>
                <w:color w:val="auto"/>
              </w:rPr>
            </w:pPr>
          </w:p>
        </w:tc>
      </w:tr>
      <w:tr>
        <w:trPr>
          <w:trHeight w:val="82"/>
        </w:trPr>
        <w:tc>
          <w:tcPr>
            <w:tcW w:w="4340" w:type="dxa"/>
            <w:vAlign w:val="bottom"/>
          </w:tcPr>
          <w:p>
            <w:pPr>
              <w:spacing w:after="0"/>
              <w:rPr>
                <w:sz w:val="7"/>
                <w:szCs w:val="7"/>
                <w:color w:val="auto"/>
              </w:rPr>
            </w:pPr>
          </w:p>
        </w:tc>
        <w:tc>
          <w:tcPr>
            <w:tcW w:w="2060" w:type="dxa"/>
            <w:vAlign w:val="bottom"/>
            <w:vMerge w:val="continue"/>
          </w:tcPr>
          <w:p>
            <w:pPr>
              <w:spacing w:after="0"/>
              <w:rPr>
                <w:sz w:val="7"/>
                <w:szCs w:val="7"/>
                <w:color w:val="auto"/>
              </w:rPr>
            </w:pPr>
          </w:p>
        </w:tc>
        <w:tc>
          <w:tcPr>
            <w:tcW w:w="2400" w:type="dxa"/>
            <w:vAlign w:val="bottom"/>
          </w:tcPr>
          <w:p>
            <w:pPr>
              <w:spacing w:after="0"/>
              <w:rPr>
                <w:sz w:val="7"/>
                <w:szCs w:val="7"/>
                <w:color w:val="auto"/>
              </w:rPr>
            </w:pPr>
          </w:p>
        </w:tc>
        <w:tc>
          <w:tcPr>
            <w:tcW w:w="2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7"/>
        </w:trPr>
        <w:tc>
          <w:tcPr>
            <w:tcW w:w="4340" w:type="dxa"/>
            <w:vAlign w:val="bottom"/>
            <w:tcBorders>
              <w:bottom w:val="single" w:sz="8" w:color="C0C0C0"/>
            </w:tcBorders>
          </w:tcPr>
          <w:p>
            <w:pPr>
              <w:spacing w:after="0"/>
              <w:rPr>
                <w:sz w:val="24"/>
                <w:szCs w:val="24"/>
                <w:color w:val="auto"/>
              </w:rPr>
            </w:pPr>
          </w:p>
        </w:tc>
        <w:tc>
          <w:tcPr>
            <w:tcW w:w="2060" w:type="dxa"/>
            <w:vAlign w:val="bottom"/>
            <w:tcBorders>
              <w:bottom w:val="single" w:sz="8" w:color="C0C0C0"/>
            </w:tcBorders>
          </w:tcPr>
          <w:p>
            <w:pPr>
              <w:spacing w:after="0"/>
              <w:rPr>
                <w:sz w:val="24"/>
                <w:szCs w:val="24"/>
                <w:color w:val="auto"/>
              </w:rPr>
            </w:pPr>
          </w:p>
        </w:tc>
        <w:tc>
          <w:tcPr>
            <w:tcW w:w="2400" w:type="dxa"/>
            <w:vAlign w:val="bottom"/>
            <w:tcBorders>
              <w:bottom w:val="single" w:sz="8" w:color="C0C0C0"/>
            </w:tcBorders>
          </w:tcPr>
          <w:p>
            <w:pPr>
              <w:spacing w:after="0"/>
              <w:rPr>
                <w:sz w:val="24"/>
                <w:szCs w:val="24"/>
                <w:color w:val="auto"/>
              </w:rPr>
            </w:pPr>
          </w:p>
        </w:tc>
        <w:tc>
          <w:tcPr>
            <w:tcW w:w="262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5613400</wp:posOffset>
            </wp:positionH>
            <wp:positionV relativeFrom="paragraph">
              <wp:posOffset>-334010</wp:posOffset>
            </wp:positionV>
            <wp:extent cx="1286510" cy="8572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1286510" cy="8572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Back to Contents</w:t>
        </w:r>
      </w:hyperlink>
    </w:p>
    <w:p>
      <w:pPr>
        <w:spacing w:after="0" w:line="198" w:lineRule="exact"/>
        <w:rPr>
          <w:sz w:val="20"/>
          <w:szCs w:val="20"/>
          <w:color w:val="auto"/>
        </w:rPr>
      </w:pPr>
    </w:p>
    <w:p>
      <w:pPr>
        <w:ind w:left="60"/>
        <w:spacing w:after="0"/>
        <w:rPr>
          <w:sz w:val="20"/>
          <w:szCs w:val="20"/>
          <w:color w:val="auto"/>
        </w:rPr>
      </w:pPr>
      <w:r>
        <w:rPr>
          <w:rFonts w:ascii="Arial" w:cs="Arial" w:eastAsia="Arial" w:hAnsi="Arial"/>
          <w:sz w:val="32"/>
          <w:szCs w:val="32"/>
          <w:color w:val="1C90D3"/>
        </w:rPr>
        <w:t>Certain Relationships and Related Party Transactions</w:t>
      </w:r>
    </w:p>
    <w:p>
      <w:pPr>
        <w:spacing w:after="0" w:line="31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Our policy is that all our employees and directors must avoid any activity that is in conflict with our business interests. Our Board of Directors has adopted the Related Party Transactions Policy, a written policy regarding the review and approval or ratification of “related party transactions.” For purposes of our Policy, related party transactions are transactions in which our Company is a participant, the amount involved exceeds $120,000, and a “related party” has or will have a direct or an indirect material interest. Related parties of our Company consist of directors (including nominees for election as directors), executive officers, shareholders beneficially owning more than 5 percent of the Company’s voting securities (“Significant Shareholders”), and the immediate family members of these individuals.</w:t>
      </w:r>
    </w:p>
    <w:p>
      <w:pPr>
        <w:spacing w:after="0" w:line="17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During 2015, the Governance Committee reviewed and revised the Related Party Transactions Policy to provide that all related party transactions be referred to the Governance Committee for review and approval or ratification. Previously, related party transactions involving executive officers other than the CEO or the General Counsel and their immediate family members were referred to the General Counsel for review and approval or ratification.</w:t>
      </w:r>
    </w:p>
    <w:p>
      <w:pPr>
        <w:spacing w:after="0" w:line="17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Each director and executive officer is responsible for providing written notice to the General Counsel of any potential related party transaction involving him or her or his or her immediate family member, including any additional information about the transaction that the General Counsel or Corporate Secretary may reasonably request for review by the Governance Committee. The Governance Committee will determine whether the transaction does, in fact, constitute a related party transaction requiring compliance with this policy, in consultation with the General Counsel or Corporate Secretary and outside counsel, as appropriate.</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addition, each director and executive officer is required to complete an annual questionnaire that requests information about their immediate family members and any current, past, and proposed related party transactions. This questionnaire also includes a reminder of each directors’ obligations under the Related Party Transactions Policy.</w:t>
      </w:r>
    </w:p>
    <w:p>
      <w:pPr>
        <w:spacing w:after="0" w:line="17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To review a related party transaction, the Governance Committee will be provided with all relevant material information of the related party transaction, including the terms of the transaction, the business purpose of the transaction, the benefits to the Company and to the related party, and any other relevant matters. In determining whether to approve or ratify a related party transaction, the Governance Committee will consider the following factors, among others, to the extent they are relevant to the related party transaction:</w:t>
      </w:r>
    </w:p>
    <w:p>
      <w:pPr>
        <w:spacing w:after="0" w:line="176" w:lineRule="exact"/>
        <w:rPr>
          <w:sz w:val="20"/>
          <w:szCs w:val="20"/>
          <w:color w:val="auto"/>
        </w:rPr>
      </w:pPr>
    </w:p>
    <w:p>
      <w:pPr>
        <w:ind w:left="180" w:right="140" w:hanging="172"/>
        <w:spacing w:after="0" w:line="260" w:lineRule="auto"/>
        <w:tabs>
          <w:tab w:leader="none" w:pos="180" w:val="left"/>
        </w:tabs>
        <w:numPr>
          <w:ilvl w:val="0"/>
          <w:numId w:val="19"/>
        </w:numPr>
        <w:rPr>
          <w:rFonts w:ascii="Arial" w:cs="Arial" w:eastAsia="Arial" w:hAnsi="Arial"/>
          <w:sz w:val="16"/>
          <w:szCs w:val="16"/>
          <w:color w:val="08228B"/>
        </w:rPr>
      </w:pPr>
      <w:r>
        <w:rPr>
          <w:rFonts w:ascii="Arial" w:cs="Arial" w:eastAsia="Arial" w:hAnsi="Arial"/>
          <w:sz w:val="16"/>
          <w:szCs w:val="16"/>
          <w:color w:val="auto"/>
        </w:rPr>
        <w:t>Whether the terms of the related party transaction are fair to the Company and would apply on the same basis if the transaction did not involve a related party;</w:t>
      </w:r>
    </w:p>
    <w:p>
      <w:pPr>
        <w:spacing w:after="0" w:line="182" w:lineRule="exact"/>
        <w:rPr>
          <w:rFonts w:ascii="Arial" w:cs="Arial" w:eastAsia="Arial" w:hAnsi="Arial"/>
          <w:sz w:val="16"/>
          <w:szCs w:val="16"/>
          <w:color w:val="08228B"/>
        </w:rPr>
      </w:pPr>
    </w:p>
    <w:p>
      <w:pPr>
        <w:ind w:left="180" w:right="140" w:hanging="172"/>
        <w:spacing w:after="0" w:line="260" w:lineRule="auto"/>
        <w:tabs>
          <w:tab w:leader="none" w:pos="180" w:val="left"/>
        </w:tabs>
        <w:numPr>
          <w:ilvl w:val="0"/>
          <w:numId w:val="19"/>
        </w:numPr>
        <w:rPr>
          <w:rFonts w:ascii="Arial" w:cs="Arial" w:eastAsia="Arial" w:hAnsi="Arial"/>
          <w:sz w:val="16"/>
          <w:szCs w:val="16"/>
          <w:color w:val="08228B"/>
        </w:rPr>
      </w:pPr>
      <w:r>
        <w:rPr>
          <w:rFonts w:ascii="Arial" w:cs="Arial" w:eastAsia="Arial" w:hAnsi="Arial"/>
          <w:sz w:val="16"/>
          <w:szCs w:val="16"/>
          <w:color w:val="auto"/>
        </w:rPr>
        <w:t>Whether there are any compelling business reasons for the Company to enter into the related party transaction and the nature of alternative transactions, if any;</w:t>
      </w:r>
    </w:p>
    <w:p>
      <w:pPr>
        <w:spacing w:after="0" w:line="182" w:lineRule="exact"/>
        <w:rPr>
          <w:rFonts w:ascii="Arial" w:cs="Arial" w:eastAsia="Arial" w:hAnsi="Arial"/>
          <w:sz w:val="16"/>
          <w:szCs w:val="16"/>
          <w:color w:val="08228B"/>
        </w:rPr>
      </w:pPr>
    </w:p>
    <w:p>
      <w:pPr>
        <w:ind w:left="180" w:hanging="172"/>
        <w:spacing w:after="0"/>
        <w:tabs>
          <w:tab w:leader="none" w:pos="180" w:val="left"/>
        </w:tabs>
        <w:numPr>
          <w:ilvl w:val="0"/>
          <w:numId w:val="19"/>
        </w:numPr>
        <w:rPr>
          <w:rFonts w:ascii="Arial" w:cs="Arial" w:eastAsia="Arial" w:hAnsi="Arial"/>
          <w:sz w:val="16"/>
          <w:szCs w:val="16"/>
          <w:color w:val="08228B"/>
        </w:rPr>
      </w:pPr>
      <w:r>
        <w:rPr>
          <w:rFonts w:ascii="Arial" w:cs="Arial" w:eastAsia="Arial" w:hAnsi="Arial"/>
          <w:sz w:val="16"/>
          <w:szCs w:val="16"/>
          <w:color w:val="auto"/>
        </w:rPr>
        <w:t>Whether the related party transaction would impair the independence of an otherwise independent director;</w:t>
      </w:r>
    </w:p>
    <w:p>
      <w:pPr>
        <w:spacing w:after="0" w:line="207" w:lineRule="exact"/>
        <w:rPr>
          <w:rFonts w:ascii="Arial" w:cs="Arial" w:eastAsia="Arial" w:hAnsi="Arial"/>
          <w:sz w:val="16"/>
          <w:szCs w:val="16"/>
          <w:color w:val="08228B"/>
        </w:rPr>
      </w:pPr>
    </w:p>
    <w:p>
      <w:pPr>
        <w:ind w:left="180" w:right="120" w:hanging="172"/>
        <w:spacing w:after="0" w:line="260" w:lineRule="auto"/>
        <w:tabs>
          <w:tab w:leader="none" w:pos="180" w:val="left"/>
        </w:tabs>
        <w:numPr>
          <w:ilvl w:val="0"/>
          <w:numId w:val="19"/>
        </w:numPr>
        <w:rPr>
          <w:rFonts w:ascii="Arial" w:cs="Arial" w:eastAsia="Arial" w:hAnsi="Arial"/>
          <w:sz w:val="16"/>
          <w:szCs w:val="16"/>
          <w:color w:val="08228B"/>
        </w:rPr>
      </w:pPr>
      <w:r>
        <w:rPr>
          <w:rFonts w:ascii="Arial" w:cs="Arial" w:eastAsia="Arial" w:hAnsi="Arial"/>
          <w:sz w:val="16"/>
          <w:szCs w:val="16"/>
          <w:color w:val="auto"/>
        </w:rPr>
        <w:t>Whether the Company was notified about the related party transaction before its commencement, and if not, why preapproval was not sought and whether subsequent ratification would be detrimental to the Company; and</w:t>
      </w:r>
    </w:p>
    <w:p>
      <w:pPr>
        <w:spacing w:after="0" w:line="182" w:lineRule="exact"/>
        <w:rPr>
          <w:rFonts w:ascii="Arial" w:cs="Arial" w:eastAsia="Arial" w:hAnsi="Arial"/>
          <w:sz w:val="16"/>
          <w:szCs w:val="16"/>
          <w:color w:val="08228B"/>
        </w:rPr>
      </w:pPr>
    </w:p>
    <w:p>
      <w:pPr>
        <w:jc w:val="both"/>
        <w:ind w:left="180" w:right="120" w:hanging="172"/>
        <w:spacing w:after="0" w:line="251" w:lineRule="auto"/>
        <w:tabs>
          <w:tab w:leader="none" w:pos="180" w:val="left"/>
        </w:tabs>
        <w:numPr>
          <w:ilvl w:val="0"/>
          <w:numId w:val="19"/>
        </w:numPr>
        <w:rPr>
          <w:rFonts w:ascii="Arial" w:cs="Arial" w:eastAsia="Arial" w:hAnsi="Arial"/>
          <w:sz w:val="16"/>
          <w:szCs w:val="16"/>
          <w:color w:val="08228B"/>
        </w:rPr>
      </w:pPr>
      <w:r>
        <w:rPr>
          <w:rFonts w:ascii="Arial" w:cs="Arial" w:eastAsia="Arial" w:hAnsi="Arial"/>
          <w:sz w:val="16"/>
          <w:szCs w:val="16"/>
          <w:color w:val="auto"/>
        </w:rPr>
        <w:t>Whether the related party transaction would present an improper conflict of interest for any director or executive officer of the Company, taking into account the size of the transaction, the overall financial position of the director, executive officer, or other related party, the direct or indirect nature of the director’s, executive officer’s, or other related party’s interest in the transaction, and the ongoing nature of any proposed relationship and any other factors the Governance Committee deems relevant.</w:t>
      </w:r>
    </w:p>
    <w:p>
      <w:pPr>
        <w:spacing w:after="0" w:line="17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Governance Committee in its discretion may refer any transaction to the Board for review and approval or ratification. Any member of the Governance Committee who has a potential interest in any related party transaction will recuse himself or herself and abstain from voting on the approval or ratification of the related party transaction, but may participate in all or a portion of the Governance Committee’s discussions of the related party transaction, if requested by the Chair of the Governance Committee.</w:t>
      </w:r>
    </w:p>
    <w:p>
      <w:pPr>
        <w:spacing w:after="0" w:line="176"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 xml:space="preserve">In any case where the Governance Committee determines not to ratify a related party transaction that has been commenced without approval, the Governance Committee may direct additional actions, including, but not limited to, immediate discontinuation or rescission of the transaction or modification of the transaction to make it acceptable for ratification. The Governance Committee has authority to oversee our Related Party Transactions Policy and to amend it from time to time. In addition, the Governance Committee is responsible for annually reviewing the independence of each director and the appropriateness of any potential related party transaction and related issues. Our Related Party Transactions Policy is available on our website at </w:t>
      </w:r>
      <w:r>
        <w:rPr>
          <w:rFonts w:ascii="Arial" w:cs="Arial" w:eastAsia="Arial" w:hAnsi="Arial"/>
          <w:sz w:val="16"/>
          <w:szCs w:val="16"/>
          <w:i w:val="1"/>
          <w:iCs w:val="1"/>
          <w:color w:val="auto"/>
        </w:rPr>
        <w:t>www.gm.com/investor</w:t>
      </w:r>
      <w:r>
        <w:rPr>
          <w:rFonts w:ascii="Arial" w:cs="Arial" w:eastAsia="Arial" w:hAnsi="Arial"/>
          <w:sz w:val="16"/>
          <w:szCs w:val="16"/>
          <w:color w:val="auto"/>
        </w:rPr>
        <w:t>, under “Corporate Governance.”</w:t>
      </w:r>
    </w:p>
    <w:p>
      <w:pPr>
        <w:spacing w:after="0" w:line="17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As required under SEC rules, we will disclose all related party transactions in our Proxy Statement. No reportable transactions have occurred since January 1, 2015, or are currently proposed.</w:t>
      </w:r>
    </w:p>
    <w:p>
      <w:pPr>
        <w:spacing w:after="0" w:line="400" w:lineRule="exact"/>
        <w:rPr>
          <w:sz w:val="20"/>
          <w:szCs w:val="20"/>
          <w:color w:val="auto"/>
        </w:rPr>
      </w:pPr>
    </w:p>
    <w:p>
      <w:pPr>
        <w:spacing w:after="0"/>
        <w:rPr>
          <w:sz w:val="20"/>
          <w:szCs w:val="20"/>
          <w:color w:val="auto"/>
        </w:rPr>
      </w:pPr>
      <w:r>
        <w:rPr>
          <w:rFonts w:ascii="Arial" w:cs="Arial" w:eastAsia="Arial" w:hAnsi="Arial"/>
          <w:sz w:val="32"/>
          <w:szCs w:val="32"/>
          <w:color w:val="1C90D3"/>
        </w:rPr>
        <w:t>Engagement Program</w:t>
      </w:r>
    </w:p>
    <w:p>
      <w:pPr>
        <w:spacing w:after="0" w:line="31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Board believes that fostering long-term and enterprise-wide relationships with our shareholders and maintaining their trust and goodwill is a core GM objective. And to demonstrate its openness to investor feedback and input, our Board recently adopted a Director-Shareholder Engagement Policy, which contemplates both proactive engagement, in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13"/>
        </w:trPr>
        <w:tc>
          <w:tcPr>
            <w:tcW w:w="4340" w:type="dxa"/>
            <w:vAlign w:val="bottom"/>
            <w:tcBorders>
              <w:bottom w:val="single" w:sz="8" w:color="08228B"/>
            </w:tcBorders>
          </w:tcPr>
          <w:p>
            <w:pPr>
              <w:spacing w:after="0"/>
              <w:rPr>
                <w:sz w:val="9"/>
                <w:szCs w:val="9"/>
                <w:color w:val="auto"/>
              </w:rPr>
            </w:pPr>
          </w:p>
        </w:tc>
        <w:tc>
          <w:tcPr>
            <w:tcW w:w="2060" w:type="dxa"/>
            <w:vAlign w:val="bottom"/>
            <w:vMerge w:val="restart"/>
          </w:tcPr>
          <w:p>
            <w:pPr>
              <w:ind w:left="60"/>
              <w:spacing w:after="0"/>
              <w:rPr>
                <w:sz w:val="20"/>
                <w:szCs w:val="20"/>
                <w:color w:val="auto"/>
              </w:rPr>
            </w:pPr>
            <w:r>
              <w:rPr>
                <w:rFonts w:ascii="Arial" w:cs="Arial" w:eastAsia="Arial" w:hAnsi="Arial"/>
                <w:sz w:val="16"/>
                <w:szCs w:val="16"/>
                <w:b w:val="1"/>
                <w:bCs w:val="1"/>
                <w:color w:val="1C90D3"/>
              </w:rPr>
              <w:t xml:space="preserve">2016 </w:t>
            </w:r>
            <w:r>
              <w:rPr>
                <w:rFonts w:ascii="Arial" w:cs="Arial" w:eastAsia="Arial" w:hAnsi="Arial"/>
                <w:sz w:val="16"/>
                <w:szCs w:val="16"/>
                <w:color w:val="08228B"/>
              </w:rPr>
              <w:t>PROXY STATEMENT</w:t>
            </w:r>
          </w:p>
        </w:tc>
        <w:tc>
          <w:tcPr>
            <w:tcW w:w="2400" w:type="dxa"/>
            <w:vAlign w:val="bottom"/>
            <w:tcBorders>
              <w:bottom w:val="single" w:sz="8" w:color="08228B"/>
            </w:tcBorders>
          </w:tcPr>
          <w:p>
            <w:pPr>
              <w:spacing w:after="0"/>
              <w:rPr>
                <w:sz w:val="9"/>
                <w:szCs w:val="9"/>
                <w:color w:val="auto"/>
              </w:rPr>
            </w:pPr>
          </w:p>
        </w:tc>
        <w:tc>
          <w:tcPr>
            <w:tcW w:w="2620" w:type="dxa"/>
            <w:vAlign w:val="bottom"/>
            <w:vMerge w:val="restart"/>
          </w:tcPr>
          <w:p>
            <w:pPr>
              <w:jc w:val="right"/>
              <w:ind w:right="39"/>
              <w:spacing w:after="0"/>
              <w:rPr>
                <w:sz w:val="20"/>
                <w:szCs w:val="20"/>
                <w:color w:val="auto"/>
              </w:rPr>
            </w:pPr>
            <w:r>
              <w:rPr>
                <w:rFonts w:ascii="Arial" w:cs="Arial" w:eastAsia="Arial" w:hAnsi="Arial"/>
                <w:sz w:val="16"/>
                <w:szCs w:val="16"/>
                <w:color w:val="08228B"/>
              </w:rPr>
              <w:t>31</w:t>
            </w:r>
          </w:p>
        </w:tc>
        <w:tc>
          <w:tcPr>
            <w:tcW w:w="0" w:type="dxa"/>
            <w:vAlign w:val="bottom"/>
          </w:tcPr>
          <w:p>
            <w:pPr>
              <w:spacing w:after="0"/>
              <w:rPr>
                <w:sz w:val="1"/>
                <w:szCs w:val="1"/>
                <w:color w:val="auto"/>
              </w:rPr>
            </w:pPr>
          </w:p>
        </w:tc>
      </w:tr>
      <w:tr>
        <w:trPr>
          <w:trHeight w:val="82"/>
        </w:trPr>
        <w:tc>
          <w:tcPr>
            <w:tcW w:w="4340" w:type="dxa"/>
            <w:vAlign w:val="bottom"/>
          </w:tcPr>
          <w:p>
            <w:pPr>
              <w:spacing w:after="0"/>
              <w:rPr>
                <w:sz w:val="7"/>
                <w:szCs w:val="7"/>
                <w:color w:val="auto"/>
              </w:rPr>
            </w:pPr>
          </w:p>
        </w:tc>
        <w:tc>
          <w:tcPr>
            <w:tcW w:w="2060" w:type="dxa"/>
            <w:vAlign w:val="bottom"/>
            <w:vMerge w:val="continue"/>
          </w:tcPr>
          <w:p>
            <w:pPr>
              <w:spacing w:after="0"/>
              <w:rPr>
                <w:sz w:val="7"/>
                <w:szCs w:val="7"/>
                <w:color w:val="auto"/>
              </w:rPr>
            </w:pPr>
          </w:p>
        </w:tc>
        <w:tc>
          <w:tcPr>
            <w:tcW w:w="2400" w:type="dxa"/>
            <w:vAlign w:val="bottom"/>
          </w:tcPr>
          <w:p>
            <w:pPr>
              <w:spacing w:after="0"/>
              <w:rPr>
                <w:sz w:val="7"/>
                <w:szCs w:val="7"/>
                <w:color w:val="auto"/>
              </w:rPr>
            </w:pPr>
          </w:p>
        </w:tc>
        <w:tc>
          <w:tcPr>
            <w:tcW w:w="2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7"/>
        </w:trPr>
        <w:tc>
          <w:tcPr>
            <w:tcW w:w="4340" w:type="dxa"/>
            <w:vAlign w:val="bottom"/>
            <w:tcBorders>
              <w:bottom w:val="single" w:sz="8" w:color="C0C0C0"/>
            </w:tcBorders>
          </w:tcPr>
          <w:p>
            <w:pPr>
              <w:spacing w:after="0"/>
              <w:rPr>
                <w:sz w:val="24"/>
                <w:szCs w:val="24"/>
                <w:color w:val="auto"/>
              </w:rPr>
            </w:pPr>
          </w:p>
        </w:tc>
        <w:tc>
          <w:tcPr>
            <w:tcW w:w="2060" w:type="dxa"/>
            <w:vAlign w:val="bottom"/>
            <w:tcBorders>
              <w:bottom w:val="single" w:sz="8" w:color="C0C0C0"/>
            </w:tcBorders>
          </w:tcPr>
          <w:p>
            <w:pPr>
              <w:spacing w:after="0"/>
              <w:rPr>
                <w:sz w:val="24"/>
                <w:szCs w:val="24"/>
                <w:color w:val="auto"/>
              </w:rPr>
            </w:pPr>
          </w:p>
        </w:tc>
        <w:tc>
          <w:tcPr>
            <w:tcW w:w="2400" w:type="dxa"/>
            <w:vAlign w:val="bottom"/>
            <w:tcBorders>
              <w:bottom w:val="single" w:sz="8" w:color="C0C0C0"/>
            </w:tcBorders>
          </w:tcPr>
          <w:p>
            <w:pPr>
              <w:spacing w:after="0"/>
              <w:rPr>
                <w:sz w:val="24"/>
                <w:szCs w:val="24"/>
                <w:color w:val="auto"/>
              </w:rPr>
            </w:pPr>
          </w:p>
        </w:tc>
        <w:tc>
          <w:tcPr>
            <w:tcW w:w="262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5613400</wp:posOffset>
            </wp:positionH>
            <wp:positionV relativeFrom="paragraph">
              <wp:posOffset>-334010</wp:posOffset>
            </wp:positionV>
            <wp:extent cx="1286510" cy="8572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1286510" cy="8572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Back to Contents</w:t>
        </w:r>
      </w:hyperlink>
    </w:p>
    <w:p>
      <w:pPr>
        <w:spacing w:after="0" w:line="19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which shareholders are identified by the Board for selective engagement, and reactive engagement, with shareholders that seek to provide input to the Board and executive management on various matters. Through this process, GM conducts engagements with key shareholders. These engagements routinely cover governance, compensation, environmental, social, and other current and emerging issues so that the Board and management understand and address the issues that are important to our shareholders.</w:t>
      </w:r>
    </w:p>
    <w:p>
      <w:pPr>
        <w:spacing w:after="0" w:line="17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Since GM’s last Annual Meeting, members of the Board and management have conducted engagements with shareholders representing more than 45 percent of the Company’s outstanding shares. In addition, our management team engaged with shareholders who submitted proposals for inclusion in this Proxy Statement to discuss their concerns and areas of agreement and disagreement. The Company gained valuable feedback during these engagements, and this feedback was shared with the Board and its relevant Committees.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32"/>
          <w:szCs w:val="32"/>
          <w:color w:val="1C90D3"/>
        </w:rPr>
        <w:t>Sustainability</w:t>
      </w:r>
    </w:p>
    <w:p>
      <w:pPr>
        <w:spacing w:after="0" w:line="31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have a long-standing commitment to our shareholders and communities to operate in an environmentally and socially responsible manner. We continue to take action to reduce our global carbon footprint, optimize the efficiency and safety of our workplace, support our customers in reducing their own environmental footprints, and encourage our suppliers to act in more sustainable ways. To do this, we provide solutions all over the world in the form of improved and new types of products, innovation for existing products and services, and advanced technologies.</w:t>
      </w:r>
    </w:p>
    <w:p>
      <w:pPr>
        <w:spacing w:after="0" w:line="17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Placing the customer at the center of all we do extends to both how we build our products and how we serve and improve our communities. When it comes to sustainability, we pursue outcomes that create value for all of our stakeholders.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08228B"/>
        </w:rPr>
        <w:t>Our sustainability strategy is aligned to our business practices and emphasizes:</w:t>
      </w:r>
    </w:p>
    <w:p>
      <w:pPr>
        <w:spacing w:after="0" w:line="187" w:lineRule="exact"/>
        <w:rPr>
          <w:sz w:val="20"/>
          <w:szCs w:val="20"/>
          <w:color w:val="auto"/>
        </w:rPr>
      </w:pPr>
    </w:p>
    <w:p>
      <w:pPr>
        <w:ind w:left="180" w:hanging="172"/>
        <w:spacing w:after="0"/>
        <w:tabs>
          <w:tab w:leader="none" w:pos="180" w:val="left"/>
        </w:tabs>
        <w:numPr>
          <w:ilvl w:val="0"/>
          <w:numId w:val="20"/>
        </w:numPr>
        <w:rPr>
          <w:rFonts w:ascii="Arial" w:cs="Arial" w:eastAsia="Arial" w:hAnsi="Arial"/>
          <w:sz w:val="16"/>
          <w:szCs w:val="16"/>
          <w:color w:val="08228B"/>
        </w:rPr>
      </w:pPr>
      <w:r>
        <w:rPr>
          <w:rFonts w:ascii="Arial" w:cs="Arial" w:eastAsia="Arial" w:hAnsi="Arial"/>
          <w:sz w:val="16"/>
          <w:szCs w:val="16"/>
          <w:color w:val="auto"/>
        </w:rPr>
        <w:t>Surpassing customer expectations for quality and safety;</w:t>
      </w:r>
    </w:p>
    <w:p>
      <w:pPr>
        <w:spacing w:after="0" w:line="207" w:lineRule="exact"/>
        <w:rPr>
          <w:rFonts w:ascii="Arial" w:cs="Arial" w:eastAsia="Arial" w:hAnsi="Arial"/>
          <w:sz w:val="16"/>
          <w:szCs w:val="16"/>
          <w:color w:val="08228B"/>
        </w:rPr>
      </w:pPr>
    </w:p>
    <w:p>
      <w:pPr>
        <w:ind w:left="180" w:hanging="172"/>
        <w:spacing w:after="0"/>
        <w:tabs>
          <w:tab w:leader="none" w:pos="180" w:val="left"/>
        </w:tabs>
        <w:numPr>
          <w:ilvl w:val="0"/>
          <w:numId w:val="20"/>
        </w:numPr>
        <w:rPr>
          <w:rFonts w:ascii="Arial" w:cs="Arial" w:eastAsia="Arial" w:hAnsi="Arial"/>
          <w:sz w:val="16"/>
          <w:szCs w:val="16"/>
          <w:color w:val="08228B"/>
        </w:rPr>
      </w:pPr>
      <w:r>
        <w:rPr>
          <w:rFonts w:ascii="Arial" w:cs="Arial" w:eastAsia="Arial" w:hAnsi="Arial"/>
          <w:sz w:val="16"/>
          <w:szCs w:val="16"/>
          <w:color w:val="auto"/>
        </w:rPr>
        <w:t>Offering sustainable vehicle choices that meet the diverse needs of customers;</w:t>
      </w:r>
    </w:p>
    <w:p>
      <w:pPr>
        <w:spacing w:after="0" w:line="207" w:lineRule="exact"/>
        <w:rPr>
          <w:rFonts w:ascii="Arial" w:cs="Arial" w:eastAsia="Arial" w:hAnsi="Arial"/>
          <w:sz w:val="16"/>
          <w:szCs w:val="16"/>
          <w:color w:val="08228B"/>
        </w:rPr>
      </w:pPr>
    </w:p>
    <w:p>
      <w:pPr>
        <w:ind w:left="180" w:hanging="172"/>
        <w:spacing w:after="0"/>
        <w:tabs>
          <w:tab w:leader="none" w:pos="180" w:val="left"/>
        </w:tabs>
        <w:numPr>
          <w:ilvl w:val="0"/>
          <w:numId w:val="20"/>
        </w:numPr>
        <w:rPr>
          <w:rFonts w:ascii="Arial" w:cs="Arial" w:eastAsia="Arial" w:hAnsi="Arial"/>
          <w:sz w:val="16"/>
          <w:szCs w:val="16"/>
          <w:color w:val="08228B"/>
        </w:rPr>
      </w:pPr>
      <w:r>
        <w:rPr>
          <w:rFonts w:ascii="Arial" w:cs="Arial" w:eastAsia="Arial" w:hAnsi="Arial"/>
          <w:sz w:val="16"/>
          <w:szCs w:val="16"/>
          <w:color w:val="auto"/>
        </w:rPr>
        <w:t>Leveraging advanced technologies to enhance fuel economy, safety, and customer connectivity;</w:t>
      </w:r>
    </w:p>
    <w:p>
      <w:pPr>
        <w:spacing w:after="0" w:line="207" w:lineRule="exact"/>
        <w:rPr>
          <w:rFonts w:ascii="Arial" w:cs="Arial" w:eastAsia="Arial" w:hAnsi="Arial"/>
          <w:sz w:val="16"/>
          <w:szCs w:val="16"/>
          <w:color w:val="08228B"/>
        </w:rPr>
      </w:pPr>
    </w:p>
    <w:p>
      <w:pPr>
        <w:ind w:left="180" w:hanging="172"/>
        <w:spacing w:after="0"/>
        <w:tabs>
          <w:tab w:leader="none" w:pos="180" w:val="left"/>
        </w:tabs>
        <w:numPr>
          <w:ilvl w:val="0"/>
          <w:numId w:val="20"/>
        </w:numPr>
        <w:rPr>
          <w:rFonts w:ascii="Arial" w:cs="Arial" w:eastAsia="Arial" w:hAnsi="Arial"/>
          <w:sz w:val="16"/>
          <w:szCs w:val="16"/>
          <w:color w:val="08228B"/>
        </w:rPr>
      </w:pPr>
      <w:r>
        <w:rPr>
          <w:rFonts w:ascii="Arial" w:cs="Arial" w:eastAsia="Arial" w:hAnsi="Arial"/>
          <w:sz w:val="16"/>
          <w:szCs w:val="16"/>
          <w:color w:val="auto"/>
        </w:rPr>
        <w:t>Minimizing the impact of our operations and supply chain; and</w:t>
      </w:r>
    </w:p>
    <w:p>
      <w:pPr>
        <w:spacing w:after="0" w:line="207" w:lineRule="exact"/>
        <w:rPr>
          <w:rFonts w:ascii="Arial" w:cs="Arial" w:eastAsia="Arial" w:hAnsi="Arial"/>
          <w:sz w:val="16"/>
          <w:szCs w:val="16"/>
          <w:color w:val="08228B"/>
        </w:rPr>
      </w:pPr>
    </w:p>
    <w:p>
      <w:pPr>
        <w:ind w:left="180" w:hanging="172"/>
        <w:spacing w:after="0"/>
        <w:tabs>
          <w:tab w:leader="none" w:pos="180" w:val="left"/>
        </w:tabs>
        <w:numPr>
          <w:ilvl w:val="0"/>
          <w:numId w:val="20"/>
        </w:numPr>
        <w:rPr>
          <w:rFonts w:ascii="Arial" w:cs="Arial" w:eastAsia="Arial" w:hAnsi="Arial"/>
          <w:sz w:val="16"/>
          <w:szCs w:val="16"/>
          <w:color w:val="08228B"/>
        </w:rPr>
      </w:pPr>
      <w:r>
        <w:rPr>
          <w:rFonts w:ascii="Arial" w:cs="Arial" w:eastAsia="Arial" w:hAnsi="Arial"/>
          <w:sz w:val="16"/>
          <w:szCs w:val="16"/>
          <w:color w:val="auto"/>
        </w:rPr>
        <w:t>Building a culture that promotes our values of customers, relationships, and excellence.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08228B"/>
        </w:rPr>
        <w:t>Some of our 2015 accomplishments include:</w:t>
      </w:r>
    </w:p>
    <w:p>
      <w:pPr>
        <w:spacing w:after="0" w:line="187" w:lineRule="exact"/>
        <w:rPr>
          <w:sz w:val="20"/>
          <w:szCs w:val="20"/>
          <w:color w:val="auto"/>
        </w:rPr>
      </w:pPr>
    </w:p>
    <w:p>
      <w:pPr>
        <w:ind w:left="180" w:hanging="172"/>
        <w:spacing w:after="0"/>
        <w:tabs>
          <w:tab w:leader="none" w:pos="180" w:val="left"/>
        </w:tabs>
        <w:numPr>
          <w:ilvl w:val="0"/>
          <w:numId w:val="21"/>
        </w:numPr>
        <w:rPr>
          <w:rFonts w:ascii="Arial" w:cs="Arial" w:eastAsia="Arial" w:hAnsi="Arial"/>
          <w:sz w:val="16"/>
          <w:szCs w:val="16"/>
          <w:color w:val="08228B"/>
        </w:rPr>
      </w:pPr>
      <w:r>
        <w:rPr>
          <w:rFonts w:ascii="Arial" w:cs="Arial" w:eastAsia="Arial" w:hAnsi="Arial"/>
          <w:sz w:val="16"/>
          <w:szCs w:val="16"/>
          <w:color w:val="auto"/>
        </w:rPr>
        <w:t>Debuting the Chevy Bolt, an all-electric vehicle offering an estimated range in excess of 200 miles;</w:t>
      </w:r>
    </w:p>
    <w:p>
      <w:pPr>
        <w:spacing w:after="0" w:line="207" w:lineRule="exact"/>
        <w:rPr>
          <w:rFonts w:ascii="Arial" w:cs="Arial" w:eastAsia="Arial" w:hAnsi="Arial"/>
          <w:sz w:val="16"/>
          <w:szCs w:val="16"/>
          <w:color w:val="08228B"/>
        </w:rPr>
      </w:pPr>
    </w:p>
    <w:p>
      <w:pPr>
        <w:ind w:left="180" w:hanging="172"/>
        <w:spacing w:after="0"/>
        <w:tabs>
          <w:tab w:leader="none" w:pos="180" w:val="left"/>
        </w:tabs>
        <w:numPr>
          <w:ilvl w:val="0"/>
          <w:numId w:val="21"/>
        </w:numPr>
        <w:rPr>
          <w:rFonts w:ascii="Arial" w:cs="Arial" w:eastAsia="Arial" w:hAnsi="Arial"/>
          <w:sz w:val="16"/>
          <w:szCs w:val="16"/>
          <w:color w:val="08228B"/>
        </w:rPr>
      </w:pPr>
      <w:r>
        <w:rPr>
          <w:rFonts w:ascii="Arial" w:cs="Arial" w:eastAsia="Arial" w:hAnsi="Arial"/>
          <w:sz w:val="16"/>
          <w:szCs w:val="16"/>
          <w:color w:val="auto"/>
        </w:rPr>
        <w:t>Ending our use of coal as an energy source in our North American plants;</w:t>
      </w:r>
    </w:p>
    <w:p>
      <w:pPr>
        <w:spacing w:after="0" w:line="205" w:lineRule="exact"/>
        <w:rPr>
          <w:rFonts w:ascii="Arial" w:cs="Arial" w:eastAsia="Arial" w:hAnsi="Arial"/>
          <w:sz w:val="16"/>
          <w:szCs w:val="16"/>
          <w:color w:val="08228B"/>
        </w:rPr>
      </w:pPr>
    </w:p>
    <w:p>
      <w:pPr>
        <w:ind w:left="180" w:right="120" w:hanging="172"/>
        <w:spacing w:after="0" w:line="185" w:lineRule="auto"/>
        <w:tabs>
          <w:tab w:leader="none" w:pos="180" w:val="left"/>
        </w:tabs>
        <w:numPr>
          <w:ilvl w:val="0"/>
          <w:numId w:val="21"/>
        </w:numPr>
        <w:rPr>
          <w:rFonts w:ascii="Arial" w:cs="Arial" w:eastAsia="Arial" w:hAnsi="Arial"/>
          <w:sz w:val="32"/>
          <w:szCs w:val="32"/>
          <w:color w:val="08228B"/>
          <w:vertAlign w:val="superscript"/>
        </w:rPr>
      </w:pPr>
      <w:r>
        <w:rPr>
          <w:rFonts w:ascii="Arial" w:cs="Arial" w:eastAsia="Arial" w:hAnsi="Arial"/>
          <w:sz w:val="16"/>
          <w:szCs w:val="16"/>
          <w:color w:val="auto"/>
        </w:rPr>
        <w:t>Engaging in recycling and reuse efforts that avoided approximately 9 million metric tons of CO</w:t>
      </w:r>
      <w:r>
        <w:rPr>
          <w:rFonts w:ascii="Arial" w:cs="Arial" w:eastAsia="Arial" w:hAnsi="Arial"/>
          <w:sz w:val="27"/>
          <w:szCs w:val="27"/>
          <w:color w:val="auto"/>
          <w:vertAlign w:val="superscript"/>
        </w:rPr>
        <w:t>2</w:t>
      </w:r>
      <w:r>
        <w:rPr>
          <w:rFonts w:ascii="Arial" w:cs="Arial" w:eastAsia="Arial" w:hAnsi="Arial"/>
          <w:sz w:val="16"/>
          <w:szCs w:val="16"/>
          <w:color w:val="auto"/>
        </w:rPr>
        <w:t>-equivalent emissions, more than offsetting our worldwide manufacturing emissions; and</w:t>
      </w:r>
    </w:p>
    <w:p>
      <w:pPr>
        <w:spacing w:after="0" w:line="198" w:lineRule="exact"/>
        <w:rPr>
          <w:rFonts w:ascii="Arial" w:cs="Arial" w:eastAsia="Arial" w:hAnsi="Arial"/>
          <w:sz w:val="32"/>
          <w:szCs w:val="32"/>
          <w:color w:val="08228B"/>
          <w:vertAlign w:val="superscript"/>
        </w:rPr>
      </w:pPr>
    </w:p>
    <w:p>
      <w:pPr>
        <w:ind w:left="180" w:hanging="172"/>
        <w:spacing w:after="0"/>
        <w:tabs>
          <w:tab w:leader="none" w:pos="180" w:val="left"/>
        </w:tabs>
        <w:numPr>
          <w:ilvl w:val="0"/>
          <w:numId w:val="21"/>
        </w:numPr>
        <w:rPr>
          <w:rFonts w:ascii="Arial" w:cs="Arial" w:eastAsia="Arial" w:hAnsi="Arial"/>
          <w:sz w:val="16"/>
          <w:szCs w:val="16"/>
          <w:color w:val="08228B"/>
        </w:rPr>
      </w:pPr>
      <w:r>
        <w:rPr>
          <w:rFonts w:ascii="Arial" w:cs="Arial" w:eastAsia="Arial" w:hAnsi="Arial"/>
          <w:sz w:val="16"/>
          <w:szCs w:val="16"/>
          <w:color w:val="auto"/>
        </w:rPr>
        <w:t>Increasing our use of renewable energy by more than 60 percent, with plans for aggressive expansion of this initiative.</w:t>
      </w:r>
    </w:p>
    <w:p>
      <w:pPr>
        <w:spacing w:after="0" w:line="194"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 xml:space="preserve">To learn more about sustainability at GM and how we, together with our customers and shareholders, are making a difference, please access our Sustainability Report at </w:t>
      </w:r>
      <w:r>
        <w:rPr>
          <w:rFonts w:ascii="Arial" w:cs="Arial" w:eastAsia="Arial" w:hAnsi="Arial"/>
          <w:sz w:val="16"/>
          <w:szCs w:val="16"/>
          <w:i w:val="1"/>
          <w:iCs w:val="1"/>
          <w:color w:val="auto"/>
        </w:rPr>
        <w:t>http://www.gmsustainability.com</w:t>
      </w:r>
      <w:r>
        <w:rPr>
          <w:rFonts w:ascii="Arial" w:cs="Arial" w:eastAsia="Arial" w:hAnsi="Arial"/>
          <w:sz w:val="16"/>
          <w:szCs w:val="16"/>
          <w:color w:val="auto"/>
        </w:rPr>
        <w:t>.</w:t>
      </w:r>
    </w:p>
    <w:p>
      <w:pPr>
        <w:spacing w:after="0" w:line="400" w:lineRule="exact"/>
        <w:rPr>
          <w:sz w:val="20"/>
          <w:szCs w:val="20"/>
          <w:color w:val="auto"/>
        </w:rPr>
      </w:pPr>
    </w:p>
    <w:p>
      <w:pPr>
        <w:spacing w:after="0"/>
        <w:rPr>
          <w:sz w:val="20"/>
          <w:szCs w:val="20"/>
          <w:color w:val="auto"/>
        </w:rPr>
      </w:pPr>
      <w:r>
        <w:rPr>
          <w:rFonts w:ascii="Arial" w:cs="Arial" w:eastAsia="Arial" w:hAnsi="Arial"/>
          <w:sz w:val="32"/>
          <w:szCs w:val="32"/>
          <w:color w:val="1C90D3"/>
        </w:rPr>
        <w:t>Public Policy Engagement</w:t>
      </w:r>
    </w:p>
    <w:p>
      <w:pPr>
        <w:spacing w:after="0" w:line="319"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 xml:space="preserve">Our Board has adopted a U.S. Corporate Political Contributions and Expenditures Policy (“Political Contributions Policy”). The Political Contributions Policy, together with other policies and procedures of the Company, guides GM’s approach to political contributions. We participate in the political process to help shape public policy and address legislation that impacts GM, our industry, and our shareholders. GM has a history of supporting and will continue to support public policies that work to drive or are necessary to furthering the achievement of our long-term, sustainable growth. As specified in its Charter, the Governance Committee oversees this policy and annually reviews the Company’s engagement in the public policy process. The Committee also annually reviews all corporate political contributions as well as GM Political Action Committee (“GM PAC”) contributions and expenditures (which are funded entirely by voluntary employee contributions). In keeping with our goal of transparency, our U.S. Corporate Political Contributions and Expenditures Policy and our annual voluntary report of U.S. political contributions are available on our website at </w:t>
      </w:r>
      <w:r>
        <w:rPr>
          <w:rFonts w:ascii="Arial" w:cs="Arial" w:eastAsia="Arial" w:hAnsi="Arial"/>
          <w:sz w:val="16"/>
          <w:szCs w:val="16"/>
          <w:i w:val="1"/>
          <w:iCs w:val="1"/>
          <w:color w:val="auto"/>
        </w:rPr>
        <w:t>www.gm.com/investor</w:t>
      </w:r>
      <w:r>
        <w:rPr>
          <w:rFonts w:ascii="Arial" w:cs="Arial" w:eastAsia="Arial" w:hAnsi="Arial"/>
          <w:sz w:val="16"/>
          <w:szCs w:val="16"/>
          <w:color w:val="auto"/>
        </w:rPr>
        <w:t>, under “Corporate Governance.” The report includes information about contributions to political organizations known as “section 527 organizations;” corporate contributions to individual candidates for state and local office; and portions of dues or similar payments to trade associations and social welfare organizations, to the extent the dues or other payments equal or exceed $50,000 and are attributable to political purposes. In addition, a link to the Federal Election Commission website is provided, which details employee contributions to the federal GM PAC and the GM PAC’s contributions to candidates, party committees, and other PACs.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13"/>
        </w:trPr>
        <w:tc>
          <w:tcPr>
            <w:tcW w:w="4340" w:type="dxa"/>
            <w:vAlign w:val="bottom"/>
            <w:tcBorders>
              <w:bottom w:val="single" w:sz="8" w:color="08228B"/>
            </w:tcBorders>
          </w:tcPr>
          <w:p>
            <w:pPr>
              <w:spacing w:after="0"/>
              <w:rPr>
                <w:sz w:val="9"/>
                <w:szCs w:val="9"/>
                <w:color w:val="auto"/>
              </w:rPr>
            </w:pPr>
          </w:p>
        </w:tc>
        <w:tc>
          <w:tcPr>
            <w:tcW w:w="2060" w:type="dxa"/>
            <w:vAlign w:val="bottom"/>
            <w:vMerge w:val="restart"/>
          </w:tcPr>
          <w:p>
            <w:pPr>
              <w:ind w:left="60"/>
              <w:spacing w:after="0"/>
              <w:rPr>
                <w:sz w:val="20"/>
                <w:szCs w:val="20"/>
                <w:color w:val="auto"/>
              </w:rPr>
            </w:pPr>
            <w:r>
              <w:rPr>
                <w:rFonts w:ascii="Arial" w:cs="Arial" w:eastAsia="Arial" w:hAnsi="Arial"/>
                <w:sz w:val="16"/>
                <w:szCs w:val="16"/>
                <w:b w:val="1"/>
                <w:bCs w:val="1"/>
                <w:color w:val="1C90D3"/>
              </w:rPr>
              <w:t xml:space="preserve">2016 </w:t>
            </w:r>
            <w:r>
              <w:rPr>
                <w:rFonts w:ascii="Arial" w:cs="Arial" w:eastAsia="Arial" w:hAnsi="Arial"/>
                <w:sz w:val="16"/>
                <w:szCs w:val="16"/>
                <w:color w:val="08228B"/>
              </w:rPr>
              <w:t>PROXY STATEMENT</w:t>
            </w:r>
          </w:p>
        </w:tc>
        <w:tc>
          <w:tcPr>
            <w:tcW w:w="2400" w:type="dxa"/>
            <w:vAlign w:val="bottom"/>
            <w:tcBorders>
              <w:bottom w:val="single" w:sz="8" w:color="08228B"/>
            </w:tcBorders>
          </w:tcPr>
          <w:p>
            <w:pPr>
              <w:spacing w:after="0"/>
              <w:rPr>
                <w:sz w:val="9"/>
                <w:szCs w:val="9"/>
                <w:color w:val="auto"/>
              </w:rPr>
            </w:pPr>
          </w:p>
        </w:tc>
        <w:tc>
          <w:tcPr>
            <w:tcW w:w="2620" w:type="dxa"/>
            <w:vAlign w:val="bottom"/>
            <w:vMerge w:val="restart"/>
          </w:tcPr>
          <w:p>
            <w:pPr>
              <w:jc w:val="right"/>
              <w:ind w:right="39"/>
              <w:spacing w:after="0"/>
              <w:rPr>
                <w:sz w:val="20"/>
                <w:szCs w:val="20"/>
                <w:color w:val="auto"/>
              </w:rPr>
            </w:pPr>
            <w:r>
              <w:rPr>
                <w:rFonts w:ascii="Arial" w:cs="Arial" w:eastAsia="Arial" w:hAnsi="Arial"/>
                <w:sz w:val="16"/>
                <w:szCs w:val="16"/>
                <w:color w:val="08228B"/>
              </w:rPr>
              <w:t>32</w:t>
            </w:r>
          </w:p>
        </w:tc>
        <w:tc>
          <w:tcPr>
            <w:tcW w:w="0" w:type="dxa"/>
            <w:vAlign w:val="bottom"/>
          </w:tcPr>
          <w:p>
            <w:pPr>
              <w:spacing w:after="0"/>
              <w:rPr>
                <w:sz w:val="1"/>
                <w:szCs w:val="1"/>
                <w:color w:val="auto"/>
              </w:rPr>
            </w:pPr>
          </w:p>
        </w:tc>
      </w:tr>
      <w:tr>
        <w:trPr>
          <w:trHeight w:val="82"/>
        </w:trPr>
        <w:tc>
          <w:tcPr>
            <w:tcW w:w="4340" w:type="dxa"/>
            <w:vAlign w:val="bottom"/>
          </w:tcPr>
          <w:p>
            <w:pPr>
              <w:spacing w:after="0"/>
              <w:rPr>
                <w:sz w:val="7"/>
                <w:szCs w:val="7"/>
                <w:color w:val="auto"/>
              </w:rPr>
            </w:pPr>
          </w:p>
        </w:tc>
        <w:tc>
          <w:tcPr>
            <w:tcW w:w="2060" w:type="dxa"/>
            <w:vAlign w:val="bottom"/>
            <w:vMerge w:val="continue"/>
          </w:tcPr>
          <w:p>
            <w:pPr>
              <w:spacing w:after="0"/>
              <w:rPr>
                <w:sz w:val="7"/>
                <w:szCs w:val="7"/>
                <w:color w:val="auto"/>
              </w:rPr>
            </w:pPr>
          </w:p>
        </w:tc>
        <w:tc>
          <w:tcPr>
            <w:tcW w:w="2400" w:type="dxa"/>
            <w:vAlign w:val="bottom"/>
          </w:tcPr>
          <w:p>
            <w:pPr>
              <w:spacing w:after="0"/>
              <w:rPr>
                <w:sz w:val="7"/>
                <w:szCs w:val="7"/>
                <w:color w:val="auto"/>
              </w:rPr>
            </w:pPr>
          </w:p>
        </w:tc>
        <w:tc>
          <w:tcPr>
            <w:tcW w:w="2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7"/>
        </w:trPr>
        <w:tc>
          <w:tcPr>
            <w:tcW w:w="4340" w:type="dxa"/>
            <w:vAlign w:val="bottom"/>
            <w:tcBorders>
              <w:bottom w:val="single" w:sz="8" w:color="C0C0C0"/>
            </w:tcBorders>
          </w:tcPr>
          <w:p>
            <w:pPr>
              <w:spacing w:after="0"/>
              <w:rPr>
                <w:sz w:val="24"/>
                <w:szCs w:val="24"/>
                <w:color w:val="auto"/>
              </w:rPr>
            </w:pPr>
          </w:p>
        </w:tc>
        <w:tc>
          <w:tcPr>
            <w:tcW w:w="2060" w:type="dxa"/>
            <w:vAlign w:val="bottom"/>
            <w:tcBorders>
              <w:bottom w:val="single" w:sz="8" w:color="C0C0C0"/>
            </w:tcBorders>
          </w:tcPr>
          <w:p>
            <w:pPr>
              <w:spacing w:after="0"/>
              <w:rPr>
                <w:sz w:val="24"/>
                <w:szCs w:val="24"/>
                <w:color w:val="auto"/>
              </w:rPr>
            </w:pPr>
          </w:p>
        </w:tc>
        <w:tc>
          <w:tcPr>
            <w:tcW w:w="2400" w:type="dxa"/>
            <w:vAlign w:val="bottom"/>
            <w:tcBorders>
              <w:bottom w:val="single" w:sz="8" w:color="C0C0C0"/>
            </w:tcBorders>
          </w:tcPr>
          <w:p>
            <w:pPr>
              <w:spacing w:after="0"/>
              <w:rPr>
                <w:sz w:val="24"/>
                <w:szCs w:val="24"/>
                <w:color w:val="auto"/>
              </w:rPr>
            </w:pPr>
          </w:p>
        </w:tc>
        <w:tc>
          <w:tcPr>
            <w:tcW w:w="262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5613400</wp:posOffset>
            </wp:positionH>
            <wp:positionV relativeFrom="paragraph">
              <wp:posOffset>-334010</wp:posOffset>
            </wp:positionV>
            <wp:extent cx="1286510" cy="8572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1286510" cy="8572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Back to Contents</w:t>
        </w:r>
      </w:hyperlink>
    </w:p>
    <w:p>
      <w:pPr>
        <w:spacing w:after="0" w:line="200" w:lineRule="exact"/>
        <w:rPr>
          <w:sz w:val="20"/>
          <w:szCs w:val="20"/>
          <w:color w:val="auto"/>
        </w:rPr>
      </w:pPr>
    </w:p>
    <w:p>
      <w:pPr>
        <w:spacing w:after="0"/>
        <w:rPr>
          <w:sz w:val="20"/>
          <w:szCs w:val="20"/>
          <w:color w:val="auto"/>
        </w:rPr>
      </w:pPr>
      <w:r>
        <w:rPr>
          <w:rFonts w:ascii="Arial" w:cs="Arial" w:eastAsia="Arial" w:hAnsi="Arial"/>
          <w:sz w:val="40"/>
          <w:szCs w:val="40"/>
          <w:color w:val="08228B"/>
        </w:rPr>
        <w:t>SECURITY OWNERSHIP INFORMATION</w:t>
      </w:r>
    </w:p>
    <w:p>
      <w:pPr>
        <w:spacing w:after="0" w:line="200" w:lineRule="exact"/>
        <w:rPr>
          <w:sz w:val="20"/>
          <w:szCs w:val="20"/>
          <w:color w:val="auto"/>
        </w:rPr>
      </w:pPr>
    </w:p>
    <w:p>
      <w:pPr>
        <w:spacing w:after="0" w:line="215" w:lineRule="exact"/>
        <w:rPr>
          <w:sz w:val="20"/>
          <w:szCs w:val="20"/>
          <w:color w:val="auto"/>
        </w:rPr>
      </w:pPr>
    </w:p>
    <w:p>
      <w:pPr>
        <w:ind w:right="180"/>
        <w:spacing w:after="0" w:line="260" w:lineRule="auto"/>
        <w:rPr>
          <w:sz w:val="20"/>
          <w:szCs w:val="20"/>
          <w:color w:val="auto"/>
        </w:rPr>
      </w:pPr>
      <w:r>
        <w:rPr>
          <w:rFonts w:ascii="Arial" w:cs="Arial" w:eastAsia="Arial" w:hAnsi="Arial"/>
          <w:sz w:val="32"/>
          <w:szCs w:val="32"/>
          <w:color w:val="1C90D3"/>
        </w:rPr>
        <w:t>Security Ownership of Directors, Named Executive Officers, and Certain Other Beneficial Owners</w:t>
      </w:r>
    </w:p>
    <w:p>
      <w:pPr>
        <w:spacing w:after="0" w:line="26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beneficial ownership as of April 1, 2016, of our common stock by each director, each nominee for election to the Board, each NEO, and all directors and executive officers as a group is shown in the following tables, as well as ownership of Deferred Share Units and Deferred Salary Stock Units. Each of the individuals listed in the following tables owns less than 1 percent of the outstanding shares of our common stock; all directors and officers as a group own less than 1 percent of the outstanding shares. The persons named have provided this information to us, and we have no reason to believe it is not accurate. None of the shares shown in the following tables as beneficially owned by directors and executive officers is hedged or pledged as security for any obligation.</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b w:val="1"/>
          <w:bCs w:val="1"/>
          <w:color w:val="1C90D3"/>
        </w:rPr>
        <w:t>Non-Employee Directors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520" w:type="dxa"/>
            <w:vAlign w:val="bottom"/>
            <w:tcBorders>
              <w:top w:val="single" w:sz="8" w:color="1C90D3"/>
            </w:tcBorders>
          </w:tcPr>
          <w:p>
            <w:pPr>
              <w:spacing w:after="0"/>
              <w:rPr>
                <w:sz w:val="17"/>
                <w:szCs w:val="17"/>
                <w:color w:val="auto"/>
              </w:rPr>
            </w:pPr>
          </w:p>
        </w:tc>
        <w:tc>
          <w:tcPr>
            <w:tcW w:w="4940" w:type="dxa"/>
            <w:vAlign w:val="bottom"/>
            <w:tcBorders>
              <w:top w:val="single" w:sz="8" w:color="1C90D3"/>
            </w:tcBorders>
          </w:tcPr>
          <w:p>
            <w:pPr>
              <w:jc w:val="right"/>
              <w:ind w:right="439"/>
              <w:spacing w:after="0"/>
              <w:rPr>
                <w:sz w:val="20"/>
                <w:szCs w:val="20"/>
                <w:color w:val="auto"/>
              </w:rPr>
            </w:pPr>
            <w:r>
              <w:rPr>
                <w:rFonts w:ascii="Arial" w:cs="Arial" w:eastAsia="Arial" w:hAnsi="Arial"/>
                <w:sz w:val="16"/>
                <w:szCs w:val="16"/>
                <w:b w:val="1"/>
                <w:bCs w:val="1"/>
                <w:color w:val="1C90D3"/>
              </w:rPr>
              <w:t>Shares of Common</w:t>
            </w:r>
          </w:p>
        </w:tc>
        <w:tc>
          <w:tcPr>
            <w:tcW w:w="1840" w:type="dxa"/>
            <w:vAlign w:val="bottom"/>
            <w:tcBorders>
              <w:top w:val="single" w:sz="8" w:color="1C90D3"/>
            </w:tcBorders>
          </w:tcPr>
          <w:p>
            <w:pPr>
              <w:spacing w:after="0"/>
              <w:rPr>
                <w:sz w:val="17"/>
                <w:szCs w:val="17"/>
                <w:color w:val="auto"/>
              </w:rPr>
            </w:pPr>
          </w:p>
        </w:tc>
      </w:tr>
      <w:tr>
        <w:trPr>
          <w:trHeight w:val="191"/>
        </w:trPr>
        <w:tc>
          <w:tcPr>
            <w:tcW w:w="4520" w:type="dxa"/>
            <w:vAlign w:val="bottom"/>
          </w:tcPr>
          <w:p>
            <w:pPr>
              <w:spacing w:after="0"/>
              <w:rPr>
                <w:sz w:val="16"/>
                <w:szCs w:val="16"/>
                <w:color w:val="auto"/>
              </w:rPr>
            </w:pPr>
          </w:p>
        </w:tc>
        <w:tc>
          <w:tcPr>
            <w:tcW w:w="4940" w:type="dxa"/>
            <w:vAlign w:val="bottom"/>
          </w:tcPr>
          <w:p>
            <w:pPr>
              <w:jc w:val="right"/>
              <w:ind w:right="439"/>
              <w:spacing w:after="0"/>
              <w:rPr>
                <w:sz w:val="20"/>
                <w:szCs w:val="20"/>
                <w:color w:val="auto"/>
              </w:rPr>
            </w:pPr>
            <w:r>
              <w:rPr>
                <w:rFonts w:ascii="Arial" w:cs="Arial" w:eastAsia="Arial" w:hAnsi="Arial"/>
                <w:sz w:val="16"/>
                <w:szCs w:val="16"/>
                <w:b w:val="1"/>
                <w:bCs w:val="1"/>
                <w:color w:val="1C90D3"/>
              </w:rPr>
              <w:t>Stock Beneficially</w:t>
            </w:r>
          </w:p>
        </w:tc>
        <w:tc>
          <w:tcPr>
            <w:tcW w:w="1840" w:type="dxa"/>
            <w:vAlign w:val="bottom"/>
          </w:tcPr>
          <w:p>
            <w:pPr>
              <w:jc w:val="right"/>
              <w:ind w:right="79"/>
              <w:spacing w:after="0"/>
              <w:rPr>
                <w:sz w:val="20"/>
                <w:szCs w:val="20"/>
                <w:color w:val="auto"/>
              </w:rPr>
            </w:pPr>
            <w:r>
              <w:rPr>
                <w:rFonts w:ascii="Arial" w:cs="Arial" w:eastAsia="Arial" w:hAnsi="Arial"/>
                <w:sz w:val="16"/>
                <w:szCs w:val="16"/>
                <w:b w:val="1"/>
                <w:bCs w:val="1"/>
                <w:color w:val="1C90D3"/>
              </w:rPr>
              <w:t>Deferred Share</w:t>
            </w:r>
          </w:p>
        </w:tc>
      </w:tr>
      <w:tr>
        <w:trPr>
          <w:trHeight w:val="253"/>
        </w:trPr>
        <w:tc>
          <w:tcPr>
            <w:tcW w:w="4520" w:type="dxa"/>
            <w:vAlign w:val="bottom"/>
            <w:tcBorders>
              <w:bottom w:val="single" w:sz="8" w:color="1C90D3"/>
            </w:tcBorders>
          </w:tcPr>
          <w:p>
            <w:pPr>
              <w:ind w:left="60"/>
              <w:spacing w:after="0"/>
              <w:rPr>
                <w:sz w:val="20"/>
                <w:szCs w:val="20"/>
                <w:color w:val="auto"/>
              </w:rPr>
            </w:pPr>
            <w:r>
              <w:rPr>
                <w:rFonts w:ascii="Arial" w:cs="Arial" w:eastAsia="Arial" w:hAnsi="Arial"/>
                <w:sz w:val="16"/>
                <w:szCs w:val="16"/>
                <w:b w:val="1"/>
                <w:bCs w:val="1"/>
                <w:color w:val="1C90D3"/>
              </w:rPr>
              <w:t>Director</w:t>
            </w:r>
          </w:p>
        </w:tc>
        <w:tc>
          <w:tcPr>
            <w:tcW w:w="4940" w:type="dxa"/>
            <w:vAlign w:val="bottom"/>
            <w:tcBorders>
              <w:bottom w:val="single" w:sz="8" w:color="1C90D3"/>
            </w:tcBorders>
          </w:tcPr>
          <w:p>
            <w:pPr>
              <w:jc w:val="right"/>
              <w:ind w:right="439"/>
              <w:spacing w:after="0"/>
              <w:rPr>
                <w:sz w:val="20"/>
                <w:szCs w:val="20"/>
                <w:color w:val="auto"/>
              </w:rPr>
            </w:pPr>
            <w:r>
              <w:rPr>
                <w:rFonts w:ascii="Arial" w:cs="Arial" w:eastAsia="Arial" w:hAnsi="Arial"/>
                <w:sz w:val="16"/>
                <w:szCs w:val="16"/>
                <w:b w:val="1"/>
                <w:bCs w:val="1"/>
                <w:color w:val="1C90D3"/>
              </w:rPr>
              <w:t>Owned</w:t>
            </w:r>
          </w:p>
        </w:tc>
        <w:tc>
          <w:tcPr>
            <w:tcW w:w="1840" w:type="dxa"/>
            <w:vAlign w:val="bottom"/>
            <w:tcBorders>
              <w:bottom w:val="single" w:sz="8" w:color="1C90D3"/>
            </w:tcBorders>
          </w:tcPr>
          <w:p>
            <w:pPr>
              <w:jc w:val="right"/>
              <w:ind w:right="79"/>
              <w:spacing w:after="0" w:line="246" w:lineRule="exact"/>
              <w:rPr>
                <w:sz w:val="20"/>
                <w:szCs w:val="20"/>
                <w:color w:val="auto"/>
              </w:rPr>
            </w:pPr>
            <w:r>
              <w:rPr>
                <w:rFonts w:ascii="Arial" w:cs="Arial" w:eastAsia="Arial" w:hAnsi="Arial"/>
                <w:sz w:val="16"/>
                <w:szCs w:val="16"/>
                <w:b w:val="1"/>
                <w:bCs w:val="1"/>
                <w:color w:val="1C90D3"/>
              </w:rPr>
              <w:t>Units</w:t>
            </w:r>
            <w:r>
              <w:rPr>
                <w:rFonts w:ascii="Arial" w:cs="Arial" w:eastAsia="Arial" w:hAnsi="Arial"/>
                <w:sz w:val="27"/>
                <w:szCs w:val="27"/>
                <w:b w:val="1"/>
                <w:bCs w:val="1"/>
                <w:color w:val="1C90D3"/>
                <w:vertAlign w:val="superscript"/>
              </w:rPr>
              <w:t>(1)</w:t>
            </w:r>
          </w:p>
        </w:tc>
      </w:tr>
      <w:tr>
        <w:trPr>
          <w:trHeight w:val="189"/>
        </w:trPr>
        <w:tc>
          <w:tcPr>
            <w:tcW w:w="452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Joseph J. Ashton</w:t>
            </w:r>
          </w:p>
        </w:tc>
        <w:tc>
          <w:tcPr>
            <w:tcW w:w="49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500</w:t>
            </w:r>
          </w:p>
        </w:tc>
        <w:tc>
          <w:tcPr>
            <w:tcW w:w="1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8,307</w:t>
            </w:r>
          </w:p>
        </w:tc>
      </w:tr>
      <w:tr>
        <w:trPr>
          <w:trHeight w:val="223"/>
        </w:trPr>
        <w:tc>
          <w:tcPr>
            <w:tcW w:w="4520" w:type="dxa"/>
            <w:vAlign w:val="bottom"/>
            <w:tcBorders>
              <w:bottom w:val="single" w:sz="8" w:color="auto"/>
            </w:tcBorders>
          </w:tcPr>
          <w:p>
            <w:pPr>
              <w:ind w:left="60"/>
              <w:spacing w:after="0" w:line="223" w:lineRule="exact"/>
              <w:rPr>
                <w:sz w:val="20"/>
                <w:szCs w:val="20"/>
                <w:color w:val="auto"/>
              </w:rPr>
            </w:pPr>
            <w:r>
              <w:rPr>
                <w:rFonts w:ascii="Arial" w:cs="Arial" w:eastAsia="Arial" w:hAnsi="Arial"/>
                <w:sz w:val="15"/>
                <w:szCs w:val="15"/>
                <w:color w:val="auto"/>
              </w:rPr>
              <w:t>Stephen J. Girsky</w:t>
            </w:r>
            <w:r>
              <w:rPr>
                <w:rFonts w:ascii="Arial" w:cs="Arial" w:eastAsia="Arial" w:hAnsi="Arial"/>
                <w:sz w:val="25"/>
                <w:szCs w:val="25"/>
                <w:color w:val="auto"/>
                <w:vertAlign w:val="superscript"/>
              </w:rPr>
              <w:t>(2)</w:t>
            </w:r>
          </w:p>
        </w:tc>
        <w:tc>
          <w:tcPr>
            <w:tcW w:w="49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10,300</w:t>
            </w:r>
          </w:p>
        </w:tc>
        <w:tc>
          <w:tcPr>
            <w:tcW w:w="1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5,326</w:t>
            </w:r>
          </w:p>
        </w:tc>
      </w:tr>
      <w:tr>
        <w:trPr>
          <w:trHeight w:val="183"/>
        </w:trPr>
        <w:tc>
          <w:tcPr>
            <w:tcW w:w="4520" w:type="dxa"/>
            <w:vAlign w:val="bottom"/>
            <w:tcBorders>
              <w:bottom w:val="single" w:sz="8" w:color="auto"/>
            </w:tcBorders>
          </w:tcPr>
          <w:p>
            <w:pPr>
              <w:ind w:left="60"/>
              <w:spacing w:after="0" w:line="183" w:lineRule="exact"/>
              <w:rPr>
                <w:sz w:val="20"/>
                <w:szCs w:val="20"/>
                <w:color w:val="auto"/>
              </w:rPr>
            </w:pPr>
            <w:r>
              <w:rPr>
                <w:rFonts w:ascii="Arial" w:cs="Arial" w:eastAsia="Arial" w:hAnsi="Arial"/>
                <w:sz w:val="16"/>
                <w:szCs w:val="16"/>
                <w:color w:val="auto"/>
              </w:rPr>
              <w:t>Linda R. Gooden</w:t>
            </w:r>
          </w:p>
        </w:tc>
        <w:tc>
          <w:tcPr>
            <w:tcW w:w="4940" w:type="dxa"/>
            <w:vAlign w:val="bottom"/>
            <w:tcBorders>
              <w:bottom w:val="single" w:sz="8" w:color="auto"/>
            </w:tcBorders>
          </w:tcPr>
          <w:p>
            <w:pPr>
              <w:jc w:val="right"/>
              <w:ind w:right="439"/>
              <w:spacing w:after="0" w:line="183" w:lineRule="exact"/>
              <w:rPr>
                <w:sz w:val="20"/>
                <w:szCs w:val="20"/>
                <w:color w:val="auto"/>
              </w:rPr>
            </w:pPr>
            <w:r>
              <w:rPr>
                <w:rFonts w:ascii="Arial" w:cs="Arial" w:eastAsia="Arial" w:hAnsi="Arial"/>
                <w:sz w:val="16"/>
                <w:szCs w:val="16"/>
                <w:color w:val="auto"/>
              </w:rPr>
              <w:t>1,000</w:t>
            </w:r>
          </w:p>
        </w:tc>
        <w:tc>
          <w:tcPr>
            <w:tcW w:w="1840" w:type="dxa"/>
            <w:vAlign w:val="bottom"/>
            <w:tcBorders>
              <w:bottom w:val="single" w:sz="8" w:color="auto"/>
            </w:tcBorders>
          </w:tcPr>
          <w:p>
            <w:pPr>
              <w:jc w:val="right"/>
              <w:ind w:right="79"/>
              <w:spacing w:after="0" w:line="183" w:lineRule="exact"/>
              <w:rPr>
                <w:sz w:val="20"/>
                <w:szCs w:val="20"/>
                <w:color w:val="auto"/>
              </w:rPr>
            </w:pPr>
            <w:r>
              <w:rPr>
                <w:rFonts w:ascii="Arial" w:cs="Arial" w:eastAsia="Arial" w:hAnsi="Arial"/>
                <w:sz w:val="16"/>
                <w:szCs w:val="16"/>
                <w:color w:val="auto"/>
              </w:rPr>
              <w:t>3,426</w:t>
            </w:r>
          </w:p>
        </w:tc>
      </w:tr>
      <w:tr>
        <w:trPr>
          <w:trHeight w:val="183"/>
        </w:trPr>
        <w:tc>
          <w:tcPr>
            <w:tcW w:w="4520" w:type="dxa"/>
            <w:vAlign w:val="bottom"/>
            <w:tcBorders>
              <w:bottom w:val="single" w:sz="8" w:color="auto"/>
            </w:tcBorders>
          </w:tcPr>
          <w:p>
            <w:pPr>
              <w:ind w:left="60"/>
              <w:spacing w:after="0" w:line="183" w:lineRule="exact"/>
              <w:rPr>
                <w:sz w:val="20"/>
                <w:szCs w:val="20"/>
                <w:color w:val="auto"/>
              </w:rPr>
            </w:pPr>
            <w:r>
              <w:rPr>
                <w:rFonts w:ascii="Arial" w:cs="Arial" w:eastAsia="Arial" w:hAnsi="Arial"/>
                <w:sz w:val="16"/>
                <w:szCs w:val="16"/>
                <w:color w:val="auto"/>
              </w:rPr>
              <w:t>Joseph Jimenez</w:t>
            </w:r>
          </w:p>
        </w:tc>
        <w:tc>
          <w:tcPr>
            <w:tcW w:w="4940" w:type="dxa"/>
            <w:vAlign w:val="bottom"/>
            <w:tcBorders>
              <w:bottom w:val="single" w:sz="8" w:color="auto"/>
            </w:tcBorders>
          </w:tcPr>
          <w:p>
            <w:pPr>
              <w:jc w:val="right"/>
              <w:ind w:right="439"/>
              <w:spacing w:after="0" w:line="183" w:lineRule="exact"/>
              <w:rPr>
                <w:sz w:val="20"/>
                <w:szCs w:val="20"/>
                <w:color w:val="auto"/>
              </w:rPr>
            </w:pPr>
            <w:r>
              <w:rPr>
                <w:rFonts w:ascii="Arial" w:cs="Arial" w:eastAsia="Arial" w:hAnsi="Arial"/>
                <w:sz w:val="16"/>
                <w:szCs w:val="16"/>
                <w:color w:val="auto"/>
              </w:rPr>
              <w:t>32,330</w:t>
            </w:r>
          </w:p>
        </w:tc>
        <w:tc>
          <w:tcPr>
            <w:tcW w:w="1840" w:type="dxa"/>
            <w:vAlign w:val="bottom"/>
            <w:tcBorders>
              <w:bottom w:val="single" w:sz="8" w:color="auto"/>
            </w:tcBorders>
          </w:tcPr>
          <w:p>
            <w:pPr>
              <w:jc w:val="right"/>
              <w:ind w:right="79"/>
              <w:spacing w:after="0" w:line="183" w:lineRule="exact"/>
              <w:rPr>
                <w:sz w:val="20"/>
                <w:szCs w:val="20"/>
                <w:color w:val="auto"/>
              </w:rPr>
            </w:pPr>
            <w:r>
              <w:rPr>
                <w:rFonts w:ascii="Arial" w:cs="Arial" w:eastAsia="Arial" w:hAnsi="Arial"/>
                <w:sz w:val="16"/>
                <w:szCs w:val="16"/>
                <w:color w:val="auto"/>
              </w:rPr>
              <w:t>4,510</w:t>
            </w:r>
          </w:p>
        </w:tc>
      </w:tr>
      <w:tr>
        <w:trPr>
          <w:trHeight w:val="183"/>
        </w:trPr>
        <w:tc>
          <w:tcPr>
            <w:tcW w:w="4520" w:type="dxa"/>
            <w:vAlign w:val="bottom"/>
            <w:tcBorders>
              <w:bottom w:val="single" w:sz="8" w:color="auto"/>
            </w:tcBorders>
          </w:tcPr>
          <w:p>
            <w:pPr>
              <w:ind w:left="60"/>
              <w:spacing w:after="0" w:line="183" w:lineRule="exact"/>
              <w:rPr>
                <w:sz w:val="20"/>
                <w:szCs w:val="20"/>
                <w:color w:val="auto"/>
              </w:rPr>
            </w:pPr>
            <w:r>
              <w:rPr>
                <w:rFonts w:ascii="Arial" w:cs="Arial" w:eastAsia="Arial" w:hAnsi="Arial"/>
                <w:sz w:val="16"/>
                <w:szCs w:val="16"/>
                <w:color w:val="auto"/>
              </w:rPr>
              <w:t>Kathryn V. Marinello</w:t>
            </w:r>
          </w:p>
        </w:tc>
        <w:tc>
          <w:tcPr>
            <w:tcW w:w="4940" w:type="dxa"/>
            <w:vAlign w:val="bottom"/>
            <w:tcBorders>
              <w:bottom w:val="single" w:sz="8" w:color="auto"/>
            </w:tcBorders>
          </w:tcPr>
          <w:p>
            <w:pPr>
              <w:jc w:val="right"/>
              <w:ind w:right="439"/>
              <w:spacing w:after="0" w:line="183" w:lineRule="exact"/>
              <w:rPr>
                <w:sz w:val="20"/>
                <w:szCs w:val="20"/>
                <w:color w:val="auto"/>
              </w:rPr>
            </w:pPr>
            <w:r>
              <w:rPr>
                <w:rFonts w:ascii="Arial" w:cs="Arial" w:eastAsia="Arial" w:hAnsi="Arial"/>
                <w:sz w:val="16"/>
                <w:szCs w:val="16"/>
                <w:color w:val="auto"/>
              </w:rPr>
              <w:t>800</w:t>
            </w:r>
          </w:p>
        </w:tc>
        <w:tc>
          <w:tcPr>
            <w:tcW w:w="1840" w:type="dxa"/>
            <w:vAlign w:val="bottom"/>
            <w:tcBorders>
              <w:bottom w:val="single" w:sz="8" w:color="auto"/>
            </w:tcBorders>
          </w:tcPr>
          <w:p>
            <w:pPr>
              <w:jc w:val="right"/>
              <w:ind w:right="79"/>
              <w:spacing w:after="0" w:line="183" w:lineRule="exact"/>
              <w:rPr>
                <w:sz w:val="20"/>
                <w:szCs w:val="20"/>
                <w:color w:val="auto"/>
              </w:rPr>
            </w:pPr>
            <w:r>
              <w:rPr>
                <w:rFonts w:ascii="Arial" w:cs="Arial" w:eastAsia="Arial" w:hAnsi="Arial"/>
                <w:sz w:val="16"/>
                <w:szCs w:val="16"/>
                <w:color w:val="auto"/>
              </w:rPr>
              <w:t>36,891</w:t>
            </w:r>
          </w:p>
        </w:tc>
      </w:tr>
      <w:tr>
        <w:trPr>
          <w:trHeight w:val="183"/>
        </w:trPr>
        <w:tc>
          <w:tcPr>
            <w:tcW w:w="4520" w:type="dxa"/>
            <w:vAlign w:val="bottom"/>
            <w:tcBorders>
              <w:bottom w:val="single" w:sz="8" w:color="auto"/>
            </w:tcBorders>
          </w:tcPr>
          <w:p>
            <w:pPr>
              <w:ind w:left="60"/>
              <w:spacing w:after="0" w:line="183" w:lineRule="exact"/>
              <w:rPr>
                <w:sz w:val="20"/>
                <w:szCs w:val="20"/>
                <w:color w:val="auto"/>
              </w:rPr>
            </w:pPr>
            <w:r>
              <w:rPr>
                <w:rFonts w:ascii="Arial" w:cs="Arial" w:eastAsia="Arial" w:hAnsi="Arial"/>
                <w:sz w:val="16"/>
                <w:szCs w:val="16"/>
                <w:color w:val="auto"/>
              </w:rPr>
              <w:t>Jane L. Mendillo</w:t>
            </w:r>
          </w:p>
        </w:tc>
        <w:tc>
          <w:tcPr>
            <w:tcW w:w="4940" w:type="dxa"/>
            <w:vAlign w:val="bottom"/>
            <w:tcBorders>
              <w:bottom w:val="single" w:sz="8" w:color="auto"/>
            </w:tcBorders>
          </w:tcPr>
          <w:p>
            <w:pPr>
              <w:jc w:val="right"/>
              <w:ind w:right="439"/>
              <w:spacing w:after="0" w:line="183" w:lineRule="exact"/>
              <w:rPr>
                <w:sz w:val="20"/>
                <w:szCs w:val="20"/>
                <w:color w:val="auto"/>
              </w:rPr>
            </w:pPr>
            <w:r>
              <w:rPr>
                <w:rFonts w:ascii="Arial" w:cs="Arial" w:eastAsia="Arial" w:hAnsi="Arial"/>
                <w:sz w:val="16"/>
                <w:szCs w:val="16"/>
                <w:color w:val="auto"/>
              </w:rPr>
              <w:t>—</w:t>
            </w:r>
          </w:p>
        </w:tc>
        <w:tc>
          <w:tcPr>
            <w:tcW w:w="1840" w:type="dxa"/>
            <w:vAlign w:val="bottom"/>
            <w:tcBorders>
              <w:bottom w:val="single" w:sz="8" w:color="auto"/>
            </w:tcBorders>
          </w:tcPr>
          <w:p>
            <w:pPr>
              <w:jc w:val="right"/>
              <w:ind w:right="79"/>
              <w:spacing w:after="0" w:line="183" w:lineRule="exact"/>
              <w:rPr>
                <w:sz w:val="20"/>
                <w:szCs w:val="20"/>
                <w:color w:val="auto"/>
              </w:rPr>
            </w:pPr>
            <w:r>
              <w:rPr>
                <w:rFonts w:ascii="Arial" w:cs="Arial" w:eastAsia="Arial" w:hAnsi="Arial"/>
                <w:sz w:val="16"/>
                <w:szCs w:val="16"/>
                <w:color w:val="auto"/>
              </w:rPr>
              <w:t>—</w:t>
            </w:r>
          </w:p>
        </w:tc>
      </w:tr>
      <w:tr>
        <w:trPr>
          <w:trHeight w:val="183"/>
        </w:trPr>
        <w:tc>
          <w:tcPr>
            <w:tcW w:w="4520" w:type="dxa"/>
            <w:vAlign w:val="bottom"/>
            <w:tcBorders>
              <w:bottom w:val="single" w:sz="8" w:color="auto"/>
            </w:tcBorders>
          </w:tcPr>
          <w:p>
            <w:pPr>
              <w:ind w:left="60"/>
              <w:spacing w:after="0" w:line="183" w:lineRule="exact"/>
              <w:rPr>
                <w:sz w:val="20"/>
                <w:szCs w:val="20"/>
                <w:color w:val="auto"/>
              </w:rPr>
            </w:pPr>
            <w:r>
              <w:rPr>
                <w:rFonts w:ascii="Arial" w:cs="Arial" w:eastAsia="Arial" w:hAnsi="Arial"/>
                <w:sz w:val="16"/>
                <w:szCs w:val="16"/>
                <w:color w:val="auto"/>
              </w:rPr>
              <w:t>Michael G. Mullen</w:t>
            </w:r>
          </w:p>
        </w:tc>
        <w:tc>
          <w:tcPr>
            <w:tcW w:w="4940" w:type="dxa"/>
            <w:vAlign w:val="bottom"/>
            <w:tcBorders>
              <w:bottom w:val="single" w:sz="8" w:color="auto"/>
            </w:tcBorders>
          </w:tcPr>
          <w:p>
            <w:pPr>
              <w:jc w:val="right"/>
              <w:ind w:right="439"/>
              <w:spacing w:after="0" w:line="183" w:lineRule="exact"/>
              <w:rPr>
                <w:sz w:val="20"/>
                <w:szCs w:val="20"/>
                <w:color w:val="auto"/>
              </w:rPr>
            </w:pPr>
            <w:r>
              <w:rPr>
                <w:rFonts w:ascii="Arial" w:cs="Arial" w:eastAsia="Arial" w:hAnsi="Arial"/>
                <w:sz w:val="16"/>
                <w:szCs w:val="16"/>
                <w:color w:val="auto"/>
              </w:rPr>
              <w:t>750</w:t>
            </w:r>
          </w:p>
        </w:tc>
        <w:tc>
          <w:tcPr>
            <w:tcW w:w="1840" w:type="dxa"/>
            <w:vAlign w:val="bottom"/>
            <w:tcBorders>
              <w:bottom w:val="single" w:sz="8" w:color="auto"/>
            </w:tcBorders>
          </w:tcPr>
          <w:p>
            <w:pPr>
              <w:jc w:val="right"/>
              <w:ind w:right="79"/>
              <w:spacing w:after="0" w:line="183" w:lineRule="exact"/>
              <w:rPr>
                <w:sz w:val="20"/>
                <w:szCs w:val="20"/>
                <w:color w:val="auto"/>
              </w:rPr>
            </w:pPr>
            <w:r>
              <w:rPr>
                <w:rFonts w:ascii="Arial" w:cs="Arial" w:eastAsia="Arial" w:hAnsi="Arial"/>
                <w:sz w:val="16"/>
                <w:szCs w:val="16"/>
                <w:color w:val="auto"/>
              </w:rPr>
              <w:t>9,741</w:t>
            </w:r>
          </w:p>
        </w:tc>
      </w:tr>
      <w:tr>
        <w:trPr>
          <w:trHeight w:val="183"/>
        </w:trPr>
        <w:tc>
          <w:tcPr>
            <w:tcW w:w="4520" w:type="dxa"/>
            <w:vAlign w:val="bottom"/>
            <w:tcBorders>
              <w:bottom w:val="single" w:sz="8" w:color="auto"/>
            </w:tcBorders>
          </w:tcPr>
          <w:p>
            <w:pPr>
              <w:ind w:left="60"/>
              <w:spacing w:after="0" w:line="183" w:lineRule="exact"/>
              <w:rPr>
                <w:sz w:val="20"/>
                <w:szCs w:val="20"/>
                <w:color w:val="auto"/>
              </w:rPr>
            </w:pPr>
            <w:r>
              <w:rPr>
                <w:rFonts w:ascii="Arial" w:cs="Arial" w:eastAsia="Arial" w:hAnsi="Arial"/>
                <w:sz w:val="16"/>
                <w:szCs w:val="16"/>
                <w:color w:val="auto"/>
              </w:rPr>
              <w:t>James J. Mulva</w:t>
            </w:r>
          </w:p>
        </w:tc>
        <w:tc>
          <w:tcPr>
            <w:tcW w:w="4940" w:type="dxa"/>
            <w:vAlign w:val="bottom"/>
            <w:tcBorders>
              <w:bottom w:val="single" w:sz="8" w:color="auto"/>
            </w:tcBorders>
          </w:tcPr>
          <w:p>
            <w:pPr>
              <w:jc w:val="right"/>
              <w:ind w:right="439"/>
              <w:spacing w:after="0" w:line="183" w:lineRule="exact"/>
              <w:rPr>
                <w:sz w:val="20"/>
                <w:szCs w:val="20"/>
                <w:color w:val="auto"/>
              </w:rPr>
            </w:pPr>
            <w:r>
              <w:rPr>
                <w:rFonts w:ascii="Arial" w:cs="Arial" w:eastAsia="Arial" w:hAnsi="Arial"/>
                <w:sz w:val="16"/>
                <w:szCs w:val="16"/>
                <w:color w:val="auto"/>
              </w:rPr>
              <w:t>28,343</w:t>
            </w:r>
          </w:p>
        </w:tc>
        <w:tc>
          <w:tcPr>
            <w:tcW w:w="1840" w:type="dxa"/>
            <w:vAlign w:val="bottom"/>
            <w:tcBorders>
              <w:bottom w:val="single" w:sz="8" w:color="auto"/>
            </w:tcBorders>
          </w:tcPr>
          <w:p>
            <w:pPr>
              <w:jc w:val="right"/>
              <w:ind w:right="79"/>
              <w:spacing w:after="0" w:line="183" w:lineRule="exact"/>
              <w:rPr>
                <w:sz w:val="20"/>
                <w:szCs w:val="20"/>
                <w:color w:val="auto"/>
              </w:rPr>
            </w:pPr>
            <w:r>
              <w:rPr>
                <w:rFonts w:ascii="Arial" w:cs="Arial" w:eastAsia="Arial" w:hAnsi="Arial"/>
                <w:sz w:val="16"/>
                <w:szCs w:val="16"/>
                <w:color w:val="auto"/>
              </w:rPr>
              <w:t>26,006</w:t>
            </w:r>
          </w:p>
        </w:tc>
      </w:tr>
      <w:tr>
        <w:trPr>
          <w:trHeight w:val="183"/>
        </w:trPr>
        <w:tc>
          <w:tcPr>
            <w:tcW w:w="4520" w:type="dxa"/>
            <w:vAlign w:val="bottom"/>
            <w:tcBorders>
              <w:bottom w:val="single" w:sz="8" w:color="auto"/>
            </w:tcBorders>
          </w:tcPr>
          <w:p>
            <w:pPr>
              <w:ind w:left="60"/>
              <w:spacing w:after="0" w:line="183" w:lineRule="exact"/>
              <w:rPr>
                <w:sz w:val="20"/>
                <w:szCs w:val="20"/>
                <w:color w:val="auto"/>
              </w:rPr>
            </w:pPr>
            <w:r>
              <w:rPr>
                <w:rFonts w:ascii="Arial" w:cs="Arial" w:eastAsia="Arial" w:hAnsi="Arial"/>
                <w:sz w:val="16"/>
                <w:szCs w:val="16"/>
                <w:color w:val="auto"/>
              </w:rPr>
              <w:t>Patricia F. Russo</w:t>
            </w:r>
          </w:p>
        </w:tc>
        <w:tc>
          <w:tcPr>
            <w:tcW w:w="4940" w:type="dxa"/>
            <w:vAlign w:val="bottom"/>
            <w:tcBorders>
              <w:bottom w:val="single" w:sz="8" w:color="auto"/>
            </w:tcBorders>
          </w:tcPr>
          <w:p>
            <w:pPr>
              <w:jc w:val="right"/>
              <w:ind w:right="439"/>
              <w:spacing w:after="0" w:line="183" w:lineRule="exact"/>
              <w:rPr>
                <w:sz w:val="20"/>
                <w:szCs w:val="20"/>
                <w:color w:val="auto"/>
              </w:rPr>
            </w:pPr>
            <w:r>
              <w:rPr>
                <w:rFonts w:ascii="Arial" w:cs="Arial" w:eastAsia="Arial" w:hAnsi="Arial"/>
                <w:sz w:val="16"/>
                <w:szCs w:val="16"/>
                <w:color w:val="auto"/>
              </w:rPr>
              <w:t>2,300</w:t>
            </w:r>
          </w:p>
        </w:tc>
        <w:tc>
          <w:tcPr>
            <w:tcW w:w="1840" w:type="dxa"/>
            <w:vAlign w:val="bottom"/>
            <w:tcBorders>
              <w:bottom w:val="single" w:sz="8" w:color="auto"/>
            </w:tcBorders>
          </w:tcPr>
          <w:p>
            <w:pPr>
              <w:jc w:val="right"/>
              <w:ind w:right="79"/>
              <w:spacing w:after="0" w:line="183" w:lineRule="exact"/>
              <w:rPr>
                <w:sz w:val="20"/>
                <w:szCs w:val="20"/>
                <w:color w:val="auto"/>
              </w:rPr>
            </w:pPr>
            <w:r>
              <w:rPr>
                <w:rFonts w:ascii="Arial" w:cs="Arial" w:eastAsia="Arial" w:hAnsi="Arial"/>
                <w:sz w:val="16"/>
                <w:szCs w:val="16"/>
                <w:color w:val="auto"/>
              </w:rPr>
              <w:t>18,449</w:t>
            </w:r>
          </w:p>
        </w:tc>
      </w:tr>
      <w:tr>
        <w:trPr>
          <w:trHeight w:val="183"/>
        </w:trPr>
        <w:tc>
          <w:tcPr>
            <w:tcW w:w="4520" w:type="dxa"/>
            <w:vAlign w:val="bottom"/>
            <w:tcBorders>
              <w:bottom w:val="single" w:sz="8" w:color="auto"/>
            </w:tcBorders>
          </w:tcPr>
          <w:p>
            <w:pPr>
              <w:ind w:left="60"/>
              <w:spacing w:after="0" w:line="183" w:lineRule="exact"/>
              <w:rPr>
                <w:sz w:val="20"/>
                <w:szCs w:val="20"/>
                <w:color w:val="auto"/>
              </w:rPr>
            </w:pPr>
            <w:r>
              <w:rPr>
                <w:rFonts w:ascii="Arial" w:cs="Arial" w:eastAsia="Arial" w:hAnsi="Arial"/>
                <w:sz w:val="16"/>
                <w:szCs w:val="16"/>
                <w:color w:val="auto"/>
              </w:rPr>
              <w:t>Thomas M. Schoewe</w:t>
            </w:r>
          </w:p>
        </w:tc>
        <w:tc>
          <w:tcPr>
            <w:tcW w:w="4940" w:type="dxa"/>
            <w:vAlign w:val="bottom"/>
            <w:tcBorders>
              <w:bottom w:val="single" w:sz="8" w:color="auto"/>
            </w:tcBorders>
          </w:tcPr>
          <w:p>
            <w:pPr>
              <w:jc w:val="right"/>
              <w:ind w:right="439"/>
              <w:spacing w:after="0" w:line="183" w:lineRule="exact"/>
              <w:rPr>
                <w:sz w:val="20"/>
                <w:szCs w:val="20"/>
                <w:color w:val="auto"/>
              </w:rPr>
            </w:pPr>
            <w:r>
              <w:rPr>
                <w:rFonts w:ascii="Arial" w:cs="Arial" w:eastAsia="Arial" w:hAnsi="Arial"/>
                <w:sz w:val="16"/>
                <w:szCs w:val="16"/>
                <w:color w:val="auto"/>
              </w:rPr>
              <w:t>7,645</w:t>
            </w:r>
          </w:p>
        </w:tc>
        <w:tc>
          <w:tcPr>
            <w:tcW w:w="1840" w:type="dxa"/>
            <w:vAlign w:val="bottom"/>
            <w:tcBorders>
              <w:bottom w:val="single" w:sz="8" w:color="auto"/>
            </w:tcBorders>
          </w:tcPr>
          <w:p>
            <w:pPr>
              <w:jc w:val="right"/>
              <w:ind w:right="79"/>
              <w:spacing w:after="0" w:line="183" w:lineRule="exact"/>
              <w:rPr>
                <w:sz w:val="20"/>
                <w:szCs w:val="20"/>
                <w:color w:val="auto"/>
              </w:rPr>
            </w:pPr>
            <w:r>
              <w:rPr>
                <w:rFonts w:ascii="Arial" w:cs="Arial" w:eastAsia="Arial" w:hAnsi="Arial"/>
                <w:sz w:val="16"/>
                <w:szCs w:val="16"/>
                <w:color w:val="auto"/>
              </w:rPr>
              <w:t>15,495</w:t>
            </w:r>
          </w:p>
        </w:tc>
      </w:tr>
      <w:tr>
        <w:trPr>
          <w:trHeight w:val="183"/>
        </w:trPr>
        <w:tc>
          <w:tcPr>
            <w:tcW w:w="4520" w:type="dxa"/>
            <w:vAlign w:val="bottom"/>
            <w:tcBorders>
              <w:bottom w:val="single" w:sz="8" w:color="auto"/>
            </w:tcBorders>
          </w:tcPr>
          <w:p>
            <w:pPr>
              <w:ind w:left="60"/>
              <w:spacing w:after="0" w:line="183" w:lineRule="exact"/>
              <w:rPr>
                <w:sz w:val="20"/>
                <w:szCs w:val="20"/>
                <w:color w:val="auto"/>
              </w:rPr>
            </w:pPr>
            <w:r>
              <w:rPr>
                <w:rFonts w:ascii="Arial" w:cs="Arial" w:eastAsia="Arial" w:hAnsi="Arial"/>
                <w:sz w:val="16"/>
                <w:szCs w:val="16"/>
                <w:color w:val="auto"/>
              </w:rPr>
              <w:t>Theodore M. Solso</w:t>
            </w:r>
          </w:p>
        </w:tc>
        <w:tc>
          <w:tcPr>
            <w:tcW w:w="4940" w:type="dxa"/>
            <w:vAlign w:val="bottom"/>
            <w:tcBorders>
              <w:bottom w:val="single" w:sz="8" w:color="auto"/>
            </w:tcBorders>
          </w:tcPr>
          <w:p>
            <w:pPr>
              <w:jc w:val="right"/>
              <w:ind w:right="439"/>
              <w:spacing w:after="0" w:line="183" w:lineRule="exact"/>
              <w:rPr>
                <w:sz w:val="20"/>
                <w:szCs w:val="20"/>
                <w:color w:val="auto"/>
              </w:rPr>
            </w:pPr>
            <w:r>
              <w:rPr>
                <w:rFonts w:ascii="Arial" w:cs="Arial" w:eastAsia="Arial" w:hAnsi="Arial"/>
                <w:sz w:val="16"/>
                <w:szCs w:val="16"/>
                <w:color w:val="auto"/>
              </w:rPr>
              <w:t>5,000</w:t>
            </w:r>
          </w:p>
        </w:tc>
        <w:tc>
          <w:tcPr>
            <w:tcW w:w="1840" w:type="dxa"/>
            <w:vAlign w:val="bottom"/>
            <w:tcBorders>
              <w:bottom w:val="single" w:sz="8" w:color="auto"/>
            </w:tcBorders>
          </w:tcPr>
          <w:p>
            <w:pPr>
              <w:jc w:val="right"/>
              <w:ind w:right="79"/>
              <w:spacing w:after="0" w:line="183" w:lineRule="exact"/>
              <w:rPr>
                <w:sz w:val="20"/>
                <w:szCs w:val="20"/>
                <w:color w:val="auto"/>
              </w:rPr>
            </w:pPr>
            <w:r>
              <w:rPr>
                <w:rFonts w:ascii="Arial" w:cs="Arial" w:eastAsia="Arial" w:hAnsi="Arial"/>
                <w:sz w:val="16"/>
                <w:szCs w:val="16"/>
                <w:color w:val="auto"/>
              </w:rPr>
              <w:t>34,534</w:t>
            </w:r>
          </w:p>
        </w:tc>
      </w:tr>
      <w:tr>
        <w:trPr>
          <w:trHeight w:val="190"/>
        </w:trPr>
        <w:tc>
          <w:tcPr>
            <w:tcW w:w="4520" w:type="dxa"/>
            <w:vAlign w:val="bottom"/>
            <w:tcBorders>
              <w:bottom w:val="single" w:sz="8" w:color="08228B"/>
            </w:tcBorders>
          </w:tcPr>
          <w:p>
            <w:pPr>
              <w:ind w:left="60"/>
              <w:spacing w:after="0" w:line="183" w:lineRule="exact"/>
              <w:rPr>
                <w:sz w:val="20"/>
                <w:szCs w:val="20"/>
                <w:color w:val="auto"/>
              </w:rPr>
            </w:pPr>
            <w:r>
              <w:rPr>
                <w:rFonts w:ascii="Arial" w:cs="Arial" w:eastAsia="Arial" w:hAnsi="Arial"/>
                <w:sz w:val="16"/>
                <w:szCs w:val="16"/>
                <w:color w:val="auto"/>
              </w:rPr>
              <w:t>Carol M. Stephenson</w:t>
            </w:r>
          </w:p>
        </w:tc>
        <w:tc>
          <w:tcPr>
            <w:tcW w:w="4940" w:type="dxa"/>
            <w:vAlign w:val="bottom"/>
            <w:tcBorders>
              <w:bottom w:val="single" w:sz="8" w:color="08228B"/>
            </w:tcBorders>
          </w:tcPr>
          <w:p>
            <w:pPr>
              <w:jc w:val="right"/>
              <w:ind w:right="439"/>
              <w:spacing w:after="0" w:line="183" w:lineRule="exact"/>
              <w:rPr>
                <w:sz w:val="20"/>
                <w:szCs w:val="20"/>
                <w:color w:val="auto"/>
              </w:rPr>
            </w:pPr>
            <w:r>
              <w:rPr>
                <w:rFonts w:ascii="Arial" w:cs="Arial" w:eastAsia="Arial" w:hAnsi="Arial"/>
                <w:sz w:val="16"/>
                <w:szCs w:val="16"/>
                <w:color w:val="auto"/>
              </w:rPr>
              <w:t>800</w:t>
            </w:r>
          </w:p>
        </w:tc>
        <w:tc>
          <w:tcPr>
            <w:tcW w:w="1840" w:type="dxa"/>
            <w:vAlign w:val="bottom"/>
            <w:tcBorders>
              <w:bottom w:val="single" w:sz="8" w:color="08228B"/>
            </w:tcBorders>
          </w:tcPr>
          <w:p>
            <w:pPr>
              <w:jc w:val="right"/>
              <w:ind w:right="79"/>
              <w:spacing w:after="0" w:line="183" w:lineRule="exact"/>
              <w:rPr>
                <w:sz w:val="20"/>
                <w:szCs w:val="20"/>
                <w:color w:val="auto"/>
              </w:rPr>
            </w:pPr>
            <w:r>
              <w:rPr>
                <w:rFonts w:ascii="Arial" w:cs="Arial" w:eastAsia="Arial" w:hAnsi="Arial"/>
                <w:sz w:val="16"/>
                <w:szCs w:val="16"/>
                <w:color w:val="auto"/>
              </w:rPr>
              <w:t>35,021</w:t>
            </w:r>
          </w:p>
        </w:tc>
      </w:tr>
    </w:tbl>
    <w:p>
      <w:pPr>
        <w:spacing w:after="0" w:line="58"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the unit equivalents of our common stock under the Director Compensation Plan described on page 18.</w:t>
      </w:r>
    </w:p>
    <w:p>
      <w:pPr>
        <w:spacing w:after="0" w:line="55" w:lineRule="exact"/>
        <w:rPr>
          <w:rFonts w:ascii="Arial" w:cs="Arial" w:eastAsia="Arial" w:hAnsi="Arial"/>
          <w:sz w:val="14"/>
          <w:szCs w:val="14"/>
          <w:i w:val="1"/>
          <w:iCs w:val="1"/>
          <w:color w:val="auto"/>
        </w:rPr>
      </w:pPr>
    </w:p>
    <w:p>
      <w:pPr>
        <w:ind w:left="340" w:right="120" w:hanging="332"/>
        <w:spacing w:after="0" w:line="279" w:lineRule="auto"/>
        <w:tabs>
          <w:tab w:leader="none" w:pos="340" w:val="left"/>
        </w:tabs>
        <w:numPr>
          <w:ilvl w:val="0"/>
          <w:numId w:val="22"/>
        </w:numPr>
        <w:rPr>
          <w:rFonts w:ascii="Arial" w:cs="Arial" w:eastAsia="Arial" w:hAnsi="Arial"/>
          <w:sz w:val="14"/>
          <w:szCs w:val="14"/>
          <w:i w:val="1"/>
          <w:iCs w:val="1"/>
          <w:color w:val="auto"/>
        </w:rPr>
      </w:pPr>
      <w:r>
        <w:rPr>
          <w:rFonts w:ascii="Arial" w:cs="Arial" w:eastAsia="Arial" w:hAnsi="Arial"/>
          <w:sz w:val="14"/>
          <w:szCs w:val="14"/>
          <w:i w:val="1"/>
          <w:iCs w:val="1"/>
          <w:color w:val="auto"/>
        </w:rPr>
        <w:t>In addition, Mr. Girsky owns 29,172 vested and undelivered salary stock units acquired as part of his compensation during the period he was an employee of the Company. Salary stock units are denominated in stock units and will be delivered in cash or stock at his election pursuant to his delivery schedule.</w:t>
      </w:r>
    </w:p>
    <w:p>
      <w:pPr>
        <w:spacing w:after="0" w:line="116" w:lineRule="exact"/>
        <w:rPr>
          <w:sz w:val="20"/>
          <w:szCs w:val="20"/>
          <w:color w:val="auto"/>
        </w:rPr>
      </w:pPr>
    </w:p>
    <w:p>
      <w:pPr>
        <w:spacing w:after="0"/>
        <w:rPr>
          <w:sz w:val="20"/>
          <w:szCs w:val="20"/>
          <w:color w:val="auto"/>
        </w:rPr>
      </w:pPr>
      <w:r>
        <w:rPr>
          <w:rFonts w:ascii="Arial" w:cs="Arial" w:eastAsia="Arial" w:hAnsi="Arial"/>
          <w:sz w:val="22"/>
          <w:szCs w:val="22"/>
          <w:b w:val="1"/>
          <w:bCs w:val="1"/>
          <w:color w:val="1C90D3"/>
        </w:rPr>
        <w:t>Named Executive Officers and All Directors and Executive Officers as a Group</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220" w:type="dxa"/>
            <w:vAlign w:val="bottom"/>
            <w:tcBorders>
              <w:top w:val="single" w:sz="8" w:color="1C90D3"/>
            </w:tcBorders>
          </w:tcPr>
          <w:p>
            <w:pPr>
              <w:spacing w:after="0"/>
              <w:rPr>
                <w:sz w:val="17"/>
                <w:szCs w:val="17"/>
                <w:color w:val="auto"/>
              </w:rPr>
            </w:pPr>
          </w:p>
        </w:tc>
        <w:tc>
          <w:tcPr>
            <w:tcW w:w="4220" w:type="dxa"/>
            <w:vAlign w:val="bottom"/>
            <w:tcBorders>
              <w:top w:val="single" w:sz="8" w:color="1C90D3"/>
            </w:tcBorders>
          </w:tcPr>
          <w:p>
            <w:pPr>
              <w:jc w:val="right"/>
              <w:ind w:right="419"/>
              <w:spacing w:after="0"/>
              <w:rPr>
                <w:sz w:val="20"/>
                <w:szCs w:val="20"/>
                <w:color w:val="auto"/>
              </w:rPr>
            </w:pPr>
            <w:r>
              <w:rPr>
                <w:rFonts w:ascii="Arial" w:cs="Arial" w:eastAsia="Arial" w:hAnsi="Arial"/>
                <w:sz w:val="16"/>
                <w:szCs w:val="16"/>
                <w:b w:val="1"/>
                <w:bCs w:val="1"/>
                <w:color w:val="1C90D3"/>
              </w:rPr>
              <w:t>Shares of Common Stock</w:t>
            </w:r>
          </w:p>
        </w:tc>
        <w:tc>
          <w:tcPr>
            <w:tcW w:w="1860" w:type="dxa"/>
            <w:vAlign w:val="bottom"/>
            <w:tcBorders>
              <w:top w:val="single" w:sz="8" w:color="1C90D3"/>
            </w:tcBorders>
          </w:tcPr>
          <w:p>
            <w:pPr>
              <w:jc w:val="right"/>
              <w:ind w:right="79"/>
              <w:spacing w:after="0"/>
              <w:rPr>
                <w:sz w:val="20"/>
                <w:szCs w:val="20"/>
                <w:color w:val="auto"/>
              </w:rPr>
            </w:pPr>
            <w:r>
              <w:rPr>
                <w:rFonts w:ascii="Arial" w:cs="Arial" w:eastAsia="Arial" w:hAnsi="Arial"/>
                <w:sz w:val="16"/>
                <w:szCs w:val="16"/>
                <w:b w:val="1"/>
                <w:bCs w:val="1"/>
                <w:color w:val="1C90D3"/>
              </w:rPr>
              <w:t>Deferred Salary</w:t>
            </w:r>
          </w:p>
        </w:tc>
        <w:tc>
          <w:tcPr>
            <w:tcW w:w="0" w:type="dxa"/>
            <w:vAlign w:val="bottom"/>
          </w:tcPr>
          <w:p>
            <w:pPr>
              <w:spacing w:after="0"/>
              <w:rPr>
                <w:sz w:val="1"/>
                <w:szCs w:val="1"/>
                <w:color w:val="auto"/>
              </w:rPr>
            </w:pPr>
          </w:p>
        </w:tc>
      </w:tr>
      <w:tr>
        <w:trPr>
          <w:trHeight w:val="253"/>
        </w:trPr>
        <w:tc>
          <w:tcPr>
            <w:tcW w:w="5220" w:type="dxa"/>
            <w:vAlign w:val="bottom"/>
            <w:tcBorders>
              <w:bottom w:val="single" w:sz="8" w:color="1C90D3"/>
            </w:tcBorders>
          </w:tcPr>
          <w:p>
            <w:pPr>
              <w:ind w:left="60"/>
              <w:spacing w:after="0"/>
              <w:rPr>
                <w:sz w:val="20"/>
                <w:szCs w:val="20"/>
                <w:color w:val="auto"/>
              </w:rPr>
            </w:pPr>
            <w:r>
              <w:rPr>
                <w:rFonts w:ascii="Arial" w:cs="Arial" w:eastAsia="Arial" w:hAnsi="Arial"/>
                <w:sz w:val="16"/>
                <w:szCs w:val="16"/>
                <w:b w:val="1"/>
                <w:bCs w:val="1"/>
                <w:color w:val="1C90D3"/>
              </w:rPr>
              <w:t>Name</w:t>
            </w:r>
          </w:p>
        </w:tc>
        <w:tc>
          <w:tcPr>
            <w:tcW w:w="4220" w:type="dxa"/>
            <w:vAlign w:val="bottom"/>
            <w:tcBorders>
              <w:bottom w:val="single" w:sz="8" w:color="1C90D3"/>
            </w:tcBorders>
          </w:tcPr>
          <w:p>
            <w:pPr>
              <w:jc w:val="right"/>
              <w:ind w:right="419"/>
              <w:spacing w:after="0" w:line="246" w:lineRule="exact"/>
              <w:rPr>
                <w:sz w:val="20"/>
                <w:szCs w:val="20"/>
                <w:color w:val="auto"/>
              </w:rPr>
            </w:pPr>
            <w:r>
              <w:rPr>
                <w:rFonts w:ascii="Arial" w:cs="Arial" w:eastAsia="Arial" w:hAnsi="Arial"/>
                <w:sz w:val="16"/>
                <w:szCs w:val="16"/>
                <w:b w:val="1"/>
                <w:bCs w:val="1"/>
                <w:color w:val="1C90D3"/>
              </w:rPr>
              <w:t>Beneficially Owned</w:t>
            </w:r>
            <w:r>
              <w:rPr>
                <w:rFonts w:ascii="Arial" w:cs="Arial" w:eastAsia="Arial" w:hAnsi="Arial"/>
                <w:sz w:val="27"/>
                <w:szCs w:val="27"/>
                <w:b w:val="1"/>
                <w:bCs w:val="1"/>
                <w:color w:val="1C90D3"/>
                <w:vertAlign w:val="superscript"/>
              </w:rPr>
              <w:t>(1)</w:t>
            </w:r>
          </w:p>
        </w:tc>
        <w:tc>
          <w:tcPr>
            <w:tcW w:w="1860" w:type="dxa"/>
            <w:vAlign w:val="bottom"/>
            <w:tcBorders>
              <w:bottom w:val="single" w:sz="8" w:color="1C90D3"/>
            </w:tcBorders>
          </w:tcPr>
          <w:p>
            <w:pPr>
              <w:jc w:val="right"/>
              <w:ind w:right="79"/>
              <w:spacing w:after="0" w:line="246" w:lineRule="exact"/>
              <w:rPr>
                <w:sz w:val="20"/>
                <w:szCs w:val="20"/>
                <w:color w:val="auto"/>
              </w:rPr>
            </w:pPr>
            <w:r>
              <w:rPr>
                <w:rFonts w:ascii="Arial" w:cs="Arial" w:eastAsia="Arial" w:hAnsi="Arial"/>
                <w:sz w:val="16"/>
                <w:szCs w:val="16"/>
                <w:b w:val="1"/>
                <w:bCs w:val="1"/>
                <w:color w:val="1C90D3"/>
              </w:rPr>
              <w:t>Stock Units</w:t>
            </w:r>
            <w:r>
              <w:rPr>
                <w:rFonts w:ascii="Arial" w:cs="Arial" w:eastAsia="Arial" w:hAnsi="Arial"/>
                <w:sz w:val="27"/>
                <w:szCs w:val="27"/>
                <w:b w:val="1"/>
                <w:bCs w:val="1"/>
                <w:color w:val="1C90D3"/>
                <w:vertAlign w:val="superscript"/>
              </w:rPr>
              <w:t>(2)</w:t>
            </w:r>
          </w:p>
        </w:tc>
        <w:tc>
          <w:tcPr>
            <w:tcW w:w="0" w:type="dxa"/>
            <w:vAlign w:val="bottom"/>
          </w:tcPr>
          <w:p>
            <w:pPr>
              <w:spacing w:after="0"/>
              <w:rPr>
                <w:sz w:val="1"/>
                <w:szCs w:val="1"/>
                <w:color w:val="auto"/>
              </w:rPr>
            </w:pPr>
          </w:p>
        </w:tc>
      </w:tr>
      <w:tr>
        <w:trPr>
          <w:trHeight w:val="189"/>
        </w:trPr>
        <w:tc>
          <w:tcPr>
            <w:tcW w:w="522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Mary T. Barra</w:t>
            </w:r>
          </w:p>
        </w:tc>
        <w:tc>
          <w:tcPr>
            <w:tcW w:w="42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117,478</w:t>
            </w:r>
          </w:p>
        </w:tc>
        <w:tc>
          <w:tcPr>
            <w:tcW w:w="1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19,493</w:t>
            </w:r>
          </w:p>
        </w:tc>
        <w:tc>
          <w:tcPr>
            <w:tcW w:w="0" w:type="dxa"/>
            <w:vAlign w:val="bottom"/>
          </w:tcPr>
          <w:p>
            <w:pPr>
              <w:spacing w:after="0"/>
              <w:rPr>
                <w:sz w:val="1"/>
                <w:szCs w:val="1"/>
                <w:color w:val="auto"/>
              </w:rPr>
            </w:pPr>
          </w:p>
        </w:tc>
      </w:tr>
      <w:tr>
        <w:trPr>
          <w:trHeight w:val="183"/>
        </w:trPr>
        <w:tc>
          <w:tcPr>
            <w:tcW w:w="5220" w:type="dxa"/>
            <w:vAlign w:val="bottom"/>
            <w:tcBorders>
              <w:bottom w:val="single" w:sz="8" w:color="auto"/>
            </w:tcBorders>
          </w:tcPr>
          <w:p>
            <w:pPr>
              <w:ind w:left="60"/>
              <w:spacing w:after="0" w:line="183" w:lineRule="exact"/>
              <w:rPr>
                <w:sz w:val="20"/>
                <w:szCs w:val="20"/>
                <w:color w:val="auto"/>
              </w:rPr>
            </w:pPr>
            <w:r>
              <w:rPr>
                <w:rFonts w:ascii="Arial" w:cs="Arial" w:eastAsia="Arial" w:hAnsi="Arial"/>
                <w:sz w:val="16"/>
                <w:szCs w:val="16"/>
                <w:color w:val="auto"/>
              </w:rPr>
              <w:t>Charles K. Stevens, III</w:t>
            </w:r>
          </w:p>
        </w:tc>
        <w:tc>
          <w:tcPr>
            <w:tcW w:w="4220" w:type="dxa"/>
            <w:vAlign w:val="bottom"/>
            <w:tcBorders>
              <w:bottom w:val="single" w:sz="8" w:color="auto"/>
            </w:tcBorders>
          </w:tcPr>
          <w:p>
            <w:pPr>
              <w:jc w:val="right"/>
              <w:ind w:right="419"/>
              <w:spacing w:after="0" w:line="183" w:lineRule="exact"/>
              <w:rPr>
                <w:sz w:val="20"/>
                <w:szCs w:val="20"/>
                <w:color w:val="auto"/>
              </w:rPr>
            </w:pPr>
            <w:r>
              <w:rPr>
                <w:rFonts w:ascii="Arial" w:cs="Arial" w:eastAsia="Arial" w:hAnsi="Arial"/>
                <w:sz w:val="16"/>
                <w:szCs w:val="16"/>
                <w:color w:val="auto"/>
              </w:rPr>
              <w:t>46,942</w:t>
            </w:r>
          </w:p>
        </w:tc>
        <w:tc>
          <w:tcPr>
            <w:tcW w:w="1860" w:type="dxa"/>
            <w:vAlign w:val="bottom"/>
            <w:tcBorders>
              <w:bottom w:val="single" w:sz="8" w:color="auto"/>
            </w:tcBorders>
          </w:tcPr>
          <w:p>
            <w:pPr>
              <w:jc w:val="right"/>
              <w:ind w:right="79"/>
              <w:spacing w:after="0" w:line="183" w:lineRule="exact"/>
              <w:rPr>
                <w:sz w:val="20"/>
                <w:szCs w:val="20"/>
                <w:color w:val="auto"/>
              </w:rPr>
            </w:pPr>
            <w:r>
              <w:rPr>
                <w:rFonts w:ascii="Arial" w:cs="Arial" w:eastAsia="Arial" w:hAnsi="Arial"/>
                <w:sz w:val="16"/>
                <w:szCs w:val="16"/>
                <w:color w:val="auto"/>
              </w:rPr>
              <w:t>343</w:t>
            </w:r>
          </w:p>
        </w:tc>
        <w:tc>
          <w:tcPr>
            <w:tcW w:w="0" w:type="dxa"/>
            <w:vAlign w:val="bottom"/>
          </w:tcPr>
          <w:p>
            <w:pPr>
              <w:spacing w:after="0"/>
              <w:rPr>
                <w:sz w:val="1"/>
                <w:szCs w:val="1"/>
                <w:color w:val="auto"/>
              </w:rPr>
            </w:pPr>
          </w:p>
        </w:tc>
      </w:tr>
      <w:tr>
        <w:trPr>
          <w:trHeight w:val="183"/>
        </w:trPr>
        <w:tc>
          <w:tcPr>
            <w:tcW w:w="5220" w:type="dxa"/>
            <w:vAlign w:val="bottom"/>
            <w:tcBorders>
              <w:bottom w:val="single" w:sz="8" w:color="auto"/>
            </w:tcBorders>
          </w:tcPr>
          <w:p>
            <w:pPr>
              <w:ind w:left="60"/>
              <w:spacing w:after="0" w:line="183" w:lineRule="exact"/>
              <w:rPr>
                <w:sz w:val="20"/>
                <w:szCs w:val="20"/>
                <w:color w:val="auto"/>
              </w:rPr>
            </w:pPr>
            <w:r>
              <w:rPr>
                <w:rFonts w:ascii="Arial" w:cs="Arial" w:eastAsia="Arial" w:hAnsi="Arial"/>
                <w:sz w:val="16"/>
                <w:szCs w:val="16"/>
                <w:color w:val="auto"/>
              </w:rPr>
              <w:t>Daniel Ammann</w:t>
            </w:r>
          </w:p>
        </w:tc>
        <w:tc>
          <w:tcPr>
            <w:tcW w:w="4220" w:type="dxa"/>
            <w:vAlign w:val="bottom"/>
            <w:tcBorders>
              <w:bottom w:val="single" w:sz="8" w:color="auto"/>
            </w:tcBorders>
          </w:tcPr>
          <w:p>
            <w:pPr>
              <w:jc w:val="right"/>
              <w:ind w:right="419"/>
              <w:spacing w:after="0" w:line="183" w:lineRule="exact"/>
              <w:rPr>
                <w:sz w:val="20"/>
                <w:szCs w:val="20"/>
                <w:color w:val="auto"/>
              </w:rPr>
            </w:pPr>
            <w:r>
              <w:rPr>
                <w:rFonts w:ascii="Arial" w:cs="Arial" w:eastAsia="Arial" w:hAnsi="Arial"/>
                <w:sz w:val="16"/>
                <w:szCs w:val="16"/>
                <w:color w:val="auto"/>
              </w:rPr>
              <w:t>173,850</w:t>
            </w:r>
          </w:p>
        </w:tc>
        <w:tc>
          <w:tcPr>
            <w:tcW w:w="1860" w:type="dxa"/>
            <w:vAlign w:val="bottom"/>
            <w:tcBorders>
              <w:bottom w:val="single" w:sz="8" w:color="auto"/>
            </w:tcBorders>
          </w:tcPr>
          <w:p>
            <w:pPr>
              <w:jc w:val="right"/>
              <w:ind w:right="79"/>
              <w:spacing w:after="0" w:line="183" w:lineRule="exact"/>
              <w:rPr>
                <w:sz w:val="20"/>
                <w:szCs w:val="20"/>
                <w:color w:val="auto"/>
              </w:rPr>
            </w:pPr>
            <w:r>
              <w:rPr>
                <w:rFonts w:ascii="Arial" w:cs="Arial" w:eastAsia="Arial" w:hAnsi="Arial"/>
                <w:sz w:val="16"/>
                <w:szCs w:val="16"/>
                <w:color w:val="auto"/>
              </w:rPr>
              <w:t>19,391</w:t>
            </w:r>
          </w:p>
        </w:tc>
        <w:tc>
          <w:tcPr>
            <w:tcW w:w="0" w:type="dxa"/>
            <w:vAlign w:val="bottom"/>
          </w:tcPr>
          <w:p>
            <w:pPr>
              <w:spacing w:after="0"/>
              <w:rPr>
                <w:sz w:val="1"/>
                <w:szCs w:val="1"/>
                <w:color w:val="auto"/>
              </w:rPr>
            </w:pPr>
          </w:p>
        </w:tc>
      </w:tr>
      <w:tr>
        <w:trPr>
          <w:trHeight w:val="183"/>
        </w:trPr>
        <w:tc>
          <w:tcPr>
            <w:tcW w:w="5220" w:type="dxa"/>
            <w:vAlign w:val="bottom"/>
            <w:tcBorders>
              <w:bottom w:val="single" w:sz="8" w:color="auto"/>
            </w:tcBorders>
          </w:tcPr>
          <w:p>
            <w:pPr>
              <w:ind w:left="60"/>
              <w:spacing w:after="0" w:line="183" w:lineRule="exact"/>
              <w:rPr>
                <w:sz w:val="20"/>
                <w:szCs w:val="20"/>
                <w:color w:val="auto"/>
              </w:rPr>
            </w:pPr>
            <w:r>
              <w:rPr>
                <w:rFonts w:ascii="Arial" w:cs="Arial" w:eastAsia="Arial" w:hAnsi="Arial"/>
                <w:sz w:val="16"/>
                <w:szCs w:val="16"/>
                <w:color w:val="auto"/>
              </w:rPr>
              <w:t>Mark L. Reuss</w:t>
            </w:r>
          </w:p>
        </w:tc>
        <w:tc>
          <w:tcPr>
            <w:tcW w:w="4220" w:type="dxa"/>
            <w:vAlign w:val="bottom"/>
            <w:tcBorders>
              <w:bottom w:val="single" w:sz="8" w:color="auto"/>
            </w:tcBorders>
          </w:tcPr>
          <w:p>
            <w:pPr>
              <w:jc w:val="right"/>
              <w:ind w:right="419"/>
              <w:spacing w:after="0" w:line="183" w:lineRule="exact"/>
              <w:rPr>
                <w:sz w:val="20"/>
                <w:szCs w:val="20"/>
                <w:color w:val="auto"/>
              </w:rPr>
            </w:pPr>
            <w:r>
              <w:rPr>
                <w:rFonts w:ascii="Arial" w:cs="Arial" w:eastAsia="Arial" w:hAnsi="Arial"/>
                <w:sz w:val="16"/>
                <w:szCs w:val="16"/>
                <w:color w:val="auto"/>
              </w:rPr>
              <w:t>67,630</w:t>
            </w:r>
          </w:p>
        </w:tc>
        <w:tc>
          <w:tcPr>
            <w:tcW w:w="1860" w:type="dxa"/>
            <w:vAlign w:val="bottom"/>
            <w:tcBorders>
              <w:bottom w:val="single" w:sz="8" w:color="auto"/>
            </w:tcBorders>
          </w:tcPr>
          <w:p>
            <w:pPr>
              <w:jc w:val="right"/>
              <w:ind w:right="79"/>
              <w:spacing w:after="0" w:line="183" w:lineRule="exact"/>
              <w:rPr>
                <w:sz w:val="20"/>
                <w:szCs w:val="20"/>
                <w:color w:val="auto"/>
              </w:rPr>
            </w:pPr>
            <w:r>
              <w:rPr>
                <w:rFonts w:ascii="Arial" w:cs="Arial" w:eastAsia="Arial" w:hAnsi="Arial"/>
                <w:sz w:val="16"/>
                <w:szCs w:val="16"/>
                <w:color w:val="auto"/>
              </w:rPr>
              <w:t>16,542</w:t>
            </w:r>
          </w:p>
        </w:tc>
        <w:tc>
          <w:tcPr>
            <w:tcW w:w="0" w:type="dxa"/>
            <w:vAlign w:val="bottom"/>
          </w:tcPr>
          <w:p>
            <w:pPr>
              <w:spacing w:after="0"/>
              <w:rPr>
                <w:sz w:val="1"/>
                <w:szCs w:val="1"/>
                <w:color w:val="auto"/>
              </w:rPr>
            </w:pPr>
          </w:p>
        </w:tc>
      </w:tr>
      <w:tr>
        <w:trPr>
          <w:trHeight w:val="183"/>
        </w:trPr>
        <w:tc>
          <w:tcPr>
            <w:tcW w:w="5220" w:type="dxa"/>
            <w:vAlign w:val="bottom"/>
            <w:tcBorders>
              <w:bottom w:val="single" w:sz="8" w:color="auto"/>
            </w:tcBorders>
          </w:tcPr>
          <w:p>
            <w:pPr>
              <w:ind w:left="60"/>
              <w:spacing w:after="0" w:line="183" w:lineRule="exact"/>
              <w:rPr>
                <w:sz w:val="20"/>
                <w:szCs w:val="20"/>
                <w:color w:val="auto"/>
              </w:rPr>
            </w:pPr>
            <w:r>
              <w:rPr>
                <w:rFonts w:ascii="Arial" w:cs="Arial" w:eastAsia="Arial" w:hAnsi="Arial"/>
                <w:sz w:val="16"/>
                <w:szCs w:val="16"/>
                <w:color w:val="auto"/>
              </w:rPr>
              <w:t>Craig B. Glidden</w:t>
            </w:r>
          </w:p>
        </w:tc>
        <w:tc>
          <w:tcPr>
            <w:tcW w:w="4220" w:type="dxa"/>
            <w:vAlign w:val="bottom"/>
            <w:tcBorders>
              <w:bottom w:val="single" w:sz="8" w:color="auto"/>
            </w:tcBorders>
          </w:tcPr>
          <w:p>
            <w:pPr>
              <w:jc w:val="right"/>
              <w:ind w:right="419"/>
              <w:spacing w:after="0" w:line="183" w:lineRule="exact"/>
              <w:rPr>
                <w:sz w:val="20"/>
                <w:szCs w:val="20"/>
                <w:color w:val="auto"/>
              </w:rPr>
            </w:pPr>
            <w:r>
              <w:rPr>
                <w:rFonts w:ascii="Arial" w:cs="Arial" w:eastAsia="Arial" w:hAnsi="Arial"/>
                <w:sz w:val="16"/>
                <w:szCs w:val="16"/>
                <w:color w:val="auto"/>
              </w:rPr>
              <w:t>21,217</w:t>
            </w:r>
          </w:p>
        </w:tc>
        <w:tc>
          <w:tcPr>
            <w:tcW w:w="1860" w:type="dxa"/>
            <w:vAlign w:val="bottom"/>
            <w:tcBorders>
              <w:bottom w:val="single" w:sz="8" w:color="auto"/>
            </w:tcBorders>
          </w:tcPr>
          <w:p>
            <w:pPr>
              <w:jc w:val="right"/>
              <w:ind w:right="79"/>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4"/>
        </w:trPr>
        <w:tc>
          <w:tcPr>
            <w:tcW w:w="5220" w:type="dxa"/>
            <w:vAlign w:val="bottom"/>
          </w:tcPr>
          <w:p>
            <w:pPr>
              <w:ind w:left="60"/>
              <w:spacing w:after="0"/>
              <w:rPr>
                <w:sz w:val="20"/>
                <w:szCs w:val="20"/>
                <w:color w:val="auto"/>
              </w:rPr>
            </w:pPr>
            <w:r>
              <w:rPr>
                <w:rFonts w:ascii="Arial" w:cs="Arial" w:eastAsia="Arial" w:hAnsi="Arial"/>
                <w:sz w:val="16"/>
                <w:szCs w:val="16"/>
                <w:color w:val="auto"/>
              </w:rPr>
              <w:t>All Directors and Executive Officers as a Group</w:t>
            </w:r>
          </w:p>
        </w:tc>
        <w:tc>
          <w:tcPr>
            <w:tcW w:w="4220" w:type="dxa"/>
            <w:vAlign w:val="bottom"/>
            <w:vMerge w:val="restart"/>
          </w:tcPr>
          <w:p>
            <w:pPr>
              <w:jc w:val="right"/>
              <w:ind w:right="419"/>
              <w:spacing w:after="0"/>
              <w:rPr>
                <w:sz w:val="20"/>
                <w:szCs w:val="20"/>
                <w:color w:val="auto"/>
              </w:rPr>
            </w:pPr>
            <w:r>
              <w:rPr>
                <w:rFonts w:ascii="Arial" w:cs="Arial" w:eastAsia="Arial" w:hAnsi="Arial"/>
                <w:sz w:val="16"/>
                <w:szCs w:val="16"/>
                <w:color w:val="auto"/>
              </w:rPr>
              <w:t>651,544</w:t>
            </w:r>
          </w:p>
        </w:tc>
        <w:tc>
          <w:tcPr>
            <w:tcW w:w="1860" w:type="dxa"/>
            <w:vAlign w:val="bottom"/>
            <w:vMerge w:val="restart"/>
          </w:tcPr>
          <w:p>
            <w:pPr>
              <w:jc w:val="right"/>
              <w:ind w:right="79"/>
              <w:spacing w:after="0"/>
              <w:rPr>
                <w:sz w:val="20"/>
                <w:szCs w:val="20"/>
                <w:color w:val="auto"/>
              </w:rPr>
            </w:pPr>
            <w:r>
              <w:rPr>
                <w:rFonts w:ascii="Arial" w:cs="Arial" w:eastAsia="Arial" w:hAnsi="Arial"/>
                <w:sz w:val="16"/>
                <w:szCs w:val="16"/>
                <w:color w:val="auto"/>
              </w:rPr>
              <w:t>313,443</w:t>
            </w:r>
          </w:p>
        </w:tc>
        <w:tc>
          <w:tcPr>
            <w:tcW w:w="0" w:type="dxa"/>
            <w:vAlign w:val="bottom"/>
          </w:tcPr>
          <w:p>
            <w:pPr>
              <w:spacing w:after="0"/>
              <w:rPr>
                <w:sz w:val="1"/>
                <w:szCs w:val="1"/>
                <w:color w:val="auto"/>
              </w:rPr>
            </w:pPr>
          </w:p>
        </w:tc>
      </w:tr>
      <w:tr>
        <w:trPr>
          <w:trHeight w:val="100"/>
        </w:trPr>
        <w:tc>
          <w:tcPr>
            <w:tcW w:w="5220" w:type="dxa"/>
            <w:vAlign w:val="bottom"/>
            <w:vMerge w:val="restart"/>
          </w:tcPr>
          <w:p>
            <w:pPr>
              <w:ind w:left="60"/>
              <w:spacing w:after="0"/>
              <w:rPr>
                <w:sz w:val="20"/>
                <w:szCs w:val="20"/>
                <w:color w:val="auto"/>
              </w:rPr>
            </w:pPr>
            <w:r>
              <w:rPr>
                <w:rFonts w:ascii="Arial" w:cs="Arial" w:eastAsia="Arial" w:hAnsi="Arial"/>
                <w:sz w:val="16"/>
                <w:szCs w:val="16"/>
                <w:color w:val="auto"/>
              </w:rPr>
              <w:t>(26 persons, including the foregoing)</w:t>
            </w:r>
          </w:p>
        </w:tc>
        <w:tc>
          <w:tcPr>
            <w:tcW w:w="4220" w:type="dxa"/>
            <w:vAlign w:val="bottom"/>
            <w:vMerge w:val="continue"/>
          </w:tcPr>
          <w:p>
            <w:pPr>
              <w:spacing w:after="0"/>
              <w:rPr>
                <w:sz w:val="8"/>
                <w:szCs w:val="8"/>
                <w:color w:val="auto"/>
              </w:rPr>
            </w:pPr>
          </w:p>
        </w:tc>
        <w:tc>
          <w:tcPr>
            <w:tcW w:w="1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5220" w:type="dxa"/>
            <w:vAlign w:val="bottom"/>
            <w:tcBorders>
              <w:bottom w:val="single" w:sz="8" w:color="08228B"/>
            </w:tcBorders>
            <w:vMerge w:val="continue"/>
          </w:tcPr>
          <w:p>
            <w:pPr>
              <w:spacing w:after="0"/>
              <w:rPr>
                <w:sz w:val="8"/>
                <w:szCs w:val="8"/>
                <w:color w:val="auto"/>
              </w:rPr>
            </w:pPr>
          </w:p>
        </w:tc>
        <w:tc>
          <w:tcPr>
            <w:tcW w:w="4220" w:type="dxa"/>
            <w:vAlign w:val="bottom"/>
            <w:tcBorders>
              <w:bottom w:val="single" w:sz="8" w:color="08228B"/>
            </w:tcBorders>
          </w:tcPr>
          <w:p>
            <w:pPr>
              <w:spacing w:after="0"/>
              <w:rPr>
                <w:sz w:val="8"/>
                <w:szCs w:val="8"/>
                <w:color w:val="auto"/>
              </w:rPr>
            </w:pPr>
          </w:p>
        </w:tc>
        <w:tc>
          <w:tcPr>
            <w:tcW w:w="1860" w:type="dxa"/>
            <w:vAlign w:val="bottom"/>
            <w:tcBorders>
              <w:bottom w:val="single" w:sz="8" w:color="08228B"/>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4"/>
          <w:szCs w:val="14"/>
          <w:i w:val="1"/>
          <w:iCs w:val="1"/>
          <w:color w:val="auto"/>
        </w:rPr>
      </w:pPr>
      <w:r>
        <w:rPr>
          <w:rFonts w:ascii="Arial" w:cs="Arial" w:eastAsia="Arial" w:hAnsi="Arial"/>
          <w:sz w:val="14"/>
          <w:szCs w:val="14"/>
          <w:i w:val="1"/>
          <w:iCs w:val="1"/>
          <w:color w:val="auto"/>
        </w:rPr>
        <w:t>Includes shares held directly by the executive officer as well as vested restricted stock and excludes shares shown in the “Deferred Salary Stock Units” column.</w:t>
      </w:r>
    </w:p>
    <w:p>
      <w:pPr>
        <w:spacing w:after="0" w:line="55" w:lineRule="exact"/>
        <w:rPr>
          <w:rFonts w:ascii="Arial" w:cs="Arial" w:eastAsia="Arial" w:hAnsi="Arial"/>
          <w:sz w:val="14"/>
          <w:szCs w:val="14"/>
          <w:i w:val="1"/>
          <w:iCs w:val="1"/>
          <w:color w:val="auto"/>
        </w:rPr>
      </w:pPr>
    </w:p>
    <w:p>
      <w:pPr>
        <w:ind w:left="340" w:right="120" w:hanging="332"/>
        <w:spacing w:after="0" w:line="279" w:lineRule="auto"/>
        <w:tabs>
          <w:tab w:leader="none" w:pos="340" w:val="left"/>
        </w:tabs>
        <w:numPr>
          <w:ilvl w:val="0"/>
          <w:numId w:val="23"/>
        </w:numPr>
        <w:rPr>
          <w:rFonts w:ascii="Arial" w:cs="Arial" w:eastAsia="Arial" w:hAnsi="Arial"/>
          <w:sz w:val="14"/>
          <w:szCs w:val="14"/>
          <w:i w:val="1"/>
          <w:iCs w:val="1"/>
          <w:color w:val="auto"/>
        </w:rPr>
      </w:pPr>
      <w:r>
        <w:rPr>
          <w:rFonts w:ascii="Arial" w:cs="Arial" w:eastAsia="Arial" w:hAnsi="Arial"/>
          <w:sz w:val="14"/>
          <w:szCs w:val="14"/>
          <w:i w:val="1"/>
          <w:iCs w:val="1"/>
          <w:color w:val="auto"/>
        </w:rPr>
        <w:t>Includes vested and undelivered salary stock units, which are denominated in stock units and will be delivered in cash or stock at the executive’s election pursuant to their respective delivery schedules. The total includes Mr. Girsky’s deferred salary stock units as described in footnote (2) to the above “Non-Employee Directors” table.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13"/>
        </w:trPr>
        <w:tc>
          <w:tcPr>
            <w:tcW w:w="4340" w:type="dxa"/>
            <w:vAlign w:val="bottom"/>
            <w:tcBorders>
              <w:bottom w:val="single" w:sz="8" w:color="08228B"/>
            </w:tcBorders>
          </w:tcPr>
          <w:p>
            <w:pPr>
              <w:spacing w:after="0"/>
              <w:rPr>
                <w:sz w:val="9"/>
                <w:szCs w:val="9"/>
                <w:color w:val="auto"/>
              </w:rPr>
            </w:pPr>
          </w:p>
        </w:tc>
        <w:tc>
          <w:tcPr>
            <w:tcW w:w="2060" w:type="dxa"/>
            <w:vAlign w:val="bottom"/>
            <w:vMerge w:val="restart"/>
          </w:tcPr>
          <w:p>
            <w:pPr>
              <w:ind w:left="60"/>
              <w:spacing w:after="0"/>
              <w:rPr>
                <w:sz w:val="20"/>
                <w:szCs w:val="20"/>
                <w:color w:val="auto"/>
              </w:rPr>
            </w:pPr>
            <w:r>
              <w:rPr>
                <w:rFonts w:ascii="Arial" w:cs="Arial" w:eastAsia="Arial" w:hAnsi="Arial"/>
                <w:sz w:val="16"/>
                <w:szCs w:val="16"/>
                <w:b w:val="1"/>
                <w:bCs w:val="1"/>
                <w:color w:val="1C90D3"/>
              </w:rPr>
              <w:t xml:space="preserve">2016 </w:t>
            </w:r>
            <w:r>
              <w:rPr>
                <w:rFonts w:ascii="Arial" w:cs="Arial" w:eastAsia="Arial" w:hAnsi="Arial"/>
                <w:sz w:val="16"/>
                <w:szCs w:val="16"/>
                <w:color w:val="08228B"/>
              </w:rPr>
              <w:t>PROXY STATEMENT</w:t>
            </w:r>
          </w:p>
        </w:tc>
        <w:tc>
          <w:tcPr>
            <w:tcW w:w="2400" w:type="dxa"/>
            <w:vAlign w:val="bottom"/>
            <w:tcBorders>
              <w:bottom w:val="single" w:sz="8" w:color="08228B"/>
            </w:tcBorders>
          </w:tcPr>
          <w:p>
            <w:pPr>
              <w:spacing w:after="0"/>
              <w:rPr>
                <w:sz w:val="9"/>
                <w:szCs w:val="9"/>
                <w:color w:val="auto"/>
              </w:rPr>
            </w:pPr>
          </w:p>
        </w:tc>
        <w:tc>
          <w:tcPr>
            <w:tcW w:w="2620" w:type="dxa"/>
            <w:vAlign w:val="bottom"/>
            <w:vMerge w:val="restart"/>
          </w:tcPr>
          <w:p>
            <w:pPr>
              <w:jc w:val="right"/>
              <w:ind w:right="39"/>
              <w:spacing w:after="0"/>
              <w:rPr>
                <w:sz w:val="20"/>
                <w:szCs w:val="20"/>
                <w:color w:val="auto"/>
              </w:rPr>
            </w:pPr>
            <w:r>
              <w:rPr>
                <w:rFonts w:ascii="Arial" w:cs="Arial" w:eastAsia="Arial" w:hAnsi="Arial"/>
                <w:sz w:val="16"/>
                <w:szCs w:val="16"/>
                <w:color w:val="08228B"/>
              </w:rPr>
              <w:t>33</w:t>
            </w:r>
          </w:p>
        </w:tc>
        <w:tc>
          <w:tcPr>
            <w:tcW w:w="0" w:type="dxa"/>
            <w:vAlign w:val="bottom"/>
          </w:tcPr>
          <w:p>
            <w:pPr>
              <w:spacing w:after="0"/>
              <w:rPr>
                <w:sz w:val="1"/>
                <w:szCs w:val="1"/>
                <w:color w:val="auto"/>
              </w:rPr>
            </w:pPr>
          </w:p>
        </w:tc>
      </w:tr>
      <w:tr>
        <w:trPr>
          <w:trHeight w:val="82"/>
        </w:trPr>
        <w:tc>
          <w:tcPr>
            <w:tcW w:w="4340" w:type="dxa"/>
            <w:vAlign w:val="bottom"/>
          </w:tcPr>
          <w:p>
            <w:pPr>
              <w:spacing w:after="0"/>
              <w:rPr>
                <w:sz w:val="7"/>
                <w:szCs w:val="7"/>
                <w:color w:val="auto"/>
              </w:rPr>
            </w:pPr>
          </w:p>
        </w:tc>
        <w:tc>
          <w:tcPr>
            <w:tcW w:w="2060" w:type="dxa"/>
            <w:vAlign w:val="bottom"/>
            <w:vMerge w:val="continue"/>
          </w:tcPr>
          <w:p>
            <w:pPr>
              <w:spacing w:after="0"/>
              <w:rPr>
                <w:sz w:val="7"/>
                <w:szCs w:val="7"/>
                <w:color w:val="auto"/>
              </w:rPr>
            </w:pPr>
          </w:p>
        </w:tc>
        <w:tc>
          <w:tcPr>
            <w:tcW w:w="2400" w:type="dxa"/>
            <w:vAlign w:val="bottom"/>
          </w:tcPr>
          <w:p>
            <w:pPr>
              <w:spacing w:after="0"/>
              <w:rPr>
                <w:sz w:val="7"/>
                <w:szCs w:val="7"/>
                <w:color w:val="auto"/>
              </w:rPr>
            </w:pPr>
          </w:p>
        </w:tc>
        <w:tc>
          <w:tcPr>
            <w:tcW w:w="2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7"/>
        </w:trPr>
        <w:tc>
          <w:tcPr>
            <w:tcW w:w="4340" w:type="dxa"/>
            <w:vAlign w:val="bottom"/>
            <w:tcBorders>
              <w:bottom w:val="single" w:sz="8" w:color="C0C0C0"/>
            </w:tcBorders>
          </w:tcPr>
          <w:p>
            <w:pPr>
              <w:spacing w:after="0"/>
              <w:rPr>
                <w:sz w:val="24"/>
                <w:szCs w:val="24"/>
                <w:color w:val="auto"/>
              </w:rPr>
            </w:pPr>
          </w:p>
        </w:tc>
        <w:tc>
          <w:tcPr>
            <w:tcW w:w="2060" w:type="dxa"/>
            <w:vAlign w:val="bottom"/>
            <w:tcBorders>
              <w:bottom w:val="single" w:sz="8" w:color="C0C0C0"/>
            </w:tcBorders>
          </w:tcPr>
          <w:p>
            <w:pPr>
              <w:spacing w:after="0"/>
              <w:rPr>
                <w:sz w:val="24"/>
                <w:szCs w:val="24"/>
                <w:color w:val="auto"/>
              </w:rPr>
            </w:pPr>
          </w:p>
        </w:tc>
        <w:tc>
          <w:tcPr>
            <w:tcW w:w="2400" w:type="dxa"/>
            <w:vAlign w:val="bottom"/>
            <w:tcBorders>
              <w:bottom w:val="single" w:sz="8" w:color="C0C0C0"/>
            </w:tcBorders>
          </w:tcPr>
          <w:p>
            <w:pPr>
              <w:spacing w:after="0"/>
              <w:rPr>
                <w:sz w:val="24"/>
                <w:szCs w:val="24"/>
                <w:color w:val="auto"/>
              </w:rPr>
            </w:pPr>
          </w:p>
        </w:tc>
        <w:tc>
          <w:tcPr>
            <w:tcW w:w="262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5613400</wp:posOffset>
            </wp:positionH>
            <wp:positionV relativeFrom="paragraph">
              <wp:posOffset>-334010</wp:posOffset>
            </wp:positionV>
            <wp:extent cx="1286510" cy="8572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1286510" cy="8572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Back to Contents</w:t>
        </w:r>
      </w:hyperlink>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color w:val="1C90D3"/>
        </w:rPr>
        <w:t>Certain Beneficial Owners</w:t>
      </w:r>
    </w:p>
    <w:p>
      <w:pPr>
        <w:spacing w:after="0" w:line="268"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The beneficial ownership, as of April 1, 2016, of our common stock by each person or group of persons who is known to be the beneficial owner of more than 5 percent of our outstanding shares of common stock on a fully-diluted basis is shown in the following table.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380" w:type="dxa"/>
            <w:vAlign w:val="bottom"/>
            <w:tcBorders>
              <w:top w:val="single" w:sz="8" w:color="1C90D3"/>
            </w:tcBorders>
          </w:tcPr>
          <w:p>
            <w:pPr>
              <w:spacing w:after="0"/>
              <w:rPr>
                <w:sz w:val="17"/>
                <w:szCs w:val="17"/>
                <w:color w:val="auto"/>
              </w:rPr>
            </w:pPr>
          </w:p>
        </w:tc>
        <w:tc>
          <w:tcPr>
            <w:tcW w:w="2140" w:type="dxa"/>
            <w:vAlign w:val="bottom"/>
            <w:tcBorders>
              <w:top w:val="single" w:sz="8" w:color="1C90D3"/>
            </w:tcBorders>
          </w:tcPr>
          <w:p>
            <w:pPr>
              <w:spacing w:after="0"/>
              <w:rPr>
                <w:sz w:val="17"/>
                <w:szCs w:val="17"/>
                <w:color w:val="auto"/>
              </w:rPr>
            </w:pPr>
          </w:p>
        </w:tc>
        <w:tc>
          <w:tcPr>
            <w:tcW w:w="1780" w:type="dxa"/>
            <w:vAlign w:val="bottom"/>
            <w:tcBorders>
              <w:top w:val="single" w:sz="8" w:color="1C90D3"/>
            </w:tcBorders>
          </w:tcPr>
          <w:p>
            <w:pPr>
              <w:jc w:val="right"/>
              <w:ind w:right="139"/>
              <w:spacing w:after="0"/>
              <w:rPr>
                <w:sz w:val="20"/>
                <w:szCs w:val="20"/>
                <w:color w:val="auto"/>
              </w:rPr>
            </w:pPr>
            <w:r>
              <w:rPr>
                <w:rFonts w:ascii="Arial" w:cs="Arial" w:eastAsia="Arial" w:hAnsi="Arial"/>
                <w:sz w:val="16"/>
                <w:szCs w:val="16"/>
                <w:b w:val="1"/>
                <w:bCs w:val="1"/>
                <w:color w:val="1C90D3"/>
              </w:rPr>
              <w:t>Percent of</w:t>
            </w:r>
          </w:p>
        </w:tc>
      </w:tr>
      <w:tr>
        <w:trPr>
          <w:trHeight w:val="191"/>
        </w:trPr>
        <w:tc>
          <w:tcPr>
            <w:tcW w:w="7380" w:type="dxa"/>
            <w:vAlign w:val="bottom"/>
          </w:tcPr>
          <w:p>
            <w:pPr>
              <w:spacing w:after="0"/>
              <w:rPr>
                <w:sz w:val="16"/>
                <w:szCs w:val="16"/>
                <w:color w:val="auto"/>
              </w:rPr>
            </w:pPr>
          </w:p>
        </w:tc>
        <w:tc>
          <w:tcPr>
            <w:tcW w:w="2140" w:type="dxa"/>
            <w:vAlign w:val="bottom"/>
          </w:tcPr>
          <w:p>
            <w:pPr>
              <w:jc w:val="right"/>
              <w:ind w:right="519"/>
              <w:spacing w:after="0"/>
              <w:rPr>
                <w:sz w:val="20"/>
                <w:szCs w:val="20"/>
                <w:color w:val="auto"/>
              </w:rPr>
            </w:pPr>
            <w:r>
              <w:rPr>
                <w:rFonts w:ascii="Arial" w:cs="Arial" w:eastAsia="Arial" w:hAnsi="Arial"/>
                <w:sz w:val="16"/>
                <w:szCs w:val="16"/>
                <w:b w:val="1"/>
                <w:bCs w:val="1"/>
                <w:color w:val="1C90D3"/>
              </w:rPr>
              <w:t>Number of</w:t>
            </w:r>
          </w:p>
        </w:tc>
        <w:tc>
          <w:tcPr>
            <w:tcW w:w="1780" w:type="dxa"/>
            <w:vAlign w:val="bottom"/>
          </w:tcPr>
          <w:p>
            <w:pPr>
              <w:jc w:val="right"/>
              <w:ind w:right="139"/>
              <w:spacing w:after="0"/>
              <w:rPr>
                <w:sz w:val="20"/>
                <w:szCs w:val="20"/>
                <w:color w:val="auto"/>
              </w:rPr>
            </w:pPr>
            <w:r>
              <w:rPr>
                <w:rFonts w:ascii="Arial" w:cs="Arial" w:eastAsia="Arial" w:hAnsi="Arial"/>
                <w:sz w:val="16"/>
                <w:szCs w:val="16"/>
                <w:b w:val="1"/>
                <w:bCs w:val="1"/>
                <w:color w:val="1C90D3"/>
              </w:rPr>
              <w:t>Outstanding</w:t>
            </w:r>
          </w:p>
        </w:tc>
      </w:tr>
      <w:tr>
        <w:trPr>
          <w:trHeight w:val="253"/>
        </w:trPr>
        <w:tc>
          <w:tcPr>
            <w:tcW w:w="7380" w:type="dxa"/>
            <w:vAlign w:val="bottom"/>
            <w:tcBorders>
              <w:bottom w:val="single" w:sz="8" w:color="1C90D3"/>
            </w:tcBorders>
          </w:tcPr>
          <w:p>
            <w:pPr>
              <w:ind w:left="60"/>
              <w:spacing w:after="0"/>
              <w:rPr>
                <w:sz w:val="20"/>
                <w:szCs w:val="20"/>
                <w:color w:val="auto"/>
              </w:rPr>
            </w:pPr>
            <w:r>
              <w:rPr>
                <w:rFonts w:ascii="Arial" w:cs="Arial" w:eastAsia="Arial" w:hAnsi="Arial"/>
                <w:sz w:val="16"/>
                <w:szCs w:val="16"/>
                <w:b w:val="1"/>
                <w:bCs w:val="1"/>
                <w:color w:val="1C90D3"/>
              </w:rPr>
              <w:t>Name and Address of Beneficial Owner of Common Stock</w:t>
            </w:r>
          </w:p>
        </w:tc>
        <w:tc>
          <w:tcPr>
            <w:tcW w:w="2140" w:type="dxa"/>
            <w:vAlign w:val="bottom"/>
            <w:tcBorders>
              <w:bottom w:val="single" w:sz="8" w:color="1C90D3"/>
            </w:tcBorders>
          </w:tcPr>
          <w:p>
            <w:pPr>
              <w:jc w:val="right"/>
              <w:ind w:right="519"/>
              <w:spacing w:after="0" w:line="246" w:lineRule="exact"/>
              <w:rPr>
                <w:sz w:val="20"/>
                <w:szCs w:val="20"/>
                <w:color w:val="auto"/>
              </w:rPr>
            </w:pPr>
            <w:r>
              <w:rPr>
                <w:rFonts w:ascii="Arial" w:cs="Arial" w:eastAsia="Arial" w:hAnsi="Arial"/>
                <w:sz w:val="16"/>
                <w:szCs w:val="16"/>
                <w:b w:val="1"/>
                <w:bCs w:val="1"/>
                <w:color w:val="1C90D3"/>
              </w:rPr>
              <w:t>Shares</w:t>
            </w:r>
            <w:r>
              <w:rPr>
                <w:rFonts w:ascii="Arial" w:cs="Arial" w:eastAsia="Arial" w:hAnsi="Arial"/>
                <w:sz w:val="27"/>
                <w:szCs w:val="27"/>
                <w:b w:val="1"/>
                <w:bCs w:val="1"/>
                <w:color w:val="1C90D3"/>
                <w:vertAlign w:val="superscript"/>
              </w:rPr>
              <w:t>(1)</w:t>
            </w:r>
          </w:p>
        </w:tc>
        <w:tc>
          <w:tcPr>
            <w:tcW w:w="1780" w:type="dxa"/>
            <w:vAlign w:val="bottom"/>
            <w:tcBorders>
              <w:bottom w:val="single" w:sz="8" w:color="1C90D3"/>
            </w:tcBorders>
          </w:tcPr>
          <w:p>
            <w:pPr>
              <w:jc w:val="right"/>
              <w:ind w:right="139"/>
              <w:spacing w:after="0" w:line="246" w:lineRule="exact"/>
              <w:rPr>
                <w:sz w:val="20"/>
                <w:szCs w:val="20"/>
                <w:color w:val="auto"/>
              </w:rPr>
            </w:pPr>
            <w:r>
              <w:rPr>
                <w:rFonts w:ascii="Arial" w:cs="Arial" w:eastAsia="Arial" w:hAnsi="Arial"/>
                <w:sz w:val="16"/>
                <w:szCs w:val="16"/>
                <w:b w:val="1"/>
                <w:bCs w:val="1"/>
                <w:color w:val="1C90D3"/>
              </w:rPr>
              <w:t>Shares</w:t>
            </w:r>
            <w:r>
              <w:rPr>
                <w:rFonts w:ascii="Arial" w:cs="Arial" w:eastAsia="Arial" w:hAnsi="Arial"/>
                <w:sz w:val="27"/>
                <w:szCs w:val="27"/>
                <w:b w:val="1"/>
                <w:bCs w:val="1"/>
                <w:color w:val="1C90D3"/>
                <w:vertAlign w:val="superscript"/>
              </w:rPr>
              <w:t>(1)</w:t>
            </w:r>
          </w:p>
        </w:tc>
      </w:tr>
      <w:tr>
        <w:trPr>
          <w:trHeight w:val="191"/>
        </w:trPr>
        <w:tc>
          <w:tcPr>
            <w:tcW w:w="7380" w:type="dxa"/>
            <w:vAlign w:val="bottom"/>
          </w:tcPr>
          <w:p>
            <w:pPr>
              <w:ind w:left="60"/>
              <w:spacing w:after="0"/>
              <w:rPr>
                <w:sz w:val="20"/>
                <w:szCs w:val="20"/>
                <w:color w:val="auto"/>
              </w:rPr>
            </w:pPr>
            <w:r>
              <w:rPr>
                <w:rFonts w:ascii="Arial" w:cs="Arial" w:eastAsia="Arial" w:hAnsi="Arial"/>
                <w:sz w:val="16"/>
                <w:szCs w:val="16"/>
                <w:color w:val="auto"/>
              </w:rPr>
              <w:t>UAW Retiree Medical Benefits Trust, as advised by its fiduciary and investment advisor Brock</w:t>
            </w:r>
          </w:p>
        </w:tc>
        <w:tc>
          <w:tcPr>
            <w:tcW w:w="2140" w:type="dxa"/>
            <w:vAlign w:val="bottom"/>
          </w:tcPr>
          <w:p>
            <w:pPr>
              <w:jc w:val="right"/>
              <w:ind w:right="519"/>
              <w:spacing w:after="0"/>
              <w:rPr>
                <w:sz w:val="20"/>
                <w:szCs w:val="20"/>
                <w:color w:val="auto"/>
              </w:rPr>
            </w:pPr>
            <w:r>
              <w:rPr>
                <w:rFonts w:ascii="Arial" w:cs="Arial" w:eastAsia="Arial" w:hAnsi="Arial"/>
                <w:sz w:val="16"/>
                <w:szCs w:val="16"/>
                <w:color w:val="auto"/>
              </w:rPr>
              <w:t>140,150,000</w:t>
            </w:r>
          </w:p>
        </w:tc>
        <w:tc>
          <w:tcPr>
            <w:tcW w:w="1780" w:type="dxa"/>
            <w:vAlign w:val="bottom"/>
          </w:tcPr>
          <w:p>
            <w:pPr>
              <w:jc w:val="right"/>
              <w:spacing w:after="0"/>
              <w:rPr>
                <w:sz w:val="20"/>
                <w:szCs w:val="20"/>
                <w:color w:val="auto"/>
              </w:rPr>
            </w:pPr>
            <w:r>
              <w:rPr>
                <w:rFonts w:ascii="Arial" w:cs="Arial" w:eastAsia="Arial" w:hAnsi="Arial"/>
                <w:sz w:val="16"/>
                <w:szCs w:val="16"/>
                <w:color w:val="auto"/>
              </w:rPr>
              <w:t>9.1%</w:t>
            </w:r>
          </w:p>
        </w:tc>
      </w:tr>
      <w:tr>
        <w:trPr>
          <w:trHeight w:val="189"/>
        </w:trPr>
        <w:tc>
          <w:tcPr>
            <w:tcW w:w="7380" w:type="dxa"/>
            <w:vAlign w:val="bottom"/>
          </w:tcPr>
          <w:p>
            <w:pPr>
              <w:ind w:left="60"/>
              <w:spacing w:after="0"/>
              <w:rPr>
                <w:sz w:val="20"/>
                <w:szCs w:val="20"/>
                <w:color w:val="auto"/>
              </w:rPr>
            </w:pPr>
            <w:r>
              <w:rPr>
                <w:rFonts w:ascii="Arial" w:cs="Arial" w:eastAsia="Arial" w:hAnsi="Arial"/>
                <w:sz w:val="16"/>
                <w:szCs w:val="16"/>
                <w:color w:val="auto"/>
              </w:rPr>
              <w:t>Fiduciary Services LLC</w:t>
            </w:r>
          </w:p>
        </w:tc>
        <w:tc>
          <w:tcPr>
            <w:tcW w:w="214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189"/>
        </w:trPr>
        <w:tc>
          <w:tcPr>
            <w:tcW w:w="7380" w:type="dxa"/>
            <w:vAlign w:val="bottom"/>
          </w:tcPr>
          <w:p>
            <w:pPr>
              <w:ind w:left="60"/>
              <w:spacing w:after="0"/>
              <w:rPr>
                <w:sz w:val="20"/>
                <w:szCs w:val="20"/>
                <w:color w:val="auto"/>
              </w:rPr>
            </w:pPr>
            <w:r>
              <w:rPr>
                <w:rFonts w:ascii="Arial" w:cs="Arial" w:eastAsia="Arial" w:hAnsi="Arial"/>
                <w:sz w:val="16"/>
                <w:szCs w:val="16"/>
                <w:color w:val="auto"/>
              </w:rPr>
              <w:t>200 Walker Street</w:t>
            </w:r>
          </w:p>
        </w:tc>
        <w:tc>
          <w:tcPr>
            <w:tcW w:w="214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187"/>
        </w:trPr>
        <w:tc>
          <w:tcPr>
            <w:tcW w:w="738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Detroit, MI 48207</w:t>
            </w:r>
          </w:p>
        </w:tc>
        <w:tc>
          <w:tcPr>
            <w:tcW w:w="21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spacing w:after="0"/>
              <w:rPr>
                <w:sz w:val="16"/>
                <w:szCs w:val="16"/>
                <w:color w:val="auto"/>
              </w:rPr>
            </w:pPr>
          </w:p>
        </w:tc>
      </w:tr>
      <w:tr>
        <w:trPr>
          <w:trHeight w:val="184"/>
        </w:trPr>
        <w:tc>
          <w:tcPr>
            <w:tcW w:w="7380" w:type="dxa"/>
            <w:vAlign w:val="bottom"/>
          </w:tcPr>
          <w:p>
            <w:pPr>
              <w:ind w:left="60"/>
              <w:spacing w:after="0"/>
              <w:rPr>
                <w:sz w:val="20"/>
                <w:szCs w:val="20"/>
                <w:color w:val="auto"/>
              </w:rPr>
            </w:pPr>
            <w:r>
              <w:rPr>
                <w:rFonts w:ascii="Arial" w:cs="Arial" w:eastAsia="Arial" w:hAnsi="Arial"/>
                <w:sz w:val="16"/>
                <w:szCs w:val="16"/>
                <w:color w:val="auto"/>
              </w:rPr>
              <w:t>The Vanguard Group</w:t>
            </w:r>
          </w:p>
        </w:tc>
        <w:tc>
          <w:tcPr>
            <w:tcW w:w="2140" w:type="dxa"/>
            <w:vAlign w:val="bottom"/>
          </w:tcPr>
          <w:p>
            <w:pPr>
              <w:jc w:val="right"/>
              <w:ind w:right="519"/>
              <w:spacing w:after="0"/>
              <w:rPr>
                <w:sz w:val="20"/>
                <w:szCs w:val="20"/>
                <w:color w:val="auto"/>
              </w:rPr>
            </w:pPr>
            <w:r>
              <w:rPr>
                <w:rFonts w:ascii="Arial" w:cs="Arial" w:eastAsia="Arial" w:hAnsi="Arial"/>
                <w:sz w:val="16"/>
                <w:szCs w:val="16"/>
                <w:color w:val="auto"/>
              </w:rPr>
              <w:t>82,980,517</w:t>
            </w:r>
          </w:p>
        </w:tc>
        <w:tc>
          <w:tcPr>
            <w:tcW w:w="1780" w:type="dxa"/>
            <w:vAlign w:val="bottom"/>
          </w:tcPr>
          <w:p>
            <w:pPr>
              <w:jc w:val="right"/>
              <w:spacing w:after="0"/>
              <w:rPr>
                <w:sz w:val="20"/>
                <w:szCs w:val="20"/>
                <w:color w:val="auto"/>
              </w:rPr>
            </w:pPr>
            <w:r>
              <w:rPr>
                <w:rFonts w:ascii="Arial" w:cs="Arial" w:eastAsia="Arial" w:hAnsi="Arial"/>
                <w:sz w:val="16"/>
                <w:szCs w:val="16"/>
                <w:color w:val="auto"/>
              </w:rPr>
              <w:t>5.4%</w:t>
            </w:r>
          </w:p>
        </w:tc>
      </w:tr>
      <w:tr>
        <w:trPr>
          <w:trHeight w:val="189"/>
        </w:trPr>
        <w:tc>
          <w:tcPr>
            <w:tcW w:w="7380" w:type="dxa"/>
            <w:vAlign w:val="bottom"/>
          </w:tcPr>
          <w:p>
            <w:pPr>
              <w:ind w:left="60"/>
              <w:spacing w:after="0"/>
              <w:rPr>
                <w:sz w:val="20"/>
                <w:szCs w:val="20"/>
                <w:color w:val="auto"/>
              </w:rPr>
            </w:pPr>
            <w:r>
              <w:rPr>
                <w:rFonts w:ascii="Arial" w:cs="Arial" w:eastAsia="Arial" w:hAnsi="Arial"/>
                <w:sz w:val="16"/>
                <w:szCs w:val="16"/>
                <w:color w:val="auto"/>
              </w:rPr>
              <w:t>100 Vanguard Blvd.</w:t>
            </w:r>
          </w:p>
        </w:tc>
        <w:tc>
          <w:tcPr>
            <w:tcW w:w="214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187"/>
        </w:trPr>
        <w:tc>
          <w:tcPr>
            <w:tcW w:w="738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Malvern, PA 19355</w:t>
            </w:r>
          </w:p>
        </w:tc>
        <w:tc>
          <w:tcPr>
            <w:tcW w:w="21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spacing w:after="0"/>
              <w:rPr>
                <w:sz w:val="16"/>
                <w:szCs w:val="16"/>
                <w:color w:val="auto"/>
              </w:rPr>
            </w:pPr>
          </w:p>
        </w:tc>
      </w:tr>
      <w:tr>
        <w:trPr>
          <w:trHeight w:val="184"/>
        </w:trPr>
        <w:tc>
          <w:tcPr>
            <w:tcW w:w="7380" w:type="dxa"/>
            <w:vAlign w:val="bottom"/>
          </w:tcPr>
          <w:p>
            <w:pPr>
              <w:ind w:left="60"/>
              <w:spacing w:after="0"/>
              <w:rPr>
                <w:sz w:val="20"/>
                <w:szCs w:val="20"/>
                <w:color w:val="auto"/>
              </w:rPr>
            </w:pPr>
            <w:r>
              <w:rPr>
                <w:rFonts w:ascii="Arial" w:cs="Arial" w:eastAsia="Arial" w:hAnsi="Arial"/>
                <w:sz w:val="16"/>
                <w:szCs w:val="16"/>
                <w:color w:val="auto"/>
              </w:rPr>
              <w:t>Harris Associates L.P.</w:t>
            </w:r>
          </w:p>
        </w:tc>
        <w:tc>
          <w:tcPr>
            <w:tcW w:w="2140" w:type="dxa"/>
            <w:vAlign w:val="bottom"/>
          </w:tcPr>
          <w:p>
            <w:pPr>
              <w:jc w:val="right"/>
              <w:ind w:right="519"/>
              <w:spacing w:after="0"/>
              <w:rPr>
                <w:sz w:val="20"/>
                <w:szCs w:val="20"/>
                <w:color w:val="auto"/>
              </w:rPr>
            </w:pPr>
            <w:r>
              <w:rPr>
                <w:rFonts w:ascii="Arial" w:cs="Arial" w:eastAsia="Arial" w:hAnsi="Arial"/>
                <w:sz w:val="16"/>
                <w:szCs w:val="16"/>
                <w:color w:val="auto"/>
              </w:rPr>
              <w:t>81,083,512</w:t>
            </w:r>
          </w:p>
        </w:tc>
        <w:tc>
          <w:tcPr>
            <w:tcW w:w="1780" w:type="dxa"/>
            <w:vAlign w:val="bottom"/>
          </w:tcPr>
          <w:p>
            <w:pPr>
              <w:jc w:val="right"/>
              <w:spacing w:after="0"/>
              <w:rPr>
                <w:sz w:val="20"/>
                <w:szCs w:val="20"/>
                <w:color w:val="auto"/>
              </w:rPr>
            </w:pPr>
            <w:r>
              <w:rPr>
                <w:rFonts w:ascii="Arial" w:cs="Arial" w:eastAsia="Arial" w:hAnsi="Arial"/>
                <w:sz w:val="16"/>
                <w:szCs w:val="16"/>
                <w:color w:val="auto"/>
              </w:rPr>
              <w:t>5.3%</w:t>
            </w:r>
          </w:p>
        </w:tc>
      </w:tr>
      <w:tr>
        <w:trPr>
          <w:trHeight w:val="189"/>
        </w:trPr>
        <w:tc>
          <w:tcPr>
            <w:tcW w:w="7380" w:type="dxa"/>
            <w:vAlign w:val="bottom"/>
          </w:tcPr>
          <w:p>
            <w:pPr>
              <w:ind w:left="60"/>
              <w:spacing w:after="0"/>
              <w:rPr>
                <w:sz w:val="20"/>
                <w:szCs w:val="20"/>
                <w:color w:val="auto"/>
              </w:rPr>
            </w:pPr>
            <w:r>
              <w:rPr>
                <w:rFonts w:ascii="Arial" w:cs="Arial" w:eastAsia="Arial" w:hAnsi="Arial"/>
                <w:sz w:val="16"/>
                <w:szCs w:val="16"/>
                <w:color w:val="auto"/>
              </w:rPr>
              <w:t>111 S. Wacker Drive, Suite 4600</w:t>
            </w:r>
          </w:p>
        </w:tc>
        <w:tc>
          <w:tcPr>
            <w:tcW w:w="214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194"/>
        </w:trPr>
        <w:tc>
          <w:tcPr>
            <w:tcW w:w="7380" w:type="dxa"/>
            <w:vAlign w:val="bottom"/>
            <w:tcBorders>
              <w:bottom w:val="single" w:sz="8" w:color="08228B"/>
            </w:tcBorders>
          </w:tcPr>
          <w:p>
            <w:pPr>
              <w:ind w:left="60"/>
              <w:spacing w:after="0"/>
              <w:rPr>
                <w:sz w:val="20"/>
                <w:szCs w:val="20"/>
                <w:color w:val="auto"/>
              </w:rPr>
            </w:pPr>
            <w:r>
              <w:rPr>
                <w:rFonts w:ascii="Arial" w:cs="Arial" w:eastAsia="Arial" w:hAnsi="Arial"/>
                <w:sz w:val="16"/>
                <w:szCs w:val="16"/>
                <w:color w:val="auto"/>
              </w:rPr>
              <w:t>Chicago, IL 60606</w:t>
            </w:r>
          </w:p>
        </w:tc>
        <w:tc>
          <w:tcPr>
            <w:tcW w:w="2140" w:type="dxa"/>
            <w:vAlign w:val="bottom"/>
            <w:tcBorders>
              <w:bottom w:val="single" w:sz="8" w:color="08228B"/>
            </w:tcBorders>
          </w:tcPr>
          <w:p>
            <w:pPr>
              <w:spacing w:after="0"/>
              <w:rPr>
                <w:sz w:val="16"/>
                <w:szCs w:val="16"/>
                <w:color w:val="auto"/>
              </w:rPr>
            </w:pPr>
          </w:p>
        </w:tc>
        <w:tc>
          <w:tcPr>
            <w:tcW w:w="1780" w:type="dxa"/>
            <w:vAlign w:val="bottom"/>
            <w:tcBorders>
              <w:bottom w:val="single" w:sz="8" w:color="08228B"/>
            </w:tcBorders>
          </w:tcPr>
          <w:p>
            <w:pPr>
              <w:spacing w:after="0"/>
              <w:rPr>
                <w:sz w:val="16"/>
                <w:szCs w:val="16"/>
                <w:color w:val="auto"/>
              </w:rPr>
            </w:pPr>
          </w:p>
        </w:tc>
      </w:tr>
    </w:tbl>
    <w:p>
      <w:pPr>
        <w:spacing w:after="0" w:line="58" w:lineRule="exact"/>
        <w:rPr>
          <w:sz w:val="20"/>
          <w:szCs w:val="20"/>
          <w:color w:val="auto"/>
        </w:rPr>
      </w:pPr>
    </w:p>
    <w:p>
      <w:pPr>
        <w:jc w:val="both"/>
        <w:ind w:left="340" w:right="120" w:hanging="332"/>
        <w:spacing w:after="0" w:line="260" w:lineRule="auto"/>
        <w:tabs>
          <w:tab w:leader="none" w:pos="340" w:val="left"/>
        </w:tabs>
        <w:numPr>
          <w:ilvl w:val="0"/>
          <w:numId w:val="24"/>
        </w:numPr>
        <w:rPr>
          <w:rFonts w:ascii="Arial" w:cs="Arial" w:eastAsia="Arial" w:hAnsi="Arial"/>
          <w:sz w:val="14"/>
          <w:szCs w:val="14"/>
          <w:i w:val="1"/>
          <w:iCs w:val="1"/>
          <w:color w:val="auto"/>
        </w:rPr>
      </w:pPr>
      <w:r>
        <w:rPr>
          <w:rFonts w:ascii="Arial" w:cs="Arial" w:eastAsia="Arial" w:hAnsi="Arial"/>
          <w:sz w:val="14"/>
          <w:szCs w:val="14"/>
          <w:i w:val="1"/>
          <w:iCs w:val="1"/>
          <w:color w:val="auto"/>
        </w:rPr>
        <w:t>Number of shares and percentage of outstanding shares reported by each beneficial owner in filings with the SEC. The Company is permitted to rely on the information set forth in these filings and has no reason to believe that the information is incomplete or inaccurate or that the beneficial owner should have filed an amended report and did not. Each beneficial owner reported as follows:</w:t>
      </w:r>
    </w:p>
    <w:p>
      <w:pPr>
        <w:spacing w:after="0" w:line="155" w:lineRule="exact"/>
        <w:rPr>
          <w:sz w:val="20"/>
          <w:szCs w:val="20"/>
          <w:color w:val="auto"/>
        </w:rPr>
      </w:pPr>
    </w:p>
    <w:tbl>
      <w:tblPr>
        <w:tblLayout w:type="fixed"/>
        <w:tblInd w:w="340" w:type="dxa"/>
        <w:tblCellMar>
          <w:top w:w="0" w:type="dxa"/>
          <w:left w:w="0" w:type="dxa"/>
          <w:bottom w:w="0" w:type="dxa"/>
          <w:right w:w="0" w:type="dxa"/>
        </w:tblCellMar>
      </w:tblPr>
      <w:tr>
        <w:trPr>
          <w:trHeight w:val="211"/>
        </w:trPr>
        <w:tc>
          <w:tcPr>
            <w:tcW w:w="3020" w:type="dxa"/>
            <w:vAlign w:val="bottom"/>
            <w:tcBorders>
              <w:top w:val="single" w:sz="8" w:color="1C90D3"/>
            </w:tcBorders>
          </w:tcPr>
          <w:p>
            <w:pPr>
              <w:spacing w:after="0"/>
              <w:rPr>
                <w:sz w:val="18"/>
                <w:szCs w:val="18"/>
                <w:color w:val="auto"/>
              </w:rPr>
            </w:pPr>
          </w:p>
        </w:tc>
        <w:tc>
          <w:tcPr>
            <w:tcW w:w="2000" w:type="dxa"/>
            <w:vAlign w:val="bottom"/>
            <w:tcBorders>
              <w:top w:val="single" w:sz="8" w:color="1C90D3"/>
            </w:tcBorders>
          </w:tcPr>
          <w:p>
            <w:pPr>
              <w:spacing w:after="0"/>
              <w:rPr>
                <w:sz w:val="18"/>
                <w:szCs w:val="18"/>
                <w:color w:val="auto"/>
              </w:rPr>
            </w:pPr>
          </w:p>
        </w:tc>
        <w:tc>
          <w:tcPr>
            <w:tcW w:w="2260" w:type="dxa"/>
            <w:vAlign w:val="bottom"/>
            <w:tcBorders>
              <w:top w:val="single" w:sz="8" w:color="1C90D3"/>
            </w:tcBorders>
          </w:tcPr>
          <w:p>
            <w:pPr>
              <w:spacing w:after="0"/>
              <w:rPr>
                <w:sz w:val="18"/>
                <w:szCs w:val="18"/>
                <w:color w:val="auto"/>
              </w:rPr>
            </w:pPr>
          </w:p>
        </w:tc>
        <w:tc>
          <w:tcPr>
            <w:tcW w:w="1840" w:type="dxa"/>
            <w:vAlign w:val="bottom"/>
            <w:tcBorders>
              <w:top w:val="single" w:sz="8" w:color="1C90D3"/>
            </w:tcBorders>
          </w:tcPr>
          <w:p>
            <w:pPr>
              <w:jc w:val="right"/>
              <w:ind w:right="159"/>
              <w:spacing w:after="0"/>
              <w:rPr>
                <w:sz w:val="20"/>
                <w:szCs w:val="20"/>
                <w:color w:val="auto"/>
              </w:rPr>
            </w:pPr>
            <w:r>
              <w:rPr>
                <w:rFonts w:ascii="Arial" w:cs="Arial" w:eastAsia="Arial" w:hAnsi="Arial"/>
                <w:sz w:val="16"/>
                <w:szCs w:val="16"/>
                <w:b w:val="1"/>
                <w:bCs w:val="1"/>
                <w:color w:val="1C90D3"/>
              </w:rPr>
              <w:t>Sole Dispositive</w:t>
            </w:r>
          </w:p>
        </w:tc>
        <w:tc>
          <w:tcPr>
            <w:tcW w:w="1820" w:type="dxa"/>
            <w:vAlign w:val="bottom"/>
            <w:tcBorders>
              <w:top w:val="single" w:sz="8" w:color="1C90D3"/>
            </w:tcBorders>
          </w:tcPr>
          <w:p>
            <w:pPr>
              <w:jc w:val="right"/>
              <w:ind w:right="19"/>
              <w:spacing w:after="0"/>
              <w:rPr>
                <w:sz w:val="20"/>
                <w:szCs w:val="20"/>
                <w:color w:val="auto"/>
              </w:rPr>
            </w:pPr>
            <w:r>
              <w:rPr>
                <w:rFonts w:ascii="Arial" w:cs="Arial" w:eastAsia="Arial" w:hAnsi="Arial"/>
                <w:sz w:val="16"/>
                <w:szCs w:val="16"/>
                <w:b w:val="1"/>
                <w:bCs w:val="1"/>
                <w:color w:val="1C90D3"/>
              </w:rPr>
              <w:t>Shared Dispositive</w:t>
            </w:r>
          </w:p>
        </w:tc>
      </w:tr>
      <w:tr>
        <w:trPr>
          <w:trHeight w:val="214"/>
        </w:trPr>
        <w:tc>
          <w:tcPr>
            <w:tcW w:w="3020" w:type="dxa"/>
            <w:vAlign w:val="bottom"/>
            <w:tcBorders>
              <w:bottom w:val="single" w:sz="8" w:color="1C90D3"/>
            </w:tcBorders>
          </w:tcPr>
          <w:p>
            <w:pPr>
              <w:ind w:left="40"/>
              <w:spacing w:after="0"/>
              <w:rPr>
                <w:sz w:val="20"/>
                <w:szCs w:val="20"/>
                <w:color w:val="auto"/>
              </w:rPr>
            </w:pPr>
            <w:r>
              <w:rPr>
                <w:rFonts w:ascii="Arial" w:cs="Arial" w:eastAsia="Arial" w:hAnsi="Arial"/>
                <w:sz w:val="16"/>
                <w:szCs w:val="16"/>
                <w:b w:val="1"/>
                <w:bCs w:val="1"/>
                <w:color w:val="1C90D3"/>
              </w:rPr>
              <w:t>Entity/ Filing</w:t>
            </w:r>
          </w:p>
        </w:tc>
        <w:tc>
          <w:tcPr>
            <w:tcW w:w="2000" w:type="dxa"/>
            <w:vAlign w:val="bottom"/>
            <w:tcBorders>
              <w:bottom w:val="single" w:sz="8" w:color="1C90D3"/>
            </w:tcBorders>
          </w:tcPr>
          <w:p>
            <w:pPr>
              <w:jc w:val="right"/>
              <w:ind w:right="199"/>
              <w:spacing w:after="0"/>
              <w:rPr>
                <w:sz w:val="20"/>
                <w:szCs w:val="20"/>
                <w:color w:val="auto"/>
              </w:rPr>
            </w:pPr>
            <w:r>
              <w:rPr>
                <w:rFonts w:ascii="Arial" w:cs="Arial" w:eastAsia="Arial" w:hAnsi="Arial"/>
                <w:sz w:val="16"/>
                <w:szCs w:val="16"/>
                <w:b w:val="1"/>
                <w:bCs w:val="1"/>
                <w:color w:val="1C90D3"/>
              </w:rPr>
              <w:t>Sole Voting Power</w:t>
            </w:r>
          </w:p>
        </w:tc>
        <w:tc>
          <w:tcPr>
            <w:tcW w:w="2260" w:type="dxa"/>
            <w:vAlign w:val="bottom"/>
            <w:tcBorders>
              <w:bottom w:val="single" w:sz="8" w:color="1C90D3"/>
            </w:tcBorders>
          </w:tcPr>
          <w:p>
            <w:pPr>
              <w:jc w:val="right"/>
              <w:ind w:right="279"/>
              <w:spacing w:after="0"/>
              <w:rPr>
                <w:sz w:val="20"/>
                <w:szCs w:val="20"/>
                <w:color w:val="auto"/>
              </w:rPr>
            </w:pPr>
            <w:r>
              <w:rPr>
                <w:rFonts w:ascii="Arial" w:cs="Arial" w:eastAsia="Arial" w:hAnsi="Arial"/>
                <w:sz w:val="16"/>
                <w:szCs w:val="16"/>
                <w:b w:val="1"/>
                <w:bCs w:val="1"/>
                <w:color w:val="1C90D3"/>
              </w:rPr>
              <w:t>Shared Voting Power</w:t>
            </w:r>
          </w:p>
        </w:tc>
        <w:tc>
          <w:tcPr>
            <w:tcW w:w="1840" w:type="dxa"/>
            <w:vAlign w:val="bottom"/>
            <w:tcBorders>
              <w:bottom w:val="single" w:sz="8" w:color="1C90D3"/>
            </w:tcBorders>
          </w:tcPr>
          <w:p>
            <w:pPr>
              <w:jc w:val="right"/>
              <w:ind w:right="159"/>
              <w:spacing w:after="0"/>
              <w:rPr>
                <w:sz w:val="20"/>
                <w:szCs w:val="20"/>
                <w:color w:val="auto"/>
              </w:rPr>
            </w:pPr>
            <w:r>
              <w:rPr>
                <w:rFonts w:ascii="Arial" w:cs="Arial" w:eastAsia="Arial" w:hAnsi="Arial"/>
                <w:sz w:val="16"/>
                <w:szCs w:val="16"/>
                <w:b w:val="1"/>
                <w:bCs w:val="1"/>
                <w:color w:val="1C90D3"/>
              </w:rPr>
              <w:t>Power</w:t>
            </w:r>
          </w:p>
        </w:tc>
        <w:tc>
          <w:tcPr>
            <w:tcW w:w="1820" w:type="dxa"/>
            <w:vAlign w:val="bottom"/>
            <w:tcBorders>
              <w:bottom w:val="single" w:sz="8" w:color="1C90D3"/>
            </w:tcBorders>
          </w:tcPr>
          <w:p>
            <w:pPr>
              <w:jc w:val="right"/>
              <w:ind w:right="19"/>
              <w:spacing w:after="0"/>
              <w:rPr>
                <w:sz w:val="20"/>
                <w:szCs w:val="20"/>
                <w:color w:val="auto"/>
              </w:rPr>
            </w:pPr>
            <w:r>
              <w:rPr>
                <w:rFonts w:ascii="Arial" w:cs="Arial" w:eastAsia="Arial" w:hAnsi="Arial"/>
                <w:sz w:val="16"/>
                <w:szCs w:val="16"/>
                <w:b w:val="1"/>
                <w:bCs w:val="1"/>
                <w:color w:val="1C90D3"/>
              </w:rPr>
              <w:t>Power</w:t>
            </w:r>
          </w:p>
        </w:tc>
      </w:tr>
      <w:tr>
        <w:trPr>
          <w:trHeight w:val="191"/>
        </w:trPr>
        <w:tc>
          <w:tcPr>
            <w:tcW w:w="3020" w:type="dxa"/>
            <w:vAlign w:val="bottom"/>
          </w:tcPr>
          <w:p>
            <w:pPr>
              <w:ind w:left="40"/>
              <w:spacing w:after="0"/>
              <w:rPr>
                <w:sz w:val="20"/>
                <w:szCs w:val="20"/>
                <w:color w:val="auto"/>
              </w:rPr>
            </w:pPr>
            <w:r>
              <w:rPr>
                <w:rFonts w:ascii="Arial" w:cs="Arial" w:eastAsia="Arial" w:hAnsi="Arial"/>
                <w:sz w:val="16"/>
                <w:szCs w:val="16"/>
                <w:color w:val="auto"/>
              </w:rPr>
              <w:t>UAW Retiree Medical Benefits Trust</w:t>
            </w:r>
          </w:p>
        </w:tc>
        <w:tc>
          <w:tcPr>
            <w:tcW w:w="20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2260" w:type="dxa"/>
            <w:vAlign w:val="bottom"/>
          </w:tcPr>
          <w:p>
            <w:pPr>
              <w:jc w:val="right"/>
              <w:ind w:right="279"/>
              <w:spacing w:after="0"/>
              <w:rPr>
                <w:sz w:val="20"/>
                <w:szCs w:val="20"/>
                <w:color w:val="auto"/>
              </w:rPr>
            </w:pPr>
            <w:r>
              <w:rPr>
                <w:rFonts w:ascii="Arial" w:cs="Arial" w:eastAsia="Arial" w:hAnsi="Arial"/>
                <w:sz w:val="16"/>
                <w:szCs w:val="16"/>
                <w:color w:val="auto"/>
              </w:rPr>
              <w:t>140,150,000</w:t>
            </w:r>
          </w:p>
        </w:tc>
        <w:tc>
          <w:tcPr>
            <w:tcW w:w="18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140,150,000</w:t>
            </w:r>
          </w:p>
        </w:tc>
      </w:tr>
      <w:tr>
        <w:trPr>
          <w:trHeight w:val="187"/>
        </w:trPr>
        <w:tc>
          <w:tcPr>
            <w:tcW w:w="30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(Sch. 13G, filed Feb. 11, 2014)</w:t>
            </w:r>
          </w:p>
        </w:tc>
        <w:tc>
          <w:tcPr>
            <w:tcW w:w="200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spacing w:after="0"/>
              <w:rPr>
                <w:sz w:val="16"/>
                <w:szCs w:val="16"/>
                <w:color w:val="auto"/>
              </w:rPr>
            </w:pPr>
          </w:p>
        </w:tc>
      </w:tr>
      <w:tr>
        <w:trPr>
          <w:trHeight w:val="184"/>
        </w:trPr>
        <w:tc>
          <w:tcPr>
            <w:tcW w:w="3020" w:type="dxa"/>
            <w:vAlign w:val="bottom"/>
          </w:tcPr>
          <w:p>
            <w:pPr>
              <w:ind w:left="40"/>
              <w:spacing w:after="0"/>
              <w:rPr>
                <w:sz w:val="20"/>
                <w:szCs w:val="20"/>
                <w:color w:val="auto"/>
              </w:rPr>
            </w:pPr>
            <w:r>
              <w:rPr>
                <w:rFonts w:ascii="Arial" w:cs="Arial" w:eastAsia="Arial" w:hAnsi="Arial"/>
                <w:sz w:val="16"/>
                <w:szCs w:val="16"/>
                <w:color w:val="auto"/>
              </w:rPr>
              <w:t>The Vanguard Group (Sch. 13G, filed</w:t>
            </w:r>
          </w:p>
        </w:tc>
        <w:tc>
          <w:tcPr>
            <w:tcW w:w="2000" w:type="dxa"/>
            <w:vAlign w:val="bottom"/>
          </w:tcPr>
          <w:p>
            <w:pPr>
              <w:jc w:val="right"/>
              <w:ind w:right="199"/>
              <w:spacing w:after="0"/>
              <w:rPr>
                <w:sz w:val="20"/>
                <w:szCs w:val="20"/>
                <w:color w:val="auto"/>
              </w:rPr>
            </w:pPr>
            <w:r>
              <w:rPr>
                <w:rFonts w:ascii="Arial" w:cs="Arial" w:eastAsia="Arial" w:hAnsi="Arial"/>
                <w:sz w:val="16"/>
                <w:szCs w:val="16"/>
                <w:color w:val="auto"/>
              </w:rPr>
              <w:t>2,652,087</w:t>
            </w:r>
          </w:p>
        </w:tc>
        <w:tc>
          <w:tcPr>
            <w:tcW w:w="2260" w:type="dxa"/>
            <w:vAlign w:val="bottom"/>
          </w:tcPr>
          <w:p>
            <w:pPr>
              <w:jc w:val="right"/>
              <w:ind w:right="279"/>
              <w:spacing w:after="0"/>
              <w:rPr>
                <w:sz w:val="20"/>
                <w:szCs w:val="20"/>
                <w:color w:val="auto"/>
              </w:rPr>
            </w:pPr>
            <w:r>
              <w:rPr>
                <w:rFonts w:ascii="Arial" w:cs="Arial" w:eastAsia="Arial" w:hAnsi="Arial"/>
                <w:sz w:val="16"/>
                <w:szCs w:val="16"/>
                <w:color w:val="auto"/>
              </w:rPr>
              <w:t>143,100</w:t>
            </w:r>
          </w:p>
        </w:tc>
        <w:tc>
          <w:tcPr>
            <w:tcW w:w="1840" w:type="dxa"/>
            <w:vAlign w:val="bottom"/>
          </w:tcPr>
          <w:p>
            <w:pPr>
              <w:jc w:val="right"/>
              <w:ind w:right="159"/>
              <w:spacing w:after="0"/>
              <w:rPr>
                <w:sz w:val="20"/>
                <w:szCs w:val="20"/>
                <w:color w:val="auto"/>
              </w:rPr>
            </w:pPr>
            <w:r>
              <w:rPr>
                <w:rFonts w:ascii="Arial" w:cs="Arial" w:eastAsia="Arial" w:hAnsi="Arial"/>
                <w:sz w:val="16"/>
                <w:szCs w:val="16"/>
                <w:color w:val="auto"/>
              </w:rPr>
              <w:t>80,200,015</w:t>
            </w: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2,780,502</w:t>
            </w:r>
          </w:p>
        </w:tc>
      </w:tr>
      <w:tr>
        <w:trPr>
          <w:trHeight w:val="187"/>
        </w:trPr>
        <w:tc>
          <w:tcPr>
            <w:tcW w:w="30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Feb. 10, 2016)</w:t>
            </w:r>
          </w:p>
        </w:tc>
        <w:tc>
          <w:tcPr>
            <w:tcW w:w="200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spacing w:after="0"/>
              <w:rPr>
                <w:sz w:val="16"/>
                <w:szCs w:val="16"/>
                <w:color w:val="auto"/>
              </w:rPr>
            </w:pPr>
          </w:p>
        </w:tc>
      </w:tr>
      <w:tr>
        <w:trPr>
          <w:trHeight w:val="184"/>
        </w:trPr>
        <w:tc>
          <w:tcPr>
            <w:tcW w:w="3020" w:type="dxa"/>
            <w:vAlign w:val="bottom"/>
          </w:tcPr>
          <w:p>
            <w:pPr>
              <w:ind w:left="40"/>
              <w:spacing w:after="0"/>
              <w:rPr>
                <w:sz w:val="20"/>
                <w:szCs w:val="20"/>
                <w:color w:val="auto"/>
              </w:rPr>
            </w:pPr>
            <w:r>
              <w:rPr>
                <w:rFonts w:ascii="Arial" w:cs="Arial" w:eastAsia="Arial" w:hAnsi="Arial"/>
                <w:sz w:val="16"/>
                <w:szCs w:val="16"/>
                <w:color w:val="auto"/>
              </w:rPr>
              <w:t>Harris Associates L.P. (Sch. 13G,</w:t>
            </w:r>
          </w:p>
        </w:tc>
        <w:tc>
          <w:tcPr>
            <w:tcW w:w="2000" w:type="dxa"/>
            <w:vAlign w:val="bottom"/>
          </w:tcPr>
          <w:p>
            <w:pPr>
              <w:jc w:val="right"/>
              <w:ind w:right="199"/>
              <w:spacing w:after="0"/>
              <w:rPr>
                <w:sz w:val="20"/>
                <w:szCs w:val="20"/>
                <w:color w:val="auto"/>
              </w:rPr>
            </w:pPr>
            <w:r>
              <w:rPr>
                <w:rFonts w:ascii="Arial" w:cs="Arial" w:eastAsia="Arial" w:hAnsi="Arial"/>
                <w:sz w:val="16"/>
                <w:szCs w:val="16"/>
                <w:color w:val="auto"/>
              </w:rPr>
              <w:t>70,226,598</w:t>
            </w:r>
          </w:p>
        </w:tc>
        <w:tc>
          <w:tcPr>
            <w:tcW w:w="226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840" w:type="dxa"/>
            <w:vAlign w:val="bottom"/>
          </w:tcPr>
          <w:p>
            <w:pPr>
              <w:jc w:val="right"/>
              <w:ind w:right="159"/>
              <w:spacing w:after="0"/>
              <w:rPr>
                <w:sz w:val="20"/>
                <w:szCs w:val="20"/>
                <w:color w:val="auto"/>
              </w:rPr>
            </w:pPr>
            <w:r>
              <w:rPr>
                <w:rFonts w:ascii="Arial" w:cs="Arial" w:eastAsia="Arial" w:hAnsi="Arial"/>
                <w:sz w:val="16"/>
                <w:szCs w:val="16"/>
                <w:color w:val="auto"/>
              </w:rPr>
              <w:t>70,226,598</w:t>
            </w: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187"/>
        </w:trPr>
        <w:tc>
          <w:tcPr>
            <w:tcW w:w="30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filed Feb. 10, 2016)</w:t>
            </w:r>
          </w:p>
        </w:tc>
        <w:tc>
          <w:tcPr>
            <w:tcW w:w="200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spacing w:after="0"/>
              <w:rPr>
                <w:sz w:val="16"/>
                <w:szCs w:val="16"/>
                <w:color w:val="auto"/>
              </w:rPr>
            </w:pPr>
          </w:p>
        </w:tc>
      </w:tr>
    </w:tbl>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32"/>
          <w:szCs w:val="32"/>
          <w:color w:val="1C90D3"/>
        </w:rPr>
        <w:t>Stockholders Agreement</w:t>
      </w:r>
    </w:p>
    <w:p>
      <w:pPr>
        <w:spacing w:after="0" w:line="31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Pursuant to the Stockholders Agreement dated October 15, 2009, between the Company and the UAW Retiree Medical Benefits Trust (the “VEBA Trust”), the VEBA Trust will vote its shares of our common stock on each matter presented to the shareholders at the Annual Meeting in the same proportionate manner as the holders of our common stock other than our directors and executive officers. The VEBA Trust will be subject to the terms of the Stockholders Agreement until it beneficially owns less than 2 percent of the shares of our common stock then issued and outstanding.</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32"/>
          <w:szCs w:val="32"/>
          <w:color w:val="1C90D3"/>
        </w:rPr>
        <w:t>Section 16(a) Beneficial Ownership Reporting Compliance</w:t>
      </w:r>
    </w:p>
    <w:p>
      <w:pPr>
        <w:spacing w:after="0" w:line="31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Federal securities laws require that our directors and executive officers and shareholders that own more than 10 percent of our common stock report to the SEC and the Company certain changes in ownership and ownership information within specified periods. As a matter of practice, the Company’s administrative staff assists our directors and executive officers in preparing initial reports of ownership and reports of changes in ownership and files those reports on their behalf. Based solely on the reports received by us or filed with the SEC and upon information furnished by these people, we believe that all such persons complied with all applicable filing requirements during 2015 with one exception. In May 2015, Mr. Mulva made a filing on Form 4 to report an open market acquisition of shares of common stock. Mr. Mulva timely reported the acquisition to the Company; however, due to an administrative error by the Company, the filing was late.</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13"/>
        </w:trPr>
        <w:tc>
          <w:tcPr>
            <w:tcW w:w="4340" w:type="dxa"/>
            <w:vAlign w:val="bottom"/>
            <w:tcBorders>
              <w:bottom w:val="single" w:sz="8" w:color="08228B"/>
            </w:tcBorders>
          </w:tcPr>
          <w:p>
            <w:pPr>
              <w:spacing w:after="0"/>
              <w:rPr>
                <w:sz w:val="9"/>
                <w:szCs w:val="9"/>
                <w:color w:val="auto"/>
              </w:rPr>
            </w:pPr>
          </w:p>
        </w:tc>
        <w:tc>
          <w:tcPr>
            <w:tcW w:w="2060" w:type="dxa"/>
            <w:vAlign w:val="bottom"/>
            <w:vMerge w:val="restart"/>
          </w:tcPr>
          <w:p>
            <w:pPr>
              <w:ind w:left="60"/>
              <w:spacing w:after="0"/>
              <w:rPr>
                <w:sz w:val="20"/>
                <w:szCs w:val="20"/>
                <w:color w:val="auto"/>
              </w:rPr>
            </w:pPr>
            <w:r>
              <w:rPr>
                <w:rFonts w:ascii="Arial" w:cs="Arial" w:eastAsia="Arial" w:hAnsi="Arial"/>
                <w:sz w:val="16"/>
                <w:szCs w:val="16"/>
                <w:b w:val="1"/>
                <w:bCs w:val="1"/>
                <w:color w:val="1C90D3"/>
              </w:rPr>
              <w:t xml:space="preserve">2016 </w:t>
            </w:r>
            <w:r>
              <w:rPr>
                <w:rFonts w:ascii="Arial" w:cs="Arial" w:eastAsia="Arial" w:hAnsi="Arial"/>
                <w:sz w:val="16"/>
                <w:szCs w:val="16"/>
                <w:color w:val="08228B"/>
              </w:rPr>
              <w:t>PROXY STATEMENT</w:t>
            </w:r>
          </w:p>
        </w:tc>
        <w:tc>
          <w:tcPr>
            <w:tcW w:w="2400" w:type="dxa"/>
            <w:vAlign w:val="bottom"/>
            <w:tcBorders>
              <w:bottom w:val="single" w:sz="8" w:color="08228B"/>
            </w:tcBorders>
          </w:tcPr>
          <w:p>
            <w:pPr>
              <w:spacing w:after="0"/>
              <w:rPr>
                <w:sz w:val="9"/>
                <w:szCs w:val="9"/>
                <w:color w:val="auto"/>
              </w:rPr>
            </w:pPr>
          </w:p>
        </w:tc>
        <w:tc>
          <w:tcPr>
            <w:tcW w:w="2620" w:type="dxa"/>
            <w:vAlign w:val="bottom"/>
            <w:vMerge w:val="restart"/>
          </w:tcPr>
          <w:p>
            <w:pPr>
              <w:jc w:val="right"/>
              <w:ind w:right="39"/>
              <w:spacing w:after="0"/>
              <w:rPr>
                <w:sz w:val="20"/>
                <w:szCs w:val="20"/>
                <w:color w:val="auto"/>
              </w:rPr>
            </w:pPr>
            <w:r>
              <w:rPr>
                <w:rFonts w:ascii="Arial" w:cs="Arial" w:eastAsia="Arial" w:hAnsi="Arial"/>
                <w:sz w:val="16"/>
                <w:szCs w:val="16"/>
                <w:color w:val="08228B"/>
              </w:rPr>
              <w:t>34</w:t>
            </w:r>
          </w:p>
        </w:tc>
        <w:tc>
          <w:tcPr>
            <w:tcW w:w="0" w:type="dxa"/>
            <w:vAlign w:val="bottom"/>
          </w:tcPr>
          <w:p>
            <w:pPr>
              <w:spacing w:after="0"/>
              <w:rPr>
                <w:sz w:val="1"/>
                <w:szCs w:val="1"/>
                <w:color w:val="auto"/>
              </w:rPr>
            </w:pPr>
          </w:p>
        </w:tc>
      </w:tr>
      <w:tr>
        <w:trPr>
          <w:trHeight w:val="82"/>
        </w:trPr>
        <w:tc>
          <w:tcPr>
            <w:tcW w:w="4340" w:type="dxa"/>
            <w:vAlign w:val="bottom"/>
          </w:tcPr>
          <w:p>
            <w:pPr>
              <w:spacing w:after="0"/>
              <w:rPr>
                <w:sz w:val="7"/>
                <w:szCs w:val="7"/>
                <w:color w:val="auto"/>
              </w:rPr>
            </w:pPr>
          </w:p>
        </w:tc>
        <w:tc>
          <w:tcPr>
            <w:tcW w:w="2060" w:type="dxa"/>
            <w:vAlign w:val="bottom"/>
            <w:vMerge w:val="continue"/>
          </w:tcPr>
          <w:p>
            <w:pPr>
              <w:spacing w:after="0"/>
              <w:rPr>
                <w:sz w:val="7"/>
                <w:szCs w:val="7"/>
                <w:color w:val="auto"/>
              </w:rPr>
            </w:pPr>
          </w:p>
        </w:tc>
        <w:tc>
          <w:tcPr>
            <w:tcW w:w="2400" w:type="dxa"/>
            <w:vAlign w:val="bottom"/>
          </w:tcPr>
          <w:p>
            <w:pPr>
              <w:spacing w:after="0"/>
              <w:rPr>
                <w:sz w:val="7"/>
                <w:szCs w:val="7"/>
                <w:color w:val="auto"/>
              </w:rPr>
            </w:pPr>
          </w:p>
        </w:tc>
        <w:tc>
          <w:tcPr>
            <w:tcW w:w="2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7"/>
        </w:trPr>
        <w:tc>
          <w:tcPr>
            <w:tcW w:w="4340" w:type="dxa"/>
            <w:vAlign w:val="bottom"/>
            <w:tcBorders>
              <w:bottom w:val="single" w:sz="8" w:color="C0C0C0"/>
            </w:tcBorders>
          </w:tcPr>
          <w:p>
            <w:pPr>
              <w:spacing w:after="0"/>
              <w:rPr>
                <w:sz w:val="24"/>
                <w:szCs w:val="24"/>
                <w:color w:val="auto"/>
              </w:rPr>
            </w:pPr>
          </w:p>
        </w:tc>
        <w:tc>
          <w:tcPr>
            <w:tcW w:w="2060" w:type="dxa"/>
            <w:vAlign w:val="bottom"/>
            <w:tcBorders>
              <w:bottom w:val="single" w:sz="8" w:color="C0C0C0"/>
            </w:tcBorders>
          </w:tcPr>
          <w:p>
            <w:pPr>
              <w:spacing w:after="0"/>
              <w:rPr>
                <w:sz w:val="24"/>
                <w:szCs w:val="24"/>
                <w:color w:val="auto"/>
              </w:rPr>
            </w:pPr>
          </w:p>
        </w:tc>
        <w:tc>
          <w:tcPr>
            <w:tcW w:w="2400" w:type="dxa"/>
            <w:vAlign w:val="bottom"/>
            <w:tcBorders>
              <w:bottom w:val="single" w:sz="8" w:color="C0C0C0"/>
            </w:tcBorders>
          </w:tcPr>
          <w:p>
            <w:pPr>
              <w:spacing w:after="0"/>
              <w:rPr>
                <w:sz w:val="24"/>
                <w:szCs w:val="24"/>
                <w:color w:val="auto"/>
              </w:rPr>
            </w:pPr>
          </w:p>
        </w:tc>
        <w:tc>
          <w:tcPr>
            <w:tcW w:w="262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5613400</wp:posOffset>
            </wp:positionH>
            <wp:positionV relativeFrom="paragraph">
              <wp:posOffset>-334010</wp:posOffset>
            </wp:positionV>
            <wp:extent cx="1286510" cy="8572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1286510" cy="8572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Back to Contents</w:t>
        </w:r>
      </w:hyperlink>
    </w:p>
    <w:p>
      <w:pPr>
        <w:spacing w:after="0" w:line="200" w:lineRule="exact"/>
        <w:rPr>
          <w:sz w:val="20"/>
          <w:szCs w:val="20"/>
          <w:color w:val="auto"/>
        </w:rPr>
      </w:pPr>
    </w:p>
    <w:p>
      <w:pPr>
        <w:spacing w:after="0"/>
        <w:rPr>
          <w:sz w:val="20"/>
          <w:szCs w:val="20"/>
          <w:color w:val="auto"/>
        </w:rPr>
      </w:pPr>
      <w:r>
        <w:rPr>
          <w:rFonts w:ascii="Arial" w:cs="Arial" w:eastAsia="Arial" w:hAnsi="Arial"/>
          <w:sz w:val="40"/>
          <w:szCs w:val="40"/>
          <w:color w:val="08228B"/>
        </w:rPr>
        <w:t>EXECUTIVE COMPENSATION</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32"/>
          <w:szCs w:val="32"/>
          <w:color w:val="1C90D3"/>
        </w:rPr>
        <w:t>Compensation Discussion and Analysis (CD&amp;A)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1080770" cy="26606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1080770" cy="266065"/>
                    </a:xfrm>
                    <a:prstGeom prst="rect">
                      <a:avLst/>
                    </a:prstGeom>
                    <a:noFill/>
                  </pic:spPr>
                </pic:pic>
              </a:graphicData>
            </a:graphic>
          </wp:anchor>
        </w:drawing>
      </w:r>
    </w:p>
    <w:p>
      <w:pPr>
        <w:spacing w:after="0" w:line="265"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1085850</wp:posOffset>
            </wp:positionH>
            <wp:positionV relativeFrom="paragraph">
              <wp:posOffset>-44450</wp:posOffset>
            </wp:positionV>
            <wp:extent cx="6089015" cy="88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6089015" cy="8890"/>
                    </a:xfrm>
                    <a:prstGeom prst="rect">
                      <a:avLst/>
                    </a:prstGeom>
                    <a:noFill/>
                  </pic:spPr>
                </pic:pic>
              </a:graphicData>
            </a:graphic>
          </wp:anchor>
        </w:drawing>
      </w:r>
    </w:p>
    <w:p>
      <w:pPr>
        <w:spacing w:after="0" w:line="295" w:lineRule="exact"/>
        <w:rPr>
          <w:sz w:val="20"/>
          <w:szCs w:val="20"/>
          <w:color w:val="auto"/>
        </w:rPr>
      </w:pPr>
    </w:p>
    <w:p>
      <w:pPr>
        <w:spacing w:after="0"/>
        <w:rPr>
          <w:rFonts w:ascii="Arial" w:cs="Arial" w:eastAsia="Arial" w:hAnsi="Arial"/>
          <w:sz w:val="22"/>
          <w:szCs w:val="22"/>
          <w:b w:val="1"/>
          <w:bCs w:val="1"/>
          <w:color w:val="08228B"/>
        </w:rPr>
      </w:pPr>
      <w:hyperlink w:anchor="page39">
        <w:r>
          <w:rPr>
            <w:rFonts w:ascii="Arial" w:cs="Arial" w:eastAsia="Arial" w:hAnsi="Arial"/>
            <w:sz w:val="22"/>
            <w:szCs w:val="22"/>
            <w:b w:val="1"/>
            <w:bCs w:val="1"/>
            <w:color w:val="08228B"/>
          </w:rPr>
          <w:t>Compensation Discussion and Analysis</w:t>
        </w:r>
      </w:hyperlink>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400" w:type="dxa"/>
            <w:vAlign w:val="bottom"/>
            <w:gridSpan w:val="3"/>
          </w:tcPr>
          <w:p>
            <w:pPr>
              <w:spacing w:after="0"/>
              <w:rPr>
                <w:rFonts w:ascii="Arial" w:cs="Arial" w:eastAsia="Arial" w:hAnsi="Arial"/>
                <w:sz w:val="16"/>
                <w:szCs w:val="16"/>
                <w:color w:val="auto"/>
              </w:rPr>
            </w:pPr>
            <w:hyperlink w:anchor="page40">
              <w:r>
                <w:rPr>
                  <w:rFonts w:ascii="Arial" w:cs="Arial" w:eastAsia="Arial" w:hAnsi="Arial"/>
                  <w:sz w:val="16"/>
                  <w:szCs w:val="16"/>
                  <w:color w:val="auto"/>
                </w:rPr>
                <w:t>Compensation Overview</w:t>
              </w:r>
            </w:hyperlink>
          </w:p>
        </w:tc>
        <w:tc>
          <w:tcPr>
            <w:tcW w:w="5020" w:type="dxa"/>
            <w:vAlign w:val="bottom"/>
            <w:gridSpan w:val="2"/>
          </w:tcPr>
          <w:p>
            <w:pPr>
              <w:jc w:val="right"/>
              <w:ind w:right="39"/>
              <w:spacing w:after="0"/>
              <w:rPr>
                <w:rFonts w:ascii="Arial" w:cs="Arial" w:eastAsia="Arial" w:hAnsi="Arial"/>
                <w:sz w:val="16"/>
                <w:szCs w:val="16"/>
                <w:color w:val="auto"/>
              </w:rPr>
            </w:pPr>
            <w:hyperlink w:anchor="page40">
              <w:r>
                <w:rPr>
                  <w:rFonts w:ascii="Arial" w:cs="Arial" w:eastAsia="Arial" w:hAnsi="Arial"/>
                  <w:sz w:val="16"/>
                  <w:szCs w:val="16"/>
                  <w:color w:val="auto"/>
                </w:rPr>
                <w:t>36</w:t>
              </w:r>
            </w:hyperlink>
          </w:p>
        </w:tc>
        <w:tc>
          <w:tcPr>
            <w:tcW w:w="0" w:type="dxa"/>
            <w:vAlign w:val="bottom"/>
          </w:tcPr>
          <w:p>
            <w:pPr>
              <w:spacing w:after="0"/>
              <w:rPr>
                <w:sz w:val="1"/>
                <w:szCs w:val="1"/>
                <w:color w:val="auto"/>
              </w:rPr>
            </w:pPr>
          </w:p>
        </w:tc>
      </w:tr>
      <w:tr>
        <w:trPr>
          <w:trHeight w:val="189"/>
        </w:trPr>
        <w:tc>
          <w:tcPr>
            <w:tcW w:w="6400" w:type="dxa"/>
            <w:vAlign w:val="bottom"/>
            <w:gridSpan w:val="3"/>
          </w:tcPr>
          <w:p>
            <w:pPr>
              <w:spacing w:after="0"/>
              <w:rPr>
                <w:rFonts w:ascii="Arial" w:cs="Arial" w:eastAsia="Arial" w:hAnsi="Arial"/>
                <w:sz w:val="16"/>
                <w:szCs w:val="16"/>
                <w:color w:val="auto"/>
              </w:rPr>
            </w:pPr>
            <w:hyperlink w:anchor="page45">
              <w:r>
                <w:rPr>
                  <w:rFonts w:ascii="Arial" w:cs="Arial" w:eastAsia="Arial" w:hAnsi="Arial"/>
                  <w:sz w:val="16"/>
                  <w:szCs w:val="16"/>
                  <w:color w:val="auto"/>
                </w:rPr>
                <w:t>2015 Compensation Elements</w:t>
              </w:r>
            </w:hyperlink>
          </w:p>
        </w:tc>
        <w:tc>
          <w:tcPr>
            <w:tcW w:w="5020" w:type="dxa"/>
            <w:vAlign w:val="bottom"/>
            <w:gridSpan w:val="2"/>
          </w:tcPr>
          <w:p>
            <w:pPr>
              <w:jc w:val="right"/>
              <w:ind w:right="39"/>
              <w:spacing w:after="0"/>
              <w:rPr>
                <w:rFonts w:ascii="Arial" w:cs="Arial" w:eastAsia="Arial" w:hAnsi="Arial"/>
                <w:sz w:val="16"/>
                <w:szCs w:val="16"/>
                <w:color w:val="auto"/>
              </w:rPr>
            </w:pPr>
            <w:hyperlink w:anchor="page45">
              <w:r>
                <w:rPr>
                  <w:rFonts w:ascii="Arial" w:cs="Arial" w:eastAsia="Arial" w:hAnsi="Arial"/>
                  <w:sz w:val="16"/>
                  <w:szCs w:val="16"/>
                  <w:color w:val="auto"/>
                </w:rPr>
                <w:t>41</w:t>
              </w:r>
            </w:hyperlink>
          </w:p>
        </w:tc>
        <w:tc>
          <w:tcPr>
            <w:tcW w:w="0" w:type="dxa"/>
            <w:vAlign w:val="bottom"/>
          </w:tcPr>
          <w:p>
            <w:pPr>
              <w:spacing w:after="0"/>
              <w:rPr>
                <w:sz w:val="1"/>
                <w:szCs w:val="1"/>
                <w:color w:val="auto"/>
              </w:rPr>
            </w:pPr>
          </w:p>
        </w:tc>
      </w:tr>
      <w:tr>
        <w:trPr>
          <w:trHeight w:val="189"/>
        </w:trPr>
        <w:tc>
          <w:tcPr>
            <w:tcW w:w="6400" w:type="dxa"/>
            <w:vAlign w:val="bottom"/>
            <w:gridSpan w:val="3"/>
          </w:tcPr>
          <w:p>
            <w:pPr>
              <w:spacing w:after="0"/>
              <w:rPr>
                <w:rFonts w:ascii="Arial" w:cs="Arial" w:eastAsia="Arial" w:hAnsi="Arial"/>
                <w:sz w:val="16"/>
                <w:szCs w:val="16"/>
                <w:color w:val="auto"/>
              </w:rPr>
            </w:pPr>
            <w:hyperlink w:anchor="page46">
              <w:r>
                <w:rPr>
                  <w:rFonts w:ascii="Arial" w:cs="Arial" w:eastAsia="Arial" w:hAnsi="Arial"/>
                  <w:sz w:val="16"/>
                  <w:szCs w:val="16"/>
                  <w:color w:val="auto"/>
                </w:rPr>
                <w:t>Performance Measures for 2015</w:t>
              </w:r>
            </w:hyperlink>
          </w:p>
        </w:tc>
        <w:tc>
          <w:tcPr>
            <w:tcW w:w="5020" w:type="dxa"/>
            <w:vAlign w:val="bottom"/>
            <w:gridSpan w:val="2"/>
          </w:tcPr>
          <w:p>
            <w:pPr>
              <w:jc w:val="right"/>
              <w:ind w:right="39"/>
              <w:spacing w:after="0"/>
              <w:rPr>
                <w:rFonts w:ascii="Arial" w:cs="Arial" w:eastAsia="Arial" w:hAnsi="Arial"/>
                <w:sz w:val="16"/>
                <w:szCs w:val="16"/>
                <w:color w:val="auto"/>
              </w:rPr>
            </w:pPr>
            <w:hyperlink w:anchor="page46">
              <w:r>
                <w:rPr>
                  <w:rFonts w:ascii="Arial" w:cs="Arial" w:eastAsia="Arial" w:hAnsi="Arial"/>
                  <w:sz w:val="16"/>
                  <w:szCs w:val="16"/>
                  <w:color w:val="auto"/>
                </w:rPr>
                <w:t>42</w:t>
              </w:r>
            </w:hyperlink>
          </w:p>
        </w:tc>
        <w:tc>
          <w:tcPr>
            <w:tcW w:w="0" w:type="dxa"/>
            <w:vAlign w:val="bottom"/>
          </w:tcPr>
          <w:p>
            <w:pPr>
              <w:spacing w:after="0"/>
              <w:rPr>
                <w:sz w:val="1"/>
                <w:szCs w:val="1"/>
                <w:color w:val="auto"/>
              </w:rPr>
            </w:pPr>
          </w:p>
        </w:tc>
      </w:tr>
      <w:tr>
        <w:trPr>
          <w:trHeight w:val="189"/>
        </w:trPr>
        <w:tc>
          <w:tcPr>
            <w:tcW w:w="6400" w:type="dxa"/>
            <w:vAlign w:val="bottom"/>
            <w:gridSpan w:val="3"/>
          </w:tcPr>
          <w:p>
            <w:pPr>
              <w:spacing w:after="0"/>
              <w:rPr>
                <w:rFonts w:ascii="Arial" w:cs="Arial" w:eastAsia="Arial" w:hAnsi="Arial"/>
                <w:sz w:val="16"/>
                <w:szCs w:val="16"/>
                <w:color w:val="auto"/>
              </w:rPr>
            </w:pPr>
            <w:hyperlink w:anchor="page50">
              <w:r>
                <w:rPr>
                  <w:rFonts w:ascii="Arial" w:cs="Arial" w:eastAsia="Arial" w:hAnsi="Arial"/>
                  <w:sz w:val="16"/>
                  <w:szCs w:val="16"/>
                  <w:color w:val="auto"/>
                </w:rPr>
                <w:t>2015 Performance Results and Compensation Decisions</w:t>
              </w:r>
            </w:hyperlink>
          </w:p>
        </w:tc>
        <w:tc>
          <w:tcPr>
            <w:tcW w:w="5020" w:type="dxa"/>
            <w:vAlign w:val="bottom"/>
            <w:gridSpan w:val="2"/>
          </w:tcPr>
          <w:p>
            <w:pPr>
              <w:jc w:val="right"/>
              <w:ind w:right="39"/>
              <w:spacing w:after="0"/>
              <w:rPr>
                <w:rFonts w:ascii="Arial" w:cs="Arial" w:eastAsia="Arial" w:hAnsi="Arial"/>
                <w:sz w:val="16"/>
                <w:szCs w:val="16"/>
                <w:color w:val="auto"/>
              </w:rPr>
            </w:pPr>
            <w:hyperlink w:anchor="page50">
              <w:r>
                <w:rPr>
                  <w:rFonts w:ascii="Arial" w:cs="Arial" w:eastAsia="Arial" w:hAnsi="Arial"/>
                  <w:sz w:val="16"/>
                  <w:szCs w:val="16"/>
                  <w:color w:val="auto"/>
                </w:rPr>
                <w:t>46</w:t>
              </w:r>
            </w:hyperlink>
          </w:p>
        </w:tc>
        <w:tc>
          <w:tcPr>
            <w:tcW w:w="0" w:type="dxa"/>
            <w:vAlign w:val="bottom"/>
          </w:tcPr>
          <w:p>
            <w:pPr>
              <w:spacing w:after="0"/>
              <w:rPr>
                <w:sz w:val="1"/>
                <w:szCs w:val="1"/>
                <w:color w:val="auto"/>
              </w:rPr>
            </w:pPr>
          </w:p>
        </w:tc>
      </w:tr>
      <w:tr>
        <w:trPr>
          <w:trHeight w:val="189"/>
        </w:trPr>
        <w:tc>
          <w:tcPr>
            <w:tcW w:w="6400" w:type="dxa"/>
            <w:vAlign w:val="bottom"/>
            <w:gridSpan w:val="3"/>
          </w:tcPr>
          <w:p>
            <w:pPr>
              <w:spacing w:after="0"/>
              <w:rPr>
                <w:rFonts w:ascii="Arial" w:cs="Arial" w:eastAsia="Arial" w:hAnsi="Arial"/>
                <w:sz w:val="16"/>
                <w:szCs w:val="16"/>
                <w:color w:val="auto"/>
              </w:rPr>
            </w:pPr>
            <w:hyperlink w:anchor="page56">
              <w:r>
                <w:rPr>
                  <w:rFonts w:ascii="Arial" w:cs="Arial" w:eastAsia="Arial" w:hAnsi="Arial"/>
                  <w:sz w:val="16"/>
                  <w:szCs w:val="16"/>
                  <w:color w:val="auto"/>
                </w:rPr>
                <w:t>Compensation Policies and Governance Practices</w:t>
              </w:r>
            </w:hyperlink>
          </w:p>
        </w:tc>
        <w:tc>
          <w:tcPr>
            <w:tcW w:w="5020" w:type="dxa"/>
            <w:vAlign w:val="bottom"/>
            <w:gridSpan w:val="2"/>
          </w:tcPr>
          <w:p>
            <w:pPr>
              <w:jc w:val="right"/>
              <w:ind w:right="39"/>
              <w:spacing w:after="0"/>
              <w:rPr>
                <w:rFonts w:ascii="Arial" w:cs="Arial" w:eastAsia="Arial" w:hAnsi="Arial"/>
                <w:sz w:val="16"/>
                <w:szCs w:val="16"/>
                <w:color w:val="auto"/>
              </w:rPr>
            </w:pPr>
            <w:hyperlink w:anchor="page56">
              <w:r>
                <w:rPr>
                  <w:rFonts w:ascii="Arial" w:cs="Arial" w:eastAsia="Arial" w:hAnsi="Arial"/>
                  <w:sz w:val="16"/>
                  <w:szCs w:val="16"/>
                  <w:color w:val="auto"/>
                </w:rPr>
                <w:t>52</w:t>
              </w:r>
            </w:hyperlink>
          </w:p>
        </w:tc>
        <w:tc>
          <w:tcPr>
            <w:tcW w:w="0" w:type="dxa"/>
            <w:vAlign w:val="bottom"/>
          </w:tcPr>
          <w:p>
            <w:pPr>
              <w:spacing w:after="0"/>
              <w:rPr>
                <w:sz w:val="1"/>
                <w:szCs w:val="1"/>
                <w:color w:val="auto"/>
              </w:rPr>
            </w:pPr>
          </w:p>
        </w:tc>
      </w:tr>
      <w:tr>
        <w:trPr>
          <w:trHeight w:val="195"/>
        </w:trPr>
        <w:tc>
          <w:tcPr>
            <w:tcW w:w="6400" w:type="dxa"/>
            <w:vAlign w:val="bottom"/>
            <w:gridSpan w:val="3"/>
          </w:tcPr>
          <w:p>
            <w:pPr>
              <w:spacing w:after="0"/>
              <w:rPr>
                <w:rFonts w:ascii="Arial" w:cs="Arial" w:eastAsia="Arial" w:hAnsi="Arial"/>
                <w:sz w:val="16"/>
                <w:szCs w:val="16"/>
                <w:color w:val="auto"/>
              </w:rPr>
            </w:pPr>
            <w:hyperlink w:anchor="page57">
              <w:r>
                <w:rPr>
                  <w:rFonts w:ascii="Arial" w:cs="Arial" w:eastAsia="Arial" w:hAnsi="Arial"/>
                  <w:sz w:val="16"/>
                  <w:szCs w:val="16"/>
                  <w:color w:val="auto"/>
                </w:rPr>
                <w:t>Compensation Committee Report</w:t>
              </w:r>
            </w:hyperlink>
          </w:p>
        </w:tc>
        <w:tc>
          <w:tcPr>
            <w:tcW w:w="5020" w:type="dxa"/>
            <w:vAlign w:val="bottom"/>
            <w:gridSpan w:val="2"/>
          </w:tcPr>
          <w:p>
            <w:pPr>
              <w:jc w:val="right"/>
              <w:ind w:right="39"/>
              <w:spacing w:after="0"/>
              <w:rPr>
                <w:rFonts w:ascii="Arial" w:cs="Arial" w:eastAsia="Arial" w:hAnsi="Arial"/>
                <w:sz w:val="16"/>
                <w:szCs w:val="16"/>
                <w:color w:val="auto"/>
              </w:rPr>
            </w:pPr>
            <w:hyperlink w:anchor="page57">
              <w:r>
                <w:rPr>
                  <w:rFonts w:ascii="Arial" w:cs="Arial" w:eastAsia="Arial" w:hAnsi="Arial"/>
                  <w:sz w:val="16"/>
                  <w:szCs w:val="16"/>
                  <w:color w:val="auto"/>
                </w:rPr>
                <w:t>53</w:t>
              </w:r>
            </w:hyperlink>
          </w:p>
        </w:tc>
        <w:tc>
          <w:tcPr>
            <w:tcW w:w="0" w:type="dxa"/>
            <w:vAlign w:val="bottom"/>
          </w:tcPr>
          <w:p>
            <w:pPr>
              <w:spacing w:after="0"/>
              <w:rPr>
                <w:sz w:val="1"/>
                <w:szCs w:val="1"/>
                <w:color w:val="auto"/>
              </w:rPr>
            </w:pPr>
          </w:p>
        </w:tc>
      </w:tr>
      <w:tr>
        <w:trPr>
          <w:trHeight w:val="448"/>
        </w:trPr>
        <w:tc>
          <w:tcPr>
            <w:tcW w:w="6400" w:type="dxa"/>
            <w:vAlign w:val="bottom"/>
            <w:gridSpan w:val="3"/>
          </w:tcPr>
          <w:p>
            <w:pPr>
              <w:spacing w:after="0"/>
              <w:rPr>
                <w:rFonts w:ascii="Arial" w:cs="Arial" w:eastAsia="Arial" w:hAnsi="Arial"/>
                <w:sz w:val="22"/>
                <w:szCs w:val="22"/>
                <w:b w:val="1"/>
                <w:bCs w:val="1"/>
                <w:color w:val="08228B"/>
              </w:rPr>
            </w:pPr>
            <w:hyperlink w:anchor="page58">
              <w:r>
                <w:rPr>
                  <w:rFonts w:ascii="Arial" w:cs="Arial" w:eastAsia="Arial" w:hAnsi="Arial"/>
                  <w:sz w:val="22"/>
                  <w:szCs w:val="22"/>
                  <w:b w:val="1"/>
                  <w:bCs w:val="1"/>
                  <w:color w:val="08228B"/>
                </w:rPr>
                <w:t>Executive Compensation Tables</w:t>
              </w:r>
            </w:hyperlink>
          </w:p>
        </w:tc>
        <w:tc>
          <w:tcPr>
            <w:tcW w:w="24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4"/>
        </w:trPr>
        <w:tc>
          <w:tcPr>
            <w:tcW w:w="6400" w:type="dxa"/>
            <w:vAlign w:val="bottom"/>
            <w:gridSpan w:val="3"/>
          </w:tcPr>
          <w:p>
            <w:pPr>
              <w:spacing w:after="0"/>
              <w:rPr>
                <w:rFonts w:ascii="Arial" w:cs="Arial" w:eastAsia="Arial" w:hAnsi="Arial"/>
                <w:sz w:val="16"/>
                <w:szCs w:val="16"/>
                <w:color w:val="auto"/>
              </w:rPr>
            </w:pPr>
            <w:hyperlink w:anchor="page58">
              <w:r>
                <w:rPr>
                  <w:rFonts w:ascii="Arial" w:cs="Arial" w:eastAsia="Arial" w:hAnsi="Arial"/>
                  <w:sz w:val="16"/>
                  <w:szCs w:val="16"/>
                  <w:color w:val="auto"/>
                </w:rPr>
                <w:t>2015 Summary Compensation Table</w:t>
              </w:r>
            </w:hyperlink>
          </w:p>
        </w:tc>
        <w:tc>
          <w:tcPr>
            <w:tcW w:w="5020" w:type="dxa"/>
            <w:vAlign w:val="bottom"/>
            <w:gridSpan w:val="2"/>
          </w:tcPr>
          <w:p>
            <w:pPr>
              <w:jc w:val="right"/>
              <w:ind w:right="39"/>
              <w:spacing w:after="0"/>
              <w:rPr>
                <w:rFonts w:ascii="Arial" w:cs="Arial" w:eastAsia="Arial" w:hAnsi="Arial"/>
                <w:sz w:val="16"/>
                <w:szCs w:val="16"/>
                <w:color w:val="auto"/>
              </w:rPr>
            </w:pPr>
            <w:hyperlink w:anchor="page58">
              <w:r>
                <w:rPr>
                  <w:rFonts w:ascii="Arial" w:cs="Arial" w:eastAsia="Arial" w:hAnsi="Arial"/>
                  <w:sz w:val="16"/>
                  <w:szCs w:val="16"/>
                  <w:color w:val="auto"/>
                </w:rPr>
                <w:t>54</w:t>
              </w:r>
            </w:hyperlink>
          </w:p>
        </w:tc>
        <w:tc>
          <w:tcPr>
            <w:tcW w:w="0" w:type="dxa"/>
            <w:vAlign w:val="bottom"/>
          </w:tcPr>
          <w:p>
            <w:pPr>
              <w:spacing w:after="0"/>
              <w:rPr>
                <w:sz w:val="1"/>
                <w:szCs w:val="1"/>
                <w:color w:val="auto"/>
              </w:rPr>
            </w:pPr>
          </w:p>
        </w:tc>
      </w:tr>
      <w:tr>
        <w:trPr>
          <w:trHeight w:val="189"/>
        </w:trPr>
        <w:tc>
          <w:tcPr>
            <w:tcW w:w="6400" w:type="dxa"/>
            <w:vAlign w:val="bottom"/>
            <w:gridSpan w:val="3"/>
          </w:tcPr>
          <w:p>
            <w:pPr>
              <w:spacing w:after="0"/>
              <w:rPr>
                <w:rFonts w:ascii="Arial" w:cs="Arial" w:eastAsia="Arial" w:hAnsi="Arial"/>
                <w:sz w:val="16"/>
                <w:szCs w:val="16"/>
                <w:color w:val="auto"/>
              </w:rPr>
            </w:pPr>
            <w:hyperlink w:anchor="page60">
              <w:r>
                <w:rPr>
                  <w:rFonts w:ascii="Arial" w:cs="Arial" w:eastAsia="Arial" w:hAnsi="Arial"/>
                  <w:sz w:val="16"/>
                  <w:szCs w:val="16"/>
                  <w:color w:val="auto"/>
                </w:rPr>
                <w:t>Grants of Plan-Based Awards</w:t>
              </w:r>
            </w:hyperlink>
          </w:p>
        </w:tc>
        <w:tc>
          <w:tcPr>
            <w:tcW w:w="5020" w:type="dxa"/>
            <w:vAlign w:val="bottom"/>
            <w:gridSpan w:val="2"/>
          </w:tcPr>
          <w:p>
            <w:pPr>
              <w:jc w:val="right"/>
              <w:ind w:right="39"/>
              <w:spacing w:after="0"/>
              <w:rPr>
                <w:rFonts w:ascii="Arial" w:cs="Arial" w:eastAsia="Arial" w:hAnsi="Arial"/>
                <w:sz w:val="16"/>
                <w:szCs w:val="16"/>
                <w:color w:val="auto"/>
              </w:rPr>
            </w:pPr>
            <w:hyperlink w:anchor="page60">
              <w:r>
                <w:rPr>
                  <w:rFonts w:ascii="Arial" w:cs="Arial" w:eastAsia="Arial" w:hAnsi="Arial"/>
                  <w:sz w:val="16"/>
                  <w:szCs w:val="16"/>
                  <w:color w:val="auto"/>
                </w:rPr>
                <w:t>56</w:t>
              </w:r>
            </w:hyperlink>
          </w:p>
        </w:tc>
        <w:tc>
          <w:tcPr>
            <w:tcW w:w="0" w:type="dxa"/>
            <w:vAlign w:val="bottom"/>
          </w:tcPr>
          <w:p>
            <w:pPr>
              <w:spacing w:after="0"/>
              <w:rPr>
                <w:sz w:val="1"/>
                <w:szCs w:val="1"/>
                <w:color w:val="auto"/>
              </w:rPr>
            </w:pPr>
          </w:p>
        </w:tc>
      </w:tr>
      <w:tr>
        <w:trPr>
          <w:trHeight w:val="189"/>
        </w:trPr>
        <w:tc>
          <w:tcPr>
            <w:tcW w:w="6400" w:type="dxa"/>
            <w:vAlign w:val="bottom"/>
            <w:gridSpan w:val="3"/>
          </w:tcPr>
          <w:p>
            <w:pPr>
              <w:spacing w:after="0"/>
              <w:rPr>
                <w:rFonts w:ascii="Arial" w:cs="Arial" w:eastAsia="Arial" w:hAnsi="Arial"/>
                <w:sz w:val="16"/>
                <w:szCs w:val="16"/>
                <w:color w:val="auto"/>
              </w:rPr>
            </w:pPr>
            <w:hyperlink w:anchor="page61">
              <w:r>
                <w:rPr>
                  <w:rFonts w:ascii="Arial" w:cs="Arial" w:eastAsia="Arial" w:hAnsi="Arial"/>
                  <w:sz w:val="16"/>
                  <w:szCs w:val="16"/>
                  <w:color w:val="auto"/>
                </w:rPr>
                <w:t>Outstanding Equity Awards at Fiscal Year-End</w:t>
              </w:r>
            </w:hyperlink>
          </w:p>
        </w:tc>
        <w:tc>
          <w:tcPr>
            <w:tcW w:w="5020" w:type="dxa"/>
            <w:vAlign w:val="bottom"/>
            <w:gridSpan w:val="2"/>
          </w:tcPr>
          <w:p>
            <w:pPr>
              <w:jc w:val="right"/>
              <w:ind w:right="39"/>
              <w:spacing w:after="0"/>
              <w:rPr>
                <w:rFonts w:ascii="Arial" w:cs="Arial" w:eastAsia="Arial" w:hAnsi="Arial"/>
                <w:sz w:val="16"/>
                <w:szCs w:val="16"/>
                <w:color w:val="auto"/>
              </w:rPr>
            </w:pPr>
            <w:hyperlink w:anchor="page61">
              <w:r>
                <w:rPr>
                  <w:rFonts w:ascii="Arial" w:cs="Arial" w:eastAsia="Arial" w:hAnsi="Arial"/>
                  <w:sz w:val="16"/>
                  <w:szCs w:val="16"/>
                  <w:color w:val="auto"/>
                </w:rPr>
                <w:t>57</w:t>
              </w:r>
            </w:hyperlink>
          </w:p>
        </w:tc>
        <w:tc>
          <w:tcPr>
            <w:tcW w:w="0" w:type="dxa"/>
            <w:vAlign w:val="bottom"/>
          </w:tcPr>
          <w:p>
            <w:pPr>
              <w:spacing w:after="0"/>
              <w:rPr>
                <w:sz w:val="1"/>
                <w:szCs w:val="1"/>
                <w:color w:val="auto"/>
              </w:rPr>
            </w:pPr>
          </w:p>
        </w:tc>
      </w:tr>
      <w:tr>
        <w:trPr>
          <w:trHeight w:val="189"/>
        </w:trPr>
        <w:tc>
          <w:tcPr>
            <w:tcW w:w="6400" w:type="dxa"/>
            <w:vAlign w:val="bottom"/>
            <w:gridSpan w:val="3"/>
          </w:tcPr>
          <w:p>
            <w:pPr>
              <w:spacing w:after="0"/>
              <w:rPr>
                <w:rFonts w:ascii="Arial" w:cs="Arial" w:eastAsia="Arial" w:hAnsi="Arial"/>
                <w:sz w:val="16"/>
                <w:szCs w:val="16"/>
                <w:color w:val="auto"/>
              </w:rPr>
            </w:pPr>
            <w:hyperlink w:anchor="page62">
              <w:r>
                <w:rPr>
                  <w:rFonts w:ascii="Arial" w:cs="Arial" w:eastAsia="Arial" w:hAnsi="Arial"/>
                  <w:sz w:val="16"/>
                  <w:szCs w:val="16"/>
                  <w:color w:val="auto"/>
                </w:rPr>
                <w:t>Option Exercises and Stock Vested</w:t>
              </w:r>
            </w:hyperlink>
          </w:p>
        </w:tc>
        <w:tc>
          <w:tcPr>
            <w:tcW w:w="5020" w:type="dxa"/>
            <w:vAlign w:val="bottom"/>
            <w:gridSpan w:val="2"/>
          </w:tcPr>
          <w:p>
            <w:pPr>
              <w:jc w:val="right"/>
              <w:ind w:right="39"/>
              <w:spacing w:after="0"/>
              <w:rPr>
                <w:rFonts w:ascii="Arial" w:cs="Arial" w:eastAsia="Arial" w:hAnsi="Arial"/>
                <w:sz w:val="16"/>
                <w:szCs w:val="16"/>
                <w:color w:val="auto"/>
              </w:rPr>
            </w:pPr>
            <w:hyperlink w:anchor="page62">
              <w:r>
                <w:rPr>
                  <w:rFonts w:ascii="Arial" w:cs="Arial" w:eastAsia="Arial" w:hAnsi="Arial"/>
                  <w:sz w:val="16"/>
                  <w:szCs w:val="16"/>
                  <w:color w:val="auto"/>
                </w:rPr>
                <w:t>58</w:t>
              </w:r>
            </w:hyperlink>
          </w:p>
        </w:tc>
        <w:tc>
          <w:tcPr>
            <w:tcW w:w="0" w:type="dxa"/>
            <w:vAlign w:val="bottom"/>
          </w:tcPr>
          <w:p>
            <w:pPr>
              <w:spacing w:after="0"/>
              <w:rPr>
                <w:sz w:val="1"/>
                <w:szCs w:val="1"/>
                <w:color w:val="auto"/>
              </w:rPr>
            </w:pPr>
          </w:p>
        </w:tc>
      </w:tr>
      <w:tr>
        <w:trPr>
          <w:trHeight w:val="189"/>
        </w:trPr>
        <w:tc>
          <w:tcPr>
            <w:tcW w:w="6400" w:type="dxa"/>
            <w:vAlign w:val="bottom"/>
            <w:gridSpan w:val="3"/>
          </w:tcPr>
          <w:p>
            <w:pPr>
              <w:spacing w:after="0"/>
              <w:rPr>
                <w:rFonts w:ascii="Arial" w:cs="Arial" w:eastAsia="Arial" w:hAnsi="Arial"/>
                <w:sz w:val="16"/>
                <w:szCs w:val="16"/>
                <w:color w:val="auto"/>
              </w:rPr>
            </w:pPr>
            <w:hyperlink w:anchor="page62">
              <w:r>
                <w:rPr>
                  <w:rFonts w:ascii="Arial" w:cs="Arial" w:eastAsia="Arial" w:hAnsi="Arial"/>
                  <w:sz w:val="16"/>
                  <w:szCs w:val="16"/>
                  <w:color w:val="auto"/>
                </w:rPr>
                <w:t>Pension Benefits</w:t>
              </w:r>
            </w:hyperlink>
          </w:p>
        </w:tc>
        <w:tc>
          <w:tcPr>
            <w:tcW w:w="5020" w:type="dxa"/>
            <w:vAlign w:val="bottom"/>
            <w:gridSpan w:val="2"/>
          </w:tcPr>
          <w:p>
            <w:pPr>
              <w:jc w:val="right"/>
              <w:ind w:right="39"/>
              <w:spacing w:after="0"/>
              <w:rPr>
                <w:rFonts w:ascii="Arial" w:cs="Arial" w:eastAsia="Arial" w:hAnsi="Arial"/>
                <w:sz w:val="16"/>
                <w:szCs w:val="16"/>
                <w:color w:val="auto"/>
              </w:rPr>
            </w:pPr>
            <w:hyperlink w:anchor="page62">
              <w:r>
                <w:rPr>
                  <w:rFonts w:ascii="Arial" w:cs="Arial" w:eastAsia="Arial" w:hAnsi="Arial"/>
                  <w:sz w:val="16"/>
                  <w:szCs w:val="16"/>
                  <w:color w:val="auto"/>
                </w:rPr>
                <w:t>58</w:t>
              </w:r>
            </w:hyperlink>
          </w:p>
        </w:tc>
        <w:tc>
          <w:tcPr>
            <w:tcW w:w="0" w:type="dxa"/>
            <w:vAlign w:val="bottom"/>
          </w:tcPr>
          <w:p>
            <w:pPr>
              <w:spacing w:after="0"/>
              <w:rPr>
                <w:sz w:val="1"/>
                <w:szCs w:val="1"/>
                <w:color w:val="auto"/>
              </w:rPr>
            </w:pPr>
          </w:p>
        </w:tc>
      </w:tr>
      <w:tr>
        <w:trPr>
          <w:trHeight w:val="189"/>
        </w:trPr>
        <w:tc>
          <w:tcPr>
            <w:tcW w:w="6400" w:type="dxa"/>
            <w:vAlign w:val="bottom"/>
            <w:gridSpan w:val="3"/>
          </w:tcPr>
          <w:p>
            <w:pPr>
              <w:spacing w:after="0"/>
              <w:rPr>
                <w:rFonts w:ascii="Arial" w:cs="Arial" w:eastAsia="Arial" w:hAnsi="Arial"/>
                <w:sz w:val="16"/>
                <w:szCs w:val="16"/>
                <w:color w:val="auto"/>
              </w:rPr>
            </w:pPr>
            <w:hyperlink w:anchor="page63">
              <w:r>
                <w:rPr>
                  <w:rFonts w:ascii="Arial" w:cs="Arial" w:eastAsia="Arial" w:hAnsi="Arial"/>
                  <w:sz w:val="16"/>
                  <w:szCs w:val="16"/>
                  <w:color w:val="auto"/>
                </w:rPr>
                <w:t>Nonqualified Deferred Compensation Plans</w:t>
              </w:r>
            </w:hyperlink>
          </w:p>
        </w:tc>
        <w:tc>
          <w:tcPr>
            <w:tcW w:w="5020" w:type="dxa"/>
            <w:vAlign w:val="bottom"/>
            <w:gridSpan w:val="2"/>
          </w:tcPr>
          <w:p>
            <w:pPr>
              <w:jc w:val="right"/>
              <w:ind w:right="39"/>
              <w:spacing w:after="0"/>
              <w:rPr>
                <w:rFonts w:ascii="Arial" w:cs="Arial" w:eastAsia="Arial" w:hAnsi="Arial"/>
                <w:sz w:val="16"/>
                <w:szCs w:val="16"/>
                <w:color w:val="auto"/>
              </w:rPr>
            </w:pPr>
            <w:hyperlink w:anchor="page63">
              <w:r>
                <w:rPr>
                  <w:rFonts w:ascii="Arial" w:cs="Arial" w:eastAsia="Arial" w:hAnsi="Arial"/>
                  <w:sz w:val="16"/>
                  <w:szCs w:val="16"/>
                  <w:color w:val="auto"/>
                </w:rPr>
                <w:t>59</w:t>
              </w:r>
            </w:hyperlink>
          </w:p>
        </w:tc>
        <w:tc>
          <w:tcPr>
            <w:tcW w:w="0" w:type="dxa"/>
            <w:vAlign w:val="bottom"/>
          </w:tcPr>
          <w:p>
            <w:pPr>
              <w:spacing w:after="0"/>
              <w:rPr>
                <w:sz w:val="1"/>
                <w:szCs w:val="1"/>
                <w:color w:val="auto"/>
              </w:rPr>
            </w:pPr>
          </w:p>
        </w:tc>
      </w:tr>
      <w:tr>
        <w:trPr>
          <w:trHeight w:val="189"/>
        </w:trPr>
        <w:tc>
          <w:tcPr>
            <w:tcW w:w="6400" w:type="dxa"/>
            <w:vAlign w:val="bottom"/>
            <w:gridSpan w:val="3"/>
          </w:tcPr>
          <w:p>
            <w:pPr>
              <w:spacing w:after="0"/>
              <w:rPr>
                <w:rFonts w:ascii="Arial" w:cs="Arial" w:eastAsia="Arial" w:hAnsi="Arial"/>
                <w:sz w:val="16"/>
                <w:szCs w:val="16"/>
                <w:color w:val="auto"/>
              </w:rPr>
            </w:pPr>
            <w:hyperlink w:anchor="page64">
              <w:r>
                <w:rPr>
                  <w:rFonts w:ascii="Arial" w:cs="Arial" w:eastAsia="Arial" w:hAnsi="Arial"/>
                  <w:sz w:val="16"/>
                  <w:szCs w:val="16"/>
                  <w:color w:val="auto"/>
                </w:rPr>
                <w:t>Potential Payments Upon Termination</w:t>
              </w:r>
            </w:hyperlink>
          </w:p>
        </w:tc>
        <w:tc>
          <w:tcPr>
            <w:tcW w:w="5020" w:type="dxa"/>
            <w:vAlign w:val="bottom"/>
            <w:gridSpan w:val="2"/>
          </w:tcPr>
          <w:p>
            <w:pPr>
              <w:jc w:val="right"/>
              <w:ind w:right="39"/>
              <w:spacing w:after="0"/>
              <w:rPr>
                <w:rFonts w:ascii="Arial" w:cs="Arial" w:eastAsia="Arial" w:hAnsi="Arial"/>
                <w:sz w:val="16"/>
                <w:szCs w:val="16"/>
                <w:color w:val="auto"/>
              </w:rPr>
            </w:pPr>
            <w:hyperlink w:anchor="page64">
              <w:r>
                <w:rPr>
                  <w:rFonts w:ascii="Arial" w:cs="Arial" w:eastAsia="Arial" w:hAnsi="Arial"/>
                  <w:sz w:val="16"/>
                  <w:szCs w:val="16"/>
                  <w:color w:val="auto"/>
                </w:rPr>
                <w:t>60</w:t>
              </w:r>
            </w:hyperlink>
          </w:p>
        </w:tc>
        <w:tc>
          <w:tcPr>
            <w:tcW w:w="0" w:type="dxa"/>
            <w:vAlign w:val="bottom"/>
          </w:tcPr>
          <w:p>
            <w:pPr>
              <w:spacing w:after="0"/>
              <w:rPr>
                <w:sz w:val="1"/>
                <w:szCs w:val="1"/>
                <w:color w:val="auto"/>
              </w:rPr>
            </w:pPr>
          </w:p>
        </w:tc>
      </w:tr>
      <w:tr>
        <w:trPr>
          <w:trHeight w:val="195"/>
        </w:trPr>
        <w:tc>
          <w:tcPr>
            <w:tcW w:w="6400" w:type="dxa"/>
            <w:vAlign w:val="bottom"/>
            <w:gridSpan w:val="3"/>
          </w:tcPr>
          <w:p>
            <w:pPr>
              <w:spacing w:after="0"/>
              <w:rPr>
                <w:rFonts w:ascii="Arial" w:cs="Arial" w:eastAsia="Arial" w:hAnsi="Arial"/>
                <w:sz w:val="16"/>
                <w:szCs w:val="16"/>
                <w:color w:val="auto"/>
              </w:rPr>
            </w:pPr>
            <w:hyperlink w:anchor="page66">
              <w:r>
                <w:rPr>
                  <w:rFonts w:ascii="Arial" w:cs="Arial" w:eastAsia="Arial" w:hAnsi="Arial"/>
                  <w:sz w:val="16"/>
                  <w:szCs w:val="16"/>
                  <w:color w:val="auto"/>
                </w:rPr>
                <w:t>Equity Compensation Plan Information</w:t>
              </w:r>
            </w:hyperlink>
          </w:p>
        </w:tc>
        <w:tc>
          <w:tcPr>
            <w:tcW w:w="5020" w:type="dxa"/>
            <w:vAlign w:val="bottom"/>
            <w:gridSpan w:val="2"/>
          </w:tcPr>
          <w:p>
            <w:pPr>
              <w:jc w:val="right"/>
              <w:ind w:right="39"/>
              <w:spacing w:after="0"/>
              <w:rPr>
                <w:rFonts w:ascii="Arial" w:cs="Arial" w:eastAsia="Arial" w:hAnsi="Arial"/>
                <w:sz w:val="16"/>
                <w:szCs w:val="16"/>
                <w:color w:val="auto"/>
              </w:rPr>
            </w:pPr>
            <w:hyperlink w:anchor="page66">
              <w:r>
                <w:rPr>
                  <w:rFonts w:ascii="Arial" w:cs="Arial" w:eastAsia="Arial" w:hAnsi="Arial"/>
                  <w:sz w:val="16"/>
                  <w:szCs w:val="16"/>
                  <w:color w:val="auto"/>
                </w:rPr>
                <w:t>62</w:t>
              </w:r>
            </w:hyperlink>
          </w:p>
        </w:tc>
        <w:tc>
          <w:tcPr>
            <w:tcW w:w="0" w:type="dxa"/>
            <w:vAlign w:val="bottom"/>
          </w:tcPr>
          <w:p>
            <w:pPr>
              <w:spacing w:after="0"/>
              <w:rPr>
                <w:sz w:val="1"/>
                <w:szCs w:val="1"/>
                <w:color w:val="auto"/>
              </w:rPr>
            </w:pPr>
          </w:p>
        </w:tc>
      </w:tr>
      <w:tr>
        <w:trPr>
          <w:trHeight w:val="435"/>
        </w:trPr>
        <w:tc>
          <w:tcPr>
            <w:tcW w:w="6400" w:type="dxa"/>
            <w:vAlign w:val="bottom"/>
            <w:gridSpan w:val="3"/>
          </w:tcPr>
          <w:p>
            <w:pPr>
              <w:spacing w:after="0"/>
              <w:rPr>
                <w:sz w:val="20"/>
                <w:szCs w:val="20"/>
                <w:color w:val="auto"/>
              </w:rPr>
            </w:pPr>
            <w:r>
              <w:rPr>
                <w:rFonts w:ascii="Arial" w:cs="Arial" w:eastAsia="Arial" w:hAnsi="Arial"/>
                <w:sz w:val="22"/>
                <w:szCs w:val="22"/>
                <w:b w:val="1"/>
                <w:bCs w:val="1"/>
                <w:color w:val="1C90D3"/>
              </w:rPr>
              <w:t>Defined terms:</w:t>
            </w:r>
          </w:p>
        </w:tc>
        <w:tc>
          <w:tcPr>
            <w:tcW w:w="24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6400" w:type="dxa"/>
            <w:vAlign w:val="bottom"/>
            <w:gridSpan w:val="3"/>
          </w:tcPr>
          <w:p>
            <w:pPr>
              <w:spacing w:after="0"/>
              <w:rPr>
                <w:sz w:val="20"/>
                <w:szCs w:val="20"/>
                <w:color w:val="auto"/>
              </w:rPr>
            </w:pPr>
            <w:r>
              <w:rPr>
                <w:rFonts w:ascii="Arial" w:cs="Arial" w:eastAsia="Arial" w:hAnsi="Arial"/>
                <w:sz w:val="16"/>
                <w:szCs w:val="16"/>
                <w:color w:val="08228B"/>
              </w:rPr>
              <w:t xml:space="preserve">•  </w:t>
            </w:r>
            <w:r>
              <w:rPr>
                <w:rFonts w:ascii="Arial" w:cs="Arial" w:eastAsia="Arial" w:hAnsi="Arial"/>
                <w:sz w:val="16"/>
                <w:szCs w:val="16"/>
                <w:i w:val="1"/>
                <w:iCs w:val="1"/>
                <w:color w:val="000000"/>
              </w:rPr>
              <w:t>AFCF – Automotive Free Cash Flow</w:t>
            </w:r>
          </w:p>
        </w:tc>
        <w:tc>
          <w:tcPr>
            <w:tcW w:w="24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6400" w:type="dxa"/>
            <w:vAlign w:val="bottom"/>
            <w:gridSpan w:val="3"/>
          </w:tcPr>
          <w:p>
            <w:pPr>
              <w:spacing w:after="0"/>
              <w:rPr>
                <w:sz w:val="20"/>
                <w:szCs w:val="20"/>
                <w:color w:val="auto"/>
              </w:rPr>
            </w:pPr>
            <w:r>
              <w:rPr>
                <w:rFonts w:ascii="Arial" w:cs="Arial" w:eastAsia="Arial" w:hAnsi="Arial"/>
                <w:sz w:val="16"/>
                <w:szCs w:val="16"/>
                <w:color w:val="08228B"/>
              </w:rPr>
              <w:t xml:space="preserve">•  </w:t>
            </w:r>
            <w:r>
              <w:rPr>
                <w:rFonts w:ascii="Arial" w:cs="Arial" w:eastAsia="Arial" w:hAnsi="Arial"/>
                <w:sz w:val="16"/>
                <w:szCs w:val="16"/>
                <w:i w:val="1"/>
                <w:iCs w:val="1"/>
                <w:color w:val="000000"/>
              </w:rPr>
              <w:t>DB – Defined Benefit</w:t>
            </w:r>
          </w:p>
        </w:tc>
        <w:tc>
          <w:tcPr>
            <w:tcW w:w="240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00" w:type="dxa"/>
            <w:vAlign w:val="bottom"/>
            <w:gridSpan w:val="3"/>
          </w:tcPr>
          <w:p>
            <w:pPr>
              <w:spacing w:after="0"/>
              <w:rPr>
                <w:sz w:val="20"/>
                <w:szCs w:val="20"/>
                <w:color w:val="auto"/>
              </w:rPr>
            </w:pPr>
            <w:r>
              <w:rPr>
                <w:rFonts w:ascii="Arial" w:cs="Arial" w:eastAsia="Arial" w:hAnsi="Arial"/>
                <w:sz w:val="16"/>
                <w:szCs w:val="16"/>
                <w:color w:val="08228B"/>
              </w:rPr>
              <w:t xml:space="preserve">•  </w:t>
            </w:r>
            <w:r>
              <w:rPr>
                <w:rFonts w:ascii="Arial" w:cs="Arial" w:eastAsia="Arial" w:hAnsi="Arial"/>
                <w:sz w:val="16"/>
                <w:szCs w:val="16"/>
                <w:i w:val="1"/>
                <w:iCs w:val="1"/>
                <w:color w:val="000000"/>
              </w:rPr>
              <w:t>DC – Defined Contribution</w:t>
            </w:r>
          </w:p>
        </w:tc>
        <w:tc>
          <w:tcPr>
            <w:tcW w:w="240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00" w:type="dxa"/>
            <w:vAlign w:val="bottom"/>
            <w:gridSpan w:val="3"/>
          </w:tcPr>
          <w:p>
            <w:pPr>
              <w:spacing w:after="0"/>
              <w:rPr>
                <w:sz w:val="20"/>
                <w:szCs w:val="20"/>
                <w:color w:val="auto"/>
              </w:rPr>
            </w:pPr>
            <w:r>
              <w:rPr>
                <w:rFonts w:ascii="Arial" w:cs="Arial" w:eastAsia="Arial" w:hAnsi="Arial"/>
                <w:sz w:val="16"/>
                <w:szCs w:val="16"/>
                <w:color w:val="08228B"/>
              </w:rPr>
              <w:t xml:space="preserve">•  </w:t>
            </w:r>
            <w:r>
              <w:rPr>
                <w:rFonts w:ascii="Arial" w:cs="Arial" w:eastAsia="Arial" w:hAnsi="Arial"/>
                <w:sz w:val="16"/>
                <w:szCs w:val="16"/>
                <w:i w:val="1"/>
                <w:iCs w:val="1"/>
                <w:color w:val="000000"/>
              </w:rPr>
              <w:t>DSV – Driving Stockholder Value</w:t>
            </w:r>
          </w:p>
        </w:tc>
        <w:tc>
          <w:tcPr>
            <w:tcW w:w="240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00" w:type="dxa"/>
            <w:vAlign w:val="bottom"/>
            <w:gridSpan w:val="3"/>
          </w:tcPr>
          <w:p>
            <w:pPr>
              <w:spacing w:after="0"/>
              <w:rPr>
                <w:sz w:val="20"/>
                <w:szCs w:val="20"/>
                <w:color w:val="auto"/>
              </w:rPr>
            </w:pPr>
            <w:r>
              <w:rPr>
                <w:rFonts w:ascii="Arial" w:cs="Arial" w:eastAsia="Arial" w:hAnsi="Arial"/>
                <w:sz w:val="16"/>
                <w:szCs w:val="16"/>
                <w:color w:val="08228B"/>
              </w:rPr>
              <w:t xml:space="preserve">•  </w:t>
            </w:r>
            <w:r>
              <w:rPr>
                <w:rFonts w:ascii="Arial" w:cs="Arial" w:eastAsia="Arial" w:hAnsi="Arial"/>
                <w:sz w:val="16"/>
                <w:szCs w:val="16"/>
                <w:i w:val="1"/>
                <w:iCs w:val="1"/>
                <w:color w:val="000000"/>
              </w:rPr>
              <w:t>EBIT – Earnings Before Interest and Taxes</w:t>
            </w:r>
          </w:p>
        </w:tc>
        <w:tc>
          <w:tcPr>
            <w:tcW w:w="240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00" w:type="dxa"/>
            <w:vAlign w:val="bottom"/>
            <w:gridSpan w:val="3"/>
          </w:tcPr>
          <w:p>
            <w:pPr>
              <w:spacing w:after="0"/>
              <w:rPr>
                <w:sz w:val="20"/>
                <w:szCs w:val="20"/>
                <w:color w:val="auto"/>
              </w:rPr>
            </w:pPr>
            <w:r>
              <w:rPr>
                <w:rFonts w:ascii="Arial" w:cs="Arial" w:eastAsia="Arial" w:hAnsi="Arial"/>
                <w:sz w:val="16"/>
                <w:szCs w:val="16"/>
                <w:color w:val="08228B"/>
              </w:rPr>
              <w:t xml:space="preserve">•  </w:t>
            </w:r>
            <w:r>
              <w:rPr>
                <w:rFonts w:ascii="Arial" w:cs="Arial" w:eastAsia="Arial" w:hAnsi="Arial"/>
                <w:sz w:val="16"/>
                <w:szCs w:val="16"/>
                <w:i w:val="1"/>
                <w:iCs w:val="1"/>
                <w:color w:val="000000"/>
              </w:rPr>
              <w:t>EPS – Earnings Per Share</w:t>
            </w:r>
          </w:p>
        </w:tc>
        <w:tc>
          <w:tcPr>
            <w:tcW w:w="240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00" w:type="dxa"/>
            <w:vAlign w:val="bottom"/>
            <w:gridSpan w:val="3"/>
          </w:tcPr>
          <w:p>
            <w:pPr>
              <w:spacing w:after="0"/>
              <w:rPr>
                <w:sz w:val="20"/>
                <w:szCs w:val="20"/>
                <w:color w:val="auto"/>
              </w:rPr>
            </w:pPr>
            <w:r>
              <w:rPr>
                <w:rFonts w:ascii="Arial" w:cs="Arial" w:eastAsia="Arial" w:hAnsi="Arial"/>
                <w:sz w:val="16"/>
                <w:szCs w:val="16"/>
                <w:color w:val="08228B"/>
              </w:rPr>
              <w:t xml:space="preserve">•  </w:t>
            </w:r>
            <w:r>
              <w:rPr>
                <w:rFonts w:ascii="Arial" w:cs="Arial" w:eastAsia="Arial" w:hAnsi="Arial"/>
                <w:sz w:val="16"/>
                <w:szCs w:val="16"/>
                <w:i w:val="1"/>
                <w:iCs w:val="1"/>
                <w:color w:val="000000"/>
              </w:rPr>
              <w:t>LTIP – Long-Term Incentive Plan</w:t>
            </w:r>
          </w:p>
        </w:tc>
        <w:tc>
          <w:tcPr>
            <w:tcW w:w="240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00" w:type="dxa"/>
            <w:vAlign w:val="bottom"/>
            <w:gridSpan w:val="3"/>
          </w:tcPr>
          <w:p>
            <w:pPr>
              <w:spacing w:after="0"/>
              <w:rPr>
                <w:sz w:val="20"/>
                <w:szCs w:val="20"/>
                <w:color w:val="auto"/>
              </w:rPr>
            </w:pPr>
            <w:r>
              <w:rPr>
                <w:rFonts w:ascii="Arial" w:cs="Arial" w:eastAsia="Arial" w:hAnsi="Arial"/>
                <w:sz w:val="16"/>
                <w:szCs w:val="16"/>
                <w:color w:val="08228B"/>
              </w:rPr>
              <w:t xml:space="preserve">•  </w:t>
            </w:r>
            <w:r>
              <w:rPr>
                <w:rFonts w:ascii="Arial" w:cs="Arial" w:eastAsia="Arial" w:hAnsi="Arial"/>
                <w:sz w:val="16"/>
                <w:szCs w:val="16"/>
                <w:i w:val="1"/>
                <w:iCs w:val="1"/>
                <w:color w:val="000000"/>
              </w:rPr>
              <w:t>NEO – Named Executive Officer</w:t>
            </w:r>
          </w:p>
        </w:tc>
        <w:tc>
          <w:tcPr>
            <w:tcW w:w="240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00" w:type="dxa"/>
            <w:vAlign w:val="bottom"/>
            <w:gridSpan w:val="3"/>
          </w:tcPr>
          <w:p>
            <w:pPr>
              <w:spacing w:after="0"/>
              <w:rPr>
                <w:sz w:val="20"/>
                <w:szCs w:val="20"/>
                <w:color w:val="auto"/>
              </w:rPr>
            </w:pPr>
            <w:r>
              <w:rPr>
                <w:rFonts w:ascii="Arial" w:cs="Arial" w:eastAsia="Arial" w:hAnsi="Arial"/>
                <w:sz w:val="16"/>
                <w:szCs w:val="16"/>
                <w:color w:val="08228B"/>
              </w:rPr>
              <w:t xml:space="preserve">•  </w:t>
            </w:r>
            <w:r>
              <w:rPr>
                <w:rFonts w:ascii="Arial" w:cs="Arial" w:eastAsia="Arial" w:hAnsi="Arial"/>
                <w:sz w:val="16"/>
                <w:szCs w:val="16"/>
                <w:i w:val="1"/>
                <w:iCs w:val="1"/>
                <w:color w:val="000000"/>
              </w:rPr>
              <w:t>NHTSA – National Highway Traffic Safety Administration</w:t>
            </w:r>
          </w:p>
        </w:tc>
        <w:tc>
          <w:tcPr>
            <w:tcW w:w="240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00" w:type="dxa"/>
            <w:vAlign w:val="bottom"/>
            <w:gridSpan w:val="3"/>
          </w:tcPr>
          <w:p>
            <w:pPr>
              <w:spacing w:after="0"/>
              <w:rPr>
                <w:sz w:val="20"/>
                <w:szCs w:val="20"/>
                <w:color w:val="auto"/>
              </w:rPr>
            </w:pPr>
            <w:r>
              <w:rPr>
                <w:rFonts w:ascii="Arial" w:cs="Arial" w:eastAsia="Arial" w:hAnsi="Arial"/>
                <w:sz w:val="16"/>
                <w:szCs w:val="16"/>
                <w:color w:val="08228B"/>
              </w:rPr>
              <w:t xml:space="preserve">•  </w:t>
            </w:r>
            <w:r>
              <w:rPr>
                <w:rFonts w:ascii="Arial" w:cs="Arial" w:eastAsia="Arial" w:hAnsi="Arial"/>
                <w:sz w:val="16"/>
                <w:szCs w:val="16"/>
                <w:i w:val="1"/>
                <w:iCs w:val="1"/>
                <w:color w:val="000000"/>
              </w:rPr>
              <w:t>OEM – Original Equipment Manufacturer</w:t>
            </w:r>
          </w:p>
        </w:tc>
        <w:tc>
          <w:tcPr>
            <w:tcW w:w="240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00" w:type="dxa"/>
            <w:vAlign w:val="bottom"/>
            <w:gridSpan w:val="3"/>
          </w:tcPr>
          <w:p>
            <w:pPr>
              <w:spacing w:after="0"/>
              <w:rPr>
                <w:sz w:val="20"/>
                <w:szCs w:val="20"/>
                <w:color w:val="auto"/>
              </w:rPr>
            </w:pPr>
            <w:r>
              <w:rPr>
                <w:rFonts w:ascii="Arial" w:cs="Arial" w:eastAsia="Arial" w:hAnsi="Arial"/>
                <w:sz w:val="16"/>
                <w:szCs w:val="16"/>
                <w:color w:val="08228B"/>
              </w:rPr>
              <w:t xml:space="preserve">•  </w:t>
            </w:r>
            <w:r>
              <w:rPr>
                <w:rFonts w:ascii="Arial" w:cs="Arial" w:eastAsia="Arial" w:hAnsi="Arial"/>
                <w:sz w:val="16"/>
                <w:szCs w:val="16"/>
                <w:i w:val="1"/>
                <w:iCs w:val="1"/>
                <w:color w:val="000000"/>
              </w:rPr>
              <w:t>PSU – Performance Stock Unit</w:t>
            </w:r>
          </w:p>
        </w:tc>
        <w:tc>
          <w:tcPr>
            <w:tcW w:w="240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00" w:type="dxa"/>
            <w:vAlign w:val="bottom"/>
            <w:gridSpan w:val="3"/>
          </w:tcPr>
          <w:p>
            <w:pPr>
              <w:spacing w:after="0"/>
              <w:rPr>
                <w:sz w:val="20"/>
                <w:szCs w:val="20"/>
                <w:color w:val="auto"/>
              </w:rPr>
            </w:pPr>
            <w:r>
              <w:rPr>
                <w:rFonts w:ascii="Arial" w:cs="Arial" w:eastAsia="Arial" w:hAnsi="Arial"/>
                <w:sz w:val="16"/>
                <w:szCs w:val="16"/>
                <w:color w:val="08228B"/>
              </w:rPr>
              <w:t xml:space="preserve">•  </w:t>
            </w:r>
            <w:r>
              <w:rPr>
                <w:rFonts w:ascii="Arial" w:cs="Arial" w:eastAsia="Arial" w:hAnsi="Arial"/>
                <w:sz w:val="16"/>
                <w:szCs w:val="16"/>
                <w:i w:val="1"/>
                <w:iCs w:val="1"/>
                <w:color w:val="000000"/>
              </w:rPr>
              <w:t>ROIC – Return on Invested Capital</w:t>
            </w:r>
          </w:p>
        </w:tc>
        <w:tc>
          <w:tcPr>
            <w:tcW w:w="240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00" w:type="dxa"/>
            <w:vAlign w:val="bottom"/>
            <w:gridSpan w:val="3"/>
          </w:tcPr>
          <w:p>
            <w:pPr>
              <w:spacing w:after="0"/>
              <w:rPr>
                <w:sz w:val="20"/>
                <w:szCs w:val="20"/>
                <w:color w:val="auto"/>
              </w:rPr>
            </w:pPr>
            <w:r>
              <w:rPr>
                <w:rFonts w:ascii="Arial" w:cs="Arial" w:eastAsia="Arial" w:hAnsi="Arial"/>
                <w:sz w:val="16"/>
                <w:szCs w:val="16"/>
                <w:color w:val="08228B"/>
              </w:rPr>
              <w:t xml:space="preserve">•  </w:t>
            </w:r>
            <w:r>
              <w:rPr>
                <w:rFonts w:ascii="Arial" w:cs="Arial" w:eastAsia="Arial" w:hAnsi="Arial"/>
                <w:sz w:val="16"/>
                <w:szCs w:val="16"/>
                <w:i w:val="1"/>
                <w:iCs w:val="1"/>
                <w:color w:val="000000"/>
              </w:rPr>
              <w:t>RSU – Restricted Stock Unit</w:t>
            </w:r>
          </w:p>
        </w:tc>
        <w:tc>
          <w:tcPr>
            <w:tcW w:w="240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00" w:type="dxa"/>
            <w:vAlign w:val="bottom"/>
            <w:gridSpan w:val="3"/>
          </w:tcPr>
          <w:p>
            <w:pPr>
              <w:spacing w:after="0"/>
              <w:rPr>
                <w:sz w:val="20"/>
                <w:szCs w:val="20"/>
                <w:color w:val="auto"/>
              </w:rPr>
            </w:pPr>
            <w:r>
              <w:rPr>
                <w:rFonts w:ascii="Arial" w:cs="Arial" w:eastAsia="Arial" w:hAnsi="Arial"/>
                <w:sz w:val="16"/>
                <w:szCs w:val="16"/>
                <w:color w:val="08228B"/>
              </w:rPr>
              <w:t xml:space="preserve">•  </w:t>
            </w:r>
            <w:r>
              <w:rPr>
                <w:rFonts w:ascii="Arial" w:cs="Arial" w:eastAsia="Arial" w:hAnsi="Arial"/>
                <w:sz w:val="16"/>
                <w:szCs w:val="16"/>
                <w:i w:val="1"/>
                <w:iCs w:val="1"/>
                <w:color w:val="000000"/>
              </w:rPr>
              <w:t>STIP – Short-Term Incentive Plan</w:t>
            </w:r>
          </w:p>
        </w:tc>
        <w:tc>
          <w:tcPr>
            <w:tcW w:w="240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6400" w:type="dxa"/>
            <w:vAlign w:val="bottom"/>
            <w:gridSpan w:val="3"/>
          </w:tcPr>
          <w:p>
            <w:pPr>
              <w:spacing w:after="0"/>
              <w:rPr>
                <w:sz w:val="20"/>
                <w:szCs w:val="20"/>
                <w:color w:val="auto"/>
              </w:rPr>
            </w:pPr>
            <w:r>
              <w:rPr>
                <w:rFonts w:ascii="Arial" w:cs="Arial" w:eastAsia="Arial" w:hAnsi="Arial"/>
                <w:sz w:val="16"/>
                <w:szCs w:val="16"/>
                <w:color w:val="08228B"/>
              </w:rPr>
              <w:t xml:space="preserve">•  </w:t>
            </w:r>
            <w:r>
              <w:rPr>
                <w:rFonts w:ascii="Arial" w:cs="Arial" w:eastAsia="Arial" w:hAnsi="Arial"/>
                <w:sz w:val="16"/>
                <w:szCs w:val="16"/>
                <w:i w:val="1"/>
                <w:iCs w:val="1"/>
                <w:color w:val="000000"/>
              </w:rPr>
              <w:t>TSR – Total Shareholder Return</w:t>
            </w:r>
          </w:p>
        </w:tc>
        <w:tc>
          <w:tcPr>
            <w:tcW w:w="24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20" w:type="dxa"/>
            <w:vAlign w:val="bottom"/>
            <w:vMerge w:val="restart"/>
          </w:tcPr>
          <w:p>
            <w:pPr>
              <w:spacing w:after="0"/>
              <w:rPr>
                <w:sz w:val="24"/>
                <w:szCs w:val="24"/>
                <w:color w:val="auto"/>
              </w:rPr>
            </w:pPr>
          </w:p>
        </w:tc>
        <w:tc>
          <w:tcPr>
            <w:tcW w:w="4320" w:type="dxa"/>
            <w:vAlign w:val="bottom"/>
            <w:tcBorders>
              <w:bottom w:val="single" w:sz="8" w:color="08228B"/>
            </w:tcBorders>
          </w:tcPr>
          <w:p>
            <w:pPr>
              <w:spacing w:after="0"/>
              <w:rPr>
                <w:sz w:val="24"/>
                <w:szCs w:val="24"/>
                <w:color w:val="auto"/>
              </w:rPr>
            </w:pPr>
          </w:p>
        </w:tc>
        <w:tc>
          <w:tcPr>
            <w:tcW w:w="2060" w:type="dxa"/>
            <w:vAlign w:val="bottom"/>
            <w:vMerge w:val="restart"/>
          </w:tcPr>
          <w:p>
            <w:pPr>
              <w:ind w:left="60"/>
              <w:spacing w:after="0"/>
              <w:rPr>
                <w:sz w:val="20"/>
                <w:szCs w:val="20"/>
                <w:color w:val="auto"/>
              </w:rPr>
            </w:pPr>
            <w:r>
              <w:rPr>
                <w:rFonts w:ascii="Arial" w:cs="Arial" w:eastAsia="Arial" w:hAnsi="Arial"/>
                <w:sz w:val="16"/>
                <w:szCs w:val="16"/>
                <w:b w:val="1"/>
                <w:bCs w:val="1"/>
                <w:color w:val="1C90D3"/>
              </w:rPr>
              <w:t xml:space="preserve">2016 </w:t>
            </w:r>
            <w:r>
              <w:rPr>
                <w:rFonts w:ascii="Arial" w:cs="Arial" w:eastAsia="Arial" w:hAnsi="Arial"/>
                <w:sz w:val="16"/>
                <w:szCs w:val="16"/>
                <w:color w:val="08228B"/>
              </w:rPr>
              <w:t>PROXY STATEMENT</w:t>
            </w:r>
          </w:p>
        </w:tc>
        <w:tc>
          <w:tcPr>
            <w:tcW w:w="2400" w:type="dxa"/>
            <w:vAlign w:val="bottom"/>
            <w:tcBorders>
              <w:bottom w:val="single" w:sz="8" w:color="08228B"/>
            </w:tcBorders>
          </w:tcPr>
          <w:p>
            <w:pPr>
              <w:spacing w:after="0"/>
              <w:rPr>
                <w:sz w:val="24"/>
                <w:szCs w:val="24"/>
                <w:color w:val="auto"/>
              </w:rPr>
            </w:pPr>
          </w:p>
        </w:tc>
        <w:tc>
          <w:tcPr>
            <w:tcW w:w="2620" w:type="dxa"/>
            <w:vAlign w:val="bottom"/>
            <w:vMerge w:val="restart"/>
          </w:tcPr>
          <w:p>
            <w:pPr>
              <w:jc w:val="right"/>
              <w:ind w:right="39"/>
              <w:spacing w:after="0"/>
              <w:rPr>
                <w:sz w:val="20"/>
                <w:szCs w:val="20"/>
                <w:color w:val="auto"/>
              </w:rPr>
            </w:pPr>
            <w:r>
              <w:rPr>
                <w:rFonts w:ascii="Arial" w:cs="Arial" w:eastAsia="Arial" w:hAnsi="Arial"/>
                <w:sz w:val="16"/>
                <w:szCs w:val="16"/>
                <w:color w:val="08228B"/>
              </w:rPr>
              <w:t>35</w:t>
            </w:r>
          </w:p>
        </w:tc>
        <w:tc>
          <w:tcPr>
            <w:tcW w:w="0" w:type="dxa"/>
            <w:vAlign w:val="bottom"/>
          </w:tcPr>
          <w:p>
            <w:pPr>
              <w:spacing w:after="0"/>
              <w:rPr>
                <w:sz w:val="1"/>
                <w:szCs w:val="1"/>
                <w:color w:val="auto"/>
              </w:rPr>
            </w:pPr>
          </w:p>
        </w:tc>
      </w:tr>
      <w:tr>
        <w:trPr>
          <w:trHeight w:val="82"/>
        </w:trPr>
        <w:tc>
          <w:tcPr>
            <w:tcW w:w="20" w:type="dxa"/>
            <w:vAlign w:val="bottom"/>
            <w:vMerge w:val="continue"/>
          </w:tcPr>
          <w:p>
            <w:pPr>
              <w:spacing w:after="0"/>
              <w:rPr>
                <w:sz w:val="7"/>
                <w:szCs w:val="7"/>
                <w:color w:val="auto"/>
              </w:rPr>
            </w:pPr>
          </w:p>
        </w:tc>
        <w:tc>
          <w:tcPr>
            <w:tcW w:w="4320" w:type="dxa"/>
            <w:vAlign w:val="bottom"/>
          </w:tcPr>
          <w:p>
            <w:pPr>
              <w:spacing w:after="0"/>
              <w:rPr>
                <w:sz w:val="7"/>
                <w:szCs w:val="7"/>
                <w:color w:val="auto"/>
              </w:rPr>
            </w:pPr>
          </w:p>
        </w:tc>
        <w:tc>
          <w:tcPr>
            <w:tcW w:w="2060" w:type="dxa"/>
            <w:vAlign w:val="bottom"/>
            <w:vMerge w:val="continue"/>
          </w:tcPr>
          <w:p>
            <w:pPr>
              <w:spacing w:after="0"/>
              <w:rPr>
                <w:sz w:val="7"/>
                <w:szCs w:val="7"/>
                <w:color w:val="auto"/>
              </w:rPr>
            </w:pPr>
          </w:p>
        </w:tc>
        <w:tc>
          <w:tcPr>
            <w:tcW w:w="2400" w:type="dxa"/>
            <w:vAlign w:val="bottom"/>
          </w:tcPr>
          <w:p>
            <w:pPr>
              <w:spacing w:after="0"/>
              <w:rPr>
                <w:sz w:val="7"/>
                <w:szCs w:val="7"/>
                <w:color w:val="auto"/>
              </w:rPr>
            </w:pPr>
          </w:p>
        </w:tc>
        <w:tc>
          <w:tcPr>
            <w:tcW w:w="2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7"/>
        </w:trPr>
        <w:tc>
          <w:tcPr>
            <w:tcW w:w="20" w:type="dxa"/>
            <w:vAlign w:val="bottom"/>
          </w:tcPr>
          <w:p>
            <w:pPr>
              <w:spacing w:after="0"/>
              <w:rPr>
                <w:sz w:val="24"/>
                <w:szCs w:val="24"/>
                <w:color w:val="auto"/>
              </w:rPr>
            </w:pPr>
          </w:p>
        </w:tc>
        <w:tc>
          <w:tcPr>
            <w:tcW w:w="4320" w:type="dxa"/>
            <w:vAlign w:val="bottom"/>
            <w:tcBorders>
              <w:bottom w:val="single" w:sz="8" w:color="C0C0C0"/>
            </w:tcBorders>
          </w:tcPr>
          <w:p>
            <w:pPr>
              <w:spacing w:after="0"/>
              <w:rPr>
                <w:sz w:val="24"/>
                <w:szCs w:val="24"/>
                <w:color w:val="auto"/>
              </w:rPr>
            </w:pPr>
          </w:p>
        </w:tc>
        <w:tc>
          <w:tcPr>
            <w:tcW w:w="2060" w:type="dxa"/>
            <w:vAlign w:val="bottom"/>
            <w:tcBorders>
              <w:bottom w:val="single" w:sz="8" w:color="C0C0C0"/>
            </w:tcBorders>
          </w:tcPr>
          <w:p>
            <w:pPr>
              <w:spacing w:after="0"/>
              <w:rPr>
                <w:sz w:val="24"/>
                <w:szCs w:val="24"/>
                <w:color w:val="auto"/>
              </w:rPr>
            </w:pPr>
          </w:p>
        </w:tc>
        <w:tc>
          <w:tcPr>
            <w:tcW w:w="2400" w:type="dxa"/>
            <w:vAlign w:val="bottom"/>
            <w:tcBorders>
              <w:bottom w:val="single" w:sz="8" w:color="C0C0C0"/>
            </w:tcBorders>
          </w:tcPr>
          <w:p>
            <w:pPr>
              <w:spacing w:after="0"/>
              <w:rPr>
                <w:sz w:val="24"/>
                <w:szCs w:val="24"/>
                <w:color w:val="auto"/>
              </w:rPr>
            </w:pPr>
          </w:p>
        </w:tc>
        <w:tc>
          <w:tcPr>
            <w:tcW w:w="262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5613400</wp:posOffset>
            </wp:positionH>
            <wp:positionV relativeFrom="paragraph">
              <wp:posOffset>-334010</wp:posOffset>
            </wp:positionV>
            <wp:extent cx="1286510" cy="8572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1286510" cy="8572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125730</wp:posOffset>
            </wp:positionV>
            <wp:extent cx="7250430" cy="939482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250430" cy="9394825"/>
                    </a:xfrm>
                    <a:prstGeom prst="rect">
                      <a:avLst/>
                    </a:prstGeom>
                    <a:noFill/>
                  </pic:spPr>
                </pic:pic>
              </a:graphicData>
            </a:graphic>
          </wp:anchor>
        </w:drawing>
      </w:r>
    </w:p>
    <w:p>
      <w:pPr>
        <w:spacing w:after="0" w:line="245" w:lineRule="exact"/>
        <w:rPr>
          <w:sz w:val="20"/>
          <w:szCs w:val="20"/>
          <w:color w:val="auto"/>
        </w:rPr>
      </w:pPr>
    </w:p>
    <w:p>
      <w:pPr>
        <w:ind w:left="80"/>
        <w:spacing w:after="0"/>
        <w:rPr>
          <w:sz w:val="20"/>
          <w:szCs w:val="20"/>
          <w:color w:val="auto"/>
        </w:rPr>
      </w:pPr>
      <w:r>
        <w:rPr>
          <w:rFonts w:ascii="Arial" w:cs="Arial" w:eastAsia="Arial" w:hAnsi="Arial"/>
          <w:sz w:val="32"/>
          <w:szCs w:val="32"/>
          <w:color w:val="auto"/>
        </w:rPr>
        <w:t>Compensation Overview</w:t>
      </w:r>
    </w:p>
    <w:p>
      <w:pPr>
        <w:spacing w:after="0" w:line="319" w:lineRule="exact"/>
        <w:rPr>
          <w:sz w:val="20"/>
          <w:szCs w:val="20"/>
          <w:color w:val="auto"/>
        </w:rPr>
      </w:pPr>
    </w:p>
    <w:p>
      <w:pPr>
        <w:ind w:left="540" w:hanging="469"/>
        <w:spacing w:after="0"/>
        <w:tabs>
          <w:tab w:leader="none" w:pos="540" w:val="left"/>
        </w:tabs>
        <w:numPr>
          <w:ilvl w:val="0"/>
          <w:numId w:val="25"/>
        </w:numPr>
        <w:rPr>
          <w:rFonts w:ascii="Arial" w:cs="Arial" w:eastAsia="Arial" w:hAnsi="Arial"/>
          <w:sz w:val="25"/>
          <w:szCs w:val="25"/>
          <w:color w:val="08228B"/>
        </w:rPr>
      </w:pPr>
      <w:r>
        <w:rPr>
          <w:rFonts w:ascii="Arial" w:cs="Arial" w:eastAsia="Arial" w:hAnsi="Arial"/>
          <w:sz w:val="25"/>
          <w:szCs w:val="25"/>
          <w:color w:val="auto"/>
        </w:rPr>
        <w:t>Our Company Performance</w:t>
      </w:r>
    </w:p>
    <w:p>
      <w:pPr>
        <w:spacing w:after="0" w:line="179"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In 2015, we continued progress toward our goal of making GM the most valued automotive company for our shareholders:</w:t>
      </w:r>
    </w:p>
    <w:p>
      <w:pPr>
        <w:spacing w:after="0" w:line="29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Achieved record sales, earnings, and margins;</w:t>
      </w:r>
    </w:p>
    <w:p>
      <w:pPr>
        <w:spacing w:after="0" w:line="8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Continued strong vehicle sales with deliveries of more than 9.9 million units globally;</w:t>
      </w:r>
    </w:p>
    <w:p>
      <w:pPr>
        <w:spacing w:after="0" w:line="84" w:lineRule="exact"/>
        <w:rPr>
          <w:sz w:val="20"/>
          <w:szCs w:val="20"/>
          <w:color w:val="auto"/>
        </w:rPr>
      </w:pPr>
    </w:p>
    <w:p>
      <w:pPr>
        <w:ind w:left="400"/>
        <w:spacing w:after="0"/>
        <w:rPr>
          <w:sz w:val="20"/>
          <w:szCs w:val="20"/>
          <w:color w:val="auto"/>
        </w:rPr>
      </w:pPr>
      <w:r>
        <w:rPr>
          <w:rFonts w:ascii="Arial" w:cs="Arial" w:eastAsia="Arial" w:hAnsi="Arial"/>
          <w:sz w:val="16"/>
          <w:szCs w:val="16"/>
          <w:color w:val="auto"/>
        </w:rPr>
        <w:t>Increased EPS-Diluted to $5.91 and EPS-Diluted-Adjusted by 65 percent year-over-year to $5.02;</w:t>
      </w:r>
      <w:r>
        <w:rPr>
          <w:rFonts w:ascii="Arial" w:cs="Arial" w:eastAsia="Arial" w:hAnsi="Arial"/>
          <w:sz w:val="27"/>
          <w:szCs w:val="27"/>
          <w:color w:val="auto"/>
          <w:vertAlign w:val="superscript"/>
        </w:rPr>
        <w:t>(1)</w:t>
      </w:r>
    </w:p>
    <w:p>
      <w:pPr>
        <w:spacing w:after="0" w:line="3" w:lineRule="exact"/>
        <w:rPr>
          <w:sz w:val="20"/>
          <w:szCs w:val="20"/>
          <w:color w:val="auto"/>
        </w:rPr>
      </w:pPr>
    </w:p>
    <w:p>
      <w:pPr>
        <w:ind w:left="400"/>
        <w:spacing w:after="0"/>
        <w:rPr>
          <w:sz w:val="20"/>
          <w:szCs w:val="20"/>
          <w:color w:val="auto"/>
        </w:rPr>
      </w:pPr>
      <w:r>
        <w:rPr>
          <w:rFonts w:ascii="Arial" w:cs="Arial" w:eastAsia="Arial" w:hAnsi="Arial"/>
          <w:sz w:val="16"/>
          <w:szCs w:val="16"/>
          <w:color w:val="auto"/>
        </w:rPr>
        <w:t>Returned $5.7 billion to shareholders through share repurchases and dividend payments;</w:t>
      </w:r>
    </w:p>
    <w:p>
      <w:pPr>
        <w:spacing w:after="0" w:line="8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Generated greater than 10 percent EBIT-Adjusted margins for North America, one year ahead of plan;</w:t>
      </w:r>
    </w:p>
    <w:p>
      <w:pPr>
        <w:spacing w:after="0" w:line="8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Increased average transaction prices in the U.S. by nearly $800 per vehicle;</w:t>
      </w:r>
    </w:p>
    <w:p>
      <w:pPr>
        <w:spacing w:after="0" w:line="86" w:lineRule="exact"/>
        <w:rPr>
          <w:sz w:val="20"/>
          <w:szCs w:val="20"/>
          <w:color w:val="auto"/>
        </w:rPr>
      </w:pPr>
    </w:p>
    <w:p>
      <w:pPr>
        <w:ind w:left="400" w:right="1260"/>
        <w:spacing w:after="0" w:line="352" w:lineRule="auto"/>
        <w:rPr>
          <w:sz w:val="20"/>
          <w:szCs w:val="20"/>
          <w:color w:val="auto"/>
        </w:rPr>
      </w:pPr>
      <w:r>
        <w:rPr>
          <w:rFonts w:ascii="Arial" w:cs="Arial" w:eastAsia="Arial" w:hAnsi="Arial"/>
          <w:sz w:val="16"/>
          <w:szCs w:val="16"/>
          <w:color w:val="auto"/>
        </w:rPr>
        <w:t>Announced plans for Autonomous Vehicle Development with real-world testing at the General Motors Technical Center Campus in 2016; Increased focus on urban mobility efforts;</w:t>
      </w:r>
    </w:p>
    <w:p>
      <w:pPr>
        <w:spacing w:after="0" w:line="1" w:lineRule="exact"/>
        <w:rPr>
          <w:sz w:val="20"/>
          <w:szCs w:val="20"/>
          <w:color w:val="auto"/>
        </w:rPr>
      </w:pPr>
    </w:p>
    <w:p>
      <w:pPr>
        <w:ind w:left="400" w:right="220"/>
        <w:spacing w:after="0" w:line="250" w:lineRule="auto"/>
        <w:rPr>
          <w:sz w:val="20"/>
          <w:szCs w:val="20"/>
          <w:color w:val="auto"/>
        </w:rPr>
      </w:pPr>
      <w:r>
        <w:rPr>
          <w:rFonts w:ascii="Arial" w:cs="Arial" w:eastAsia="Arial" w:hAnsi="Arial"/>
          <w:sz w:val="16"/>
          <w:szCs w:val="16"/>
          <w:color w:val="auto"/>
        </w:rPr>
        <w:t>Expanded connectivity available in North America, South America, China, and Europe; GM has more connected vehicles than all other OEMs combined;</w:t>
      </w:r>
    </w:p>
    <w:p>
      <w:pPr>
        <w:spacing w:after="0" w:line="268" w:lineRule="exact"/>
        <w:rPr>
          <w:sz w:val="20"/>
          <w:szCs w:val="20"/>
          <w:color w:val="auto"/>
        </w:rPr>
      </w:pPr>
    </w:p>
    <w:p>
      <w:pPr>
        <w:ind w:left="400" w:right="2720"/>
        <w:spacing w:after="0" w:line="352" w:lineRule="auto"/>
        <w:rPr>
          <w:sz w:val="20"/>
          <w:szCs w:val="20"/>
          <w:color w:val="auto"/>
        </w:rPr>
      </w:pPr>
      <w:r>
        <w:rPr>
          <w:rFonts w:ascii="Arial" w:cs="Arial" w:eastAsia="Arial" w:hAnsi="Arial"/>
          <w:sz w:val="16"/>
          <w:szCs w:val="16"/>
          <w:color w:val="auto"/>
        </w:rPr>
        <w:t>Developed mixed-metal manufacturing techniques to allow for the use of more lightweight metals on future vehicles; Realized savings in material costs and logistics in excess of $2 billion;</w:t>
      </w:r>
    </w:p>
    <w:p>
      <w:pPr>
        <w:spacing w:after="0" w:line="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Continued to transition GM Financial into a full captive finance company for all GM brands; and</w:t>
      </w:r>
    </w:p>
    <w:p>
      <w:pPr>
        <w:spacing w:after="0" w:line="86" w:lineRule="exact"/>
        <w:rPr>
          <w:sz w:val="20"/>
          <w:szCs w:val="20"/>
          <w:color w:val="auto"/>
        </w:rPr>
      </w:pPr>
    </w:p>
    <w:p>
      <w:pPr>
        <w:ind w:left="400" w:right="220"/>
        <w:spacing w:after="0" w:line="260" w:lineRule="auto"/>
        <w:rPr>
          <w:sz w:val="20"/>
          <w:szCs w:val="20"/>
          <w:color w:val="auto"/>
        </w:rPr>
      </w:pPr>
      <w:r>
        <w:rPr>
          <w:rFonts w:ascii="Arial" w:cs="Arial" w:eastAsia="Arial" w:hAnsi="Arial"/>
          <w:sz w:val="16"/>
          <w:szCs w:val="16"/>
          <w:color w:val="auto"/>
        </w:rPr>
        <w:t>Strengthened global Chevrolet and Cadillac brands; in the U.S., grew Chevrolet retail market share faster than any other full-line automotive brand and delivered 8 percent year-over-year increase in global Cadillac sales.</w:t>
      </w:r>
    </w:p>
    <w:p>
      <w:pPr>
        <w:spacing w:after="0" w:line="36" w:lineRule="exact"/>
        <w:rPr>
          <w:sz w:val="20"/>
          <w:szCs w:val="20"/>
          <w:color w:val="auto"/>
        </w:rPr>
      </w:pPr>
    </w:p>
    <w:p>
      <w:pPr>
        <w:ind w:left="400" w:right="180" w:hanging="329"/>
        <w:spacing w:after="0" w:line="279" w:lineRule="auto"/>
        <w:tabs>
          <w:tab w:leader="none" w:pos="400" w:val="left"/>
        </w:tabs>
        <w:numPr>
          <w:ilvl w:val="0"/>
          <w:numId w:val="26"/>
        </w:numPr>
        <w:rPr>
          <w:rFonts w:ascii="Arial" w:cs="Arial" w:eastAsia="Arial" w:hAnsi="Arial"/>
          <w:sz w:val="14"/>
          <w:szCs w:val="14"/>
          <w:i w:val="1"/>
          <w:iCs w:val="1"/>
          <w:color w:val="auto"/>
        </w:rPr>
      </w:pPr>
      <w:r>
        <w:rPr>
          <w:rFonts w:ascii="Arial" w:cs="Arial" w:eastAsia="Arial" w:hAnsi="Arial"/>
          <w:sz w:val="14"/>
          <w:szCs w:val="14"/>
          <w:i w:val="1"/>
          <w:iCs w:val="1"/>
          <w:color w:val="auto"/>
        </w:rPr>
        <w:t>Refer to Item 7, Management’s Discussion and Analysis of Financial Condition and Results of Operations in our Annual Report on Form 10-K for a reconciliation of this non-GAAP measure to its closest comparable GAAP measure.</w:t>
      </w:r>
    </w:p>
    <w:p>
      <w:pPr>
        <w:spacing w:after="0" w:line="271" w:lineRule="exact"/>
        <w:rPr>
          <w:rFonts w:ascii="Arial" w:cs="Arial" w:eastAsia="Arial" w:hAnsi="Arial"/>
          <w:sz w:val="14"/>
          <w:szCs w:val="14"/>
          <w:i w:val="1"/>
          <w:iCs w:val="1"/>
          <w:color w:val="auto"/>
        </w:rPr>
      </w:pPr>
    </w:p>
    <w:p>
      <w:pPr>
        <w:ind w:left="540" w:hanging="415"/>
        <w:spacing w:after="0"/>
        <w:tabs>
          <w:tab w:leader="none" w:pos="540" w:val="left"/>
        </w:tabs>
        <w:numPr>
          <w:ilvl w:val="1"/>
          <w:numId w:val="26"/>
        </w:numPr>
        <w:rPr>
          <w:rFonts w:ascii="Arial" w:cs="Arial" w:eastAsia="Arial" w:hAnsi="Arial"/>
          <w:sz w:val="25"/>
          <w:szCs w:val="25"/>
          <w:color w:val="08228B"/>
        </w:rPr>
      </w:pPr>
      <w:r>
        <w:rPr>
          <w:rFonts w:ascii="Arial" w:cs="Arial" w:eastAsia="Arial" w:hAnsi="Arial"/>
          <w:sz w:val="25"/>
          <w:szCs w:val="25"/>
          <w:color w:val="auto"/>
        </w:rPr>
        <w:t>Our Vehicle Launches</w:t>
      </w:r>
    </w:p>
    <w:p>
      <w:pPr>
        <w:spacing w:after="0" w:line="199" w:lineRule="exact"/>
        <w:rPr>
          <w:sz w:val="20"/>
          <w:szCs w:val="20"/>
          <w:color w:val="auto"/>
        </w:rPr>
      </w:pPr>
    </w:p>
    <w:p>
      <w:pPr>
        <w:ind w:left="80"/>
        <w:spacing w:after="0"/>
        <w:rPr>
          <w:sz w:val="20"/>
          <w:szCs w:val="20"/>
          <w:color w:val="auto"/>
        </w:rPr>
      </w:pPr>
      <w:r>
        <w:rPr>
          <w:rFonts w:ascii="Arial" w:cs="Arial" w:eastAsia="Arial" w:hAnsi="Arial"/>
          <w:sz w:val="16"/>
          <w:szCs w:val="16"/>
          <w:color w:val="auto"/>
        </w:rPr>
        <w:t>We launched 25 vehicles across the globe in 2015, including some of the key vehicles below:</w:t>
      </w:r>
    </w:p>
    <w:p>
      <w:pPr>
        <w:spacing w:after="0" w:line="194" w:lineRule="exact"/>
        <w:rPr>
          <w:sz w:val="20"/>
          <w:szCs w:val="20"/>
          <w:color w:val="auto"/>
        </w:rPr>
      </w:pPr>
    </w:p>
    <w:p>
      <w:pPr>
        <w:ind w:left="360" w:hanging="235"/>
        <w:spacing w:after="0"/>
        <w:tabs>
          <w:tab w:leader="none" w:pos="360" w:val="left"/>
        </w:tabs>
        <w:numPr>
          <w:ilvl w:val="0"/>
          <w:numId w:val="27"/>
        </w:numPr>
        <w:rPr>
          <w:rFonts w:ascii="Arial" w:cs="Arial" w:eastAsia="Arial" w:hAnsi="Arial"/>
          <w:sz w:val="16"/>
          <w:szCs w:val="16"/>
          <w:color w:val="08228B"/>
        </w:rPr>
      </w:pPr>
      <w:r>
        <w:rPr>
          <w:rFonts w:ascii="Arial" w:cs="Arial" w:eastAsia="Arial" w:hAnsi="Arial"/>
          <w:sz w:val="16"/>
          <w:szCs w:val="16"/>
          <w:color w:val="auto"/>
        </w:rPr>
        <w:t>Buick Excelle (GM China)</w:t>
      </w:r>
    </w:p>
    <w:p>
      <w:pPr>
        <w:spacing w:after="0" w:line="86" w:lineRule="exact"/>
        <w:rPr>
          <w:rFonts w:ascii="Arial" w:cs="Arial" w:eastAsia="Arial" w:hAnsi="Arial"/>
          <w:sz w:val="16"/>
          <w:szCs w:val="16"/>
          <w:color w:val="08228B"/>
        </w:rPr>
      </w:pPr>
    </w:p>
    <w:p>
      <w:pPr>
        <w:ind w:left="360" w:hanging="235"/>
        <w:spacing w:after="0"/>
        <w:tabs>
          <w:tab w:leader="none" w:pos="360" w:val="left"/>
        </w:tabs>
        <w:numPr>
          <w:ilvl w:val="0"/>
          <w:numId w:val="27"/>
        </w:numPr>
        <w:rPr>
          <w:rFonts w:ascii="Arial" w:cs="Arial" w:eastAsia="Arial" w:hAnsi="Arial"/>
          <w:sz w:val="16"/>
          <w:szCs w:val="16"/>
          <w:color w:val="08228B"/>
        </w:rPr>
      </w:pPr>
      <w:r>
        <w:rPr>
          <w:rFonts w:ascii="Arial" w:cs="Arial" w:eastAsia="Arial" w:hAnsi="Arial"/>
          <w:sz w:val="16"/>
          <w:szCs w:val="16"/>
          <w:color w:val="auto"/>
        </w:rPr>
        <w:t>Chevrolet Malibu (GM China, GM International, GM North America, GM South America)</w:t>
      </w:r>
    </w:p>
    <w:p>
      <w:pPr>
        <w:spacing w:after="0" w:line="86" w:lineRule="exact"/>
        <w:rPr>
          <w:rFonts w:ascii="Arial" w:cs="Arial" w:eastAsia="Arial" w:hAnsi="Arial"/>
          <w:sz w:val="16"/>
          <w:szCs w:val="16"/>
          <w:color w:val="08228B"/>
        </w:rPr>
      </w:pPr>
    </w:p>
    <w:p>
      <w:pPr>
        <w:ind w:left="360" w:hanging="235"/>
        <w:spacing w:after="0"/>
        <w:tabs>
          <w:tab w:leader="none" w:pos="360" w:val="left"/>
        </w:tabs>
        <w:numPr>
          <w:ilvl w:val="0"/>
          <w:numId w:val="27"/>
        </w:numPr>
        <w:rPr>
          <w:rFonts w:ascii="Arial" w:cs="Arial" w:eastAsia="Arial" w:hAnsi="Arial"/>
          <w:sz w:val="16"/>
          <w:szCs w:val="16"/>
          <w:color w:val="08228B"/>
        </w:rPr>
      </w:pPr>
      <w:r>
        <w:rPr>
          <w:rFonts w:ascii="Arial" w:cs="Arial" w:eastAsia="Arial" w:hAnsi="Arial"/>
          <w:sz w:val="16"/>
          <w:szCs w:val="16"/>
          <w:color w:val="auto"/>
        </w:rPr>
        <w:t>Chevrolet Volt (GM China, GM North America)</w:t>
      </w:r>
    </w:p>
    <w:p>
      <w:pPr>
        <w:spacing w:after="0" w:line="86" w:lineRule="exact"/>
        <w:rPr>
          <w:rFonts w:ascii="Arial" w:cs="Arial" w:eastAsia="Arial" w:hAnsi="Arial"/>
          <w:sz w:val="16"/>
          <w:szCs w:val="16"/>
          <w:color w:val="08228B"/>
        </w:rPr>
      </w:pPr>
    </w:p>
    <w:p>
      <w:pPr>
        <w:ind w:left="360" w:hanging="235"/>
        <w:spacing w:after="0"/>
        <w:tabs>
          <w:tab w:leader="none" w:pos="360" w:val="left"/>
        </w:tabs>
        <w:numPr>
          <w:ilvl w:val="0"/>
          <w:numId w:val="27"/>
        </w:numPr>
        <w:rPr>
          <w:rFonts w:ascii="Arial" w:cs="Arial" w:eastAsia="Arial" w:hAnsi="Arial"/>
          <w:sz w:val="16"/>
          <w:szCs w:val="16"/>
          <w:color w:val="08228B"/>
        </w:rPr>
      </w:pPr>
      <w:r>
        <w:rPr>
          <w:rFonts w:ascii="Arial" w:cs="Arial" w:eastAsia="Arial" w:hAnsi="Arial"/>
          <w:sz w:val="16"/>
          <w:szCs w:val="16"/>
          <w:color w:val="auto"/>
        </w:rPr>
        <w:t>Opel / Vauxhall Astra (GM Europe, GM South America)</w:t>
      </w:r>
    </w:p>
    <w:p>
      <w:pPr>
        <w:spacing w:after="0" w:line="86" w:lineRule="exact"/>
        <w:rPr>
          <w:rFonts w:ascii="Arial" w:cs="Arial" w:eastAsia="Arial" w:hAnsi="Arial"/>
          <w:sz w:val="16"/>
          <w:szCs w:val="16"/>
          <w:color w:val="08228B"/>
        </w:rPr>
      </w:pPr>
    </w:p>
    <w:p>
      <w:pPr>
        <w:ind w:left="360" w:hanging="235"/>
        <w:spacing w:after="0"/>
        <w:tabs>
          <w:tab w:leader="none" w:pos="360" w:val="left"/>
        </w:tabs>
        <w:numPr>
          <w:ilvl w:val="0"/>
          <w:numId w:val="27"/>
        </w:numPr>
        <w:rPr>
          <w:rFonts w:ascii="Arial" w:cs="Arial" w:eastAsia="Arial" w:hAnsi="Arial"/>
          <w:sz w:val="16"/>
          <w:szCs w:val="16"/>
          <w:color w:val="08228B"/>
        </w:rPr>
      </w:pPr>
      <w:r>
        <w:rPr>
          <w:rFonts w:ascii="Arial" w:cs="Arial" w:eastAsia="Arial" w:hAnsi="Arial"/>
          <w:sz w:val="16"/>
          <w:szCs w:val="16"/>
          <w:color w:val="auto"/>
        </w:rPr>
        <w:t>Chevrolet Camaro (GM Europe, GM International, GM North America, GM South America)</w:t>
      </w:r>
    </w:p>
    <w:p>
      <w:pPr>
        <w:spacing w:after="0" w:line="86" w:lineRule="exact"/>
        <w:rPr>
          <w:rFonts w:ascii="Arial" w:cs="Arial" w:eastAsia="Arial" w:hAnsi="Arial"/>
          <w:sz w:val="16"/>
          <w:szCs w:val="16"/>
          <w:color w:val="08228B"/>
        </w:rPr>
      </w:pPr>
    </w:p>
    <w:p>
      <w:pPr>
        <w:ind w:left="360" w:hanging="235"/>
        <w:spacing w:after="0"/>
        <w:tabs>
          <w:tab w:leader="none" w:pos="360" w:val="left"/>
        </w:tabs>
        <w:numPr>
          <w:ilvl w:val="0"/>
          <w:numId w:val="27"/>
        </w:numPr>
        <w:rPr>
          <w:rFonts w:ascii="Arial" w:cs="Arial" w:eastAsia="Arial" w:hAnsi="Arial"/>
          <w:sz w:val="16"/>
          <w:szCs w:val="16"/>
          <w:color w:val="08228B"/>
        </w:rPr>
      </w:pPr>
      <w:r>
        <w:rPr>
          <w:rFonts w:ascii="Arial" w:cs="Arial" w:eastAsia="Arial" w:hAnsi="Arial"/>
          <w:sz w:val="16"/>
          <w:szCs w:val="16"/>
          <w:color w:val="auto"/>
        </w:rPr>
        <w:t>Chevrolet Spark (GM International, GM North America, GM South America)</w:t>
      </w:r>
    </w:p>
    <w:p>
      <w:pPr>
        <w:spacing w:after="0" w:line="86" w:lineRule="exact"/>
        <w:rPr>
          <w:rFonts w:ascii="Arial" w:cs="Arial" w:eastAsia="Arial" w:hAnsi="Arial"/>
          <w:sz w:val="16"/>
          <w:szCs w:val="16"/>
          <w:color w:val="08228B"/>
        </w:rPr>
      </w:pPr>
    </w:p>
    <w:p>
      <w:pPr>
        <w:ind w:left="360" w:hanging="235"/>
        <w:spacing w:after="0"/>
        <w:tabs>
          <w:tab w:leader="none" w:pos="360" w:val="left"/>
        </w:tabs>
        <w:numPr>
          <w:ilvl w:val="0"/>
          <w:numId w:val="27"/>
        </w:numPr>
        <w:rPr>
          <w:rFonts w:ascii="Arial" w:cs="Arial" w:eastAsia="Arial" w:hAnsi="Arial"/>
          <w:sz w:val="16"/>
          <w:szCs w:val="16"/>
          <w:color w:val="08228B"/>
        </w:rPr>
      </w:pPr>
      <w:r>
        <w:rPr>
          <w:rFonts w:ascii="Arial" w:cs="Arial" w:eastAsia="Arial" w:hAnsi="Arial"/>
          <w:sz w:val="16"/>
          <w:szCs w:val="16"/>
          <w:color w:val="auto"/>
        </w:rPr>
        <w:t>Opel Karl (GM Europe, GM North America, GM South America)</w:t>
      </w:r>
    </w:p>
    <w:p>
      <w:pPr>
        <w:spacing w:after="0" w:line="86" w:lineRule="exact"/>
        <w:rPr>
          <w:rFonts w:ascii="Arial" w:cs="Arial" w:eastAsia="Arial" w:hAnsi="Arial"/>
          <w:sz w:val="16"/>
          <w:szCs w:val="16"/>
          <w:color w:val="08228B"/>
        </w:rPr>
      </w:pPr>
    </w:p>
    <w:p>
      <w:pPr>
        <w:ind w:left="360" w:hanging="235"/>
        <w:spacing w:after="0"/>
        <w:tabs>
          <w:tab w:leader="none" w:pos="360" w:val="left"/>
        </w:tabs>
        <w:numPr>
          <w:ilvl w:val="0"/>
          <w:numId w:val="27"/>
        </w:numPr>
        <w:rPr>
          <w:rFonts w:ascii="Arial" w:cs="Arial" w:eastAsia="Arial" w:hAnsi="Arial"/>
          <w:sz w:val="16"/>
          <w:szCs w:val="16"/>
          <w:color w:val="08228B"/>
        </w:rPr>
      </w:pPr>
      <w:r>
        <w:rPr>
          <w:rFonts w:ascii="Arial" w:cs="Arial" w:eastAsia="Arial" w:hAnsi="Arial"/>
          <w:sz w:val="16"/>
          <w:szCs w:val="16"/>
          <w:color w:val="auto"/>
        </w:rPr>
        <w:t>Vauxhall Viva (GM Europe)</w:t>
      </w:r>
    </w:p>
    <w:p>
      <w:pPr>
        <w:spacing w:after="0" w:line="315" w:lineRule="exact"/>
        <w:rPr>
          <w:sz w:val="20"/>
          <w:szCs w:val="20"/>
          <w:color w:val="auto"/>
        </w:rPr>
      </w:pPr>
    </w:p>
    <w:p>
      <w:pPr>
        <w:ind w:left="540" w:hanging="415"/>
        <w:spacing w:after="0"/>
        <w:tabs>
          <w:tab w:leader="none" w:pos="540" w:val="left"/>
        </w:tabs>
        <w:numPr>
          <w:ilvl w:val="0"/>
          <w:numId w:val="28"/>
        </w:numPr>
        <w:rPr>
          <w:rFonts w:ascii="Arial" w:cs="Arial" w:eastAsia="Arial" w:hAnsi="Arial"/>
          <w:sz w:val="25"/>
          <w:szCs w:val="25"/>
          <w:color w:val="08228B"/>
        </w:rPr>
      </w:pPr>
      <w:r>
        <w:rPr>
          <w:rFonts w:ascii="Arial" w:cs="Arial" w:eastAsia="Arial" w:hAnsi="Arial"/>
          <w:sz w:val="25"/>
          <w:szCs w:val="25"/>
          <w:color w:val="auto"/>
        </w:rPr>
        <w:t>Our 2015 Named Executive Officers</w:t>
      </w:r>
    </w:p>
    <w:p>
      <w:pPr>
        <w:spacing w:after="0" w:line="200" w:lineRule="exact"/>
        <w:rPr>
          <w:sz w:val="20"/>
          <w:szCs w:val="20"/>
          <w:color w:val="auto"/>
        </w:rPr>
      </w:pPr>
    </w:p>
    <w:p>
      <w:pPr>
        <w:spacing w:after="0" w:line="317" w:lineRule="exact"/>
        <w:rPr>
          <w:sz w:val="20"/>
          <w:szCs w:val="20"/>
          <w:color w:val="auto"/>
        </w:rPr>
      </w:pPr>
    </w:p>
    <w:tbl>
      <w:tblPr>
        <w:tblLayout w:type="fixed"/>
        <w:tblInd w:w="80" w:type="dxa"/>
        <w:tblCellMar>
          <w:top w:w="0" w:type="dxa"/>
          <w:left w:w="0" w:type="dxa"/>
          <w:bottom w:w="0" w:type="dxa"/>
          <w:right w:w="0" w:type="dxa"/>
        </w:tblCellMar>
      </w:tblPr>
      <w:tr>
        <w:trPr>
          <w:trHeight w:val="349"/>
        </w:trPr>
        <w:tc>
          <w:tcPr>
            <w:tcW w:w="2160" w:type="dxa"/>
            <w:vAlign w:val="bottom"/>
          </w:tcPr>
          <w:p>
            <w:pPr>
              <w:spacing w:after="0"/>
              <w:rPr>
                <w:sz w:val="20"/>
                <w:szCs w:val="20"/>
                <w:color w:val="auto"/>
              </w:rPr>
            </w:pPr>
            <w:r>
              <w:rPr>
                <w:rFonts w:ascii="Arial" w:cs="Arial" w:eastAsia="Arial" w:hAnsi="Arial"/>
                <w:sz w:val="16"/>
                <w:szCs w:val="16"/>
                <w:b w:val="1"/>
                <w:bCs w:val="1"/>
                <w:color w:val="08228B"/>
              </w:rPr>
              <w:t>Mary T. Barra</w:t>
            </w:r>
          </w:p>
        </w:tc>
        <w:tc>
          <w:tcPr>
            <w:tcW w:w="9020" w:type="dxa"/>
            <w:vAlign w:val="bottom"/>
          </w:tcPr>
          <w:p>
            <w:pPr>
              <w:ind w:left="460"/>
              <w:spacing w:after="0"/>
              <w:rPr>
                <w:sz w:val="20"/>
                <w:szCs w:val="20"/>
                <w:color w:val="auto"/>
              </w:rPr>
            </w:pPr>
            <w:r>
              <w:rPr>
                <w:rFonts w:ascii="Arial" w:cs="Arial" w:eastAsia="Arial" w:hAnsi="Arial"/>
                <w:sz w:val="16"/>
                <w:szCs w:val="16"/>
                <w:color w:val="auto"/>
              </w:rPr>
              <w:t>Chief Executive Officer</w:t>
            </w:r>
            <w:r>
              <w:rPr>
                <w:rFonts w:ascii="Arial" w:cs="Arial" w:eastAsia="Arial" w:hAnsi="Arial"/>
                <w:sz w:val="27"/>
                <w:szCs w:val="27"/>
                <w:color w:val="auto"/>
                <w:vertAlign w:val="superscript"/>
              </w:rPr>
              <w:t>(1)</w:t>
            </w:r>
          </w:p>
        </w:tc>
      </w:tr>
      <w:tr>
        <w:trPr>
          <w:trHeight w:val="182"/>
        </w:trPr>
        <w:tc>
          <w:tcPr>
            <w:tcW w:w="2160" w:type="dxa"/>
            <w:vAlign w:val="bottom"/>
            <w:tcBorders>
              <w:bottom w:val="single" w:sz="8" w:color="auto"/>
            </w:tcBorders>
          </w:tcPr>
          <w:p>
            <w:pPr>
              <w:spacing w:after="0"/>
              <w:rPr>
                <w:sz w:val="15"/>
                <w:szCs w:val="15"/>
                <w:color w:val="auto"/>
              </w:rPr>
            </w:pPr>
          </w:p>
        </w:tc>
        <w:tc>
          <w:tcPr>
            <w:tcW w:w="9020" w:type="dxa"/>
            <w:vAlign w:val="bottom"/>
            <w:tcBorders>
              <w:bottom w:val="single" w:sz="8" w:color="auto"/>
            </w:tcBorders>
          </w:tcPr>
          <w:p>
            <w:pPr>
              <w:spacing w:after="0"/>
              <w:rPr>
                <w:sz w:val="15"/>
                <w:szCs w:val="15"/>
                <w:color w:val="auto"/>
              </w:rPr>
            </w:pPr>
          </w:p>
        </w:tc>
      </w:tr>
      <w:tr>
        <w:trPr>
          <w:trHeight w:val="501"/>
        </w:trPr>
        <w:tc>
          <w:tcPr>
            <w:tcW w:w="2160" w:type="dxa"/>
            <w:vAlign w:val="bottom"/>
          </w:tcPr>
          <w:p>
            <w:pPr>
              <w:spacing w:after="0"/>
              <w:rPr>
                <w:sz w:val="20"/>
                <w:szCs w:val="20"/>
                <w:color w:val="auto"/>
              </w:rPr>
            </w:pPr>
            <w:r>
              <w:rPr>
                <w:rFonts w:ascii="Arial" w:cs="Arial" w:eastAsia="Arial" w:hAnsi="Arial"/>
                <w:sz w:val="16"/>
                <w:szCs w:val="16"/>
                <w:b w:val="1"/>
                <w:bCs w:val="1"/>
                <w:color w:val="08228B"/>
              </w:rPr>
              <w:t>Charles K. Stevens, III</w:t>
            </w:r>
          </w:p>
        </w:tc>
        <w:tc>
          <w:tcPr>
            <w:tcW w:w="9020" w:type="dxa"/>
            <w:vAlign w:val="bottom"/>
          </w:tcPr>
          <w:p>
            <w:pPr>
              <w:ind w:left="460"/>
              <w:spacing w:after="0"/>
              <w:rPr>
                <w:sz w:val="20"/>
                <w:szCs w:val="20"/>
                <w:color w:val="auto"/>
              </w:rPr>
            </w:pPr>
            <w:r>
              <w:rPr>
                <w:rFonts w:ascii="Arial" w:cs="Arial" w:eastAsia="Arial" w:hAnsi="Arial"/>
                <w:sz w:val="16"/>
                <w:szCs w:val="16"/>
                <w:color w:val="auto"/>
              </w:rPr>
              <w:t>Executive Vice President &amp; Chief Financial Officer</w:t>
            </w:r>
          </w:p>
        </w:tc>
      </w:tr>
      <w:tr>
        <w:trPr>
          <w:trHeight w:val="303"/>
        </w:trPr>
        <w:tc>
          <w:tcPr>
            <w:tcW w:w="2160" w:type="dxa"/>
            <w:vAlign w:val="bottom"/>
            <w:tcBorders>
              <w:bottom w:val="single" w:sz="8" w:color="auto"/>
            </w:tcBorders>
          </w:tcPr>
          <w:p>
            <w:pPr>
              <w:spacing w:after="0"/>
              <w:rPr>
                <w:sz w:val="24"/>
                <w:szCs w:val="24"/>
                <w:color w:val="auto"/>
              </w:rPr>
            </w:pPr>
          </w:p>
        </w:tc>
        <w:tc>
          <w:tcPr>
            <w:tcW w:w="9020" w:type="dxa"/>
            <w:vAlign w:val="bottom"/>
            <w:tcBorders>
              <w:bottom w:val="single" w:sz="8" w:color="auto"/>
            </w:tcBorders>
          </w:tcPr>
          <w:p>
            <w:pPr>
              <w:spacing w:after="0"/>
              <w:rPr>
                <w:sz w:val="24"/>
                <w:szCs w:val="24"/>
                <w:color w:val="auto"/>
              </w:rPr>
            </w:pPr>
          </w:p>
        </w:tc>
      </w:tr>
      <w:tr>
        <w:trPr>
          <w:trHeight w:val="501"/>
        </w:trPr>
        <w:tc>
          <w:tcPr>
            <w:tcW w:w="2160" w:type="dxa"/>
            <w:vAlign w:val="bottom"/>
          </w:tcPr>
          <w:p>
            <w:pPr>
              <w:spacing w:after="0"/>
              <w:rPr>
                <w:sz w:val="20"/>
                <w:szCs w:val="20"/>
                <w:color w:val="auto"/>
              </w:rPr>
            </w:pPr>
            <w:r>
              <w:rPr>
                <w:rFonts w:ascii="Arial" w:cs="Arial" w:eastAsia="Arial" w:hAnsi="Arial"/>
                <w:sz w:val="16"/>
                <w:szCs w:val="16"/>
                <w:b w:val="1"/>
                <w:bCs w:val="1"/>
                <w:color w:val="08228B"/>
              </w:rPr>
              <w:t>Daniel Ammann</w:t>
            </w:r>
          </w:p>
        </w:tc>
        <w:tc>
          <w:tcPr>
            <w:tcW w:w="9020" w:type="dxa"/>
            <w:vAlign w:val="bottom"/>
          </w:tcPr>
          <w:p>
            <w:pPr>
              <w:ind w:left="460"/>
              <w:spacing w:after="0"/>
              <w:rPr>
                <w:sz w:val="20"/>
                <w:szCs w:val="20"/>
                <w:color w:val="auto"/>
              </w:rPr>
            </w:pPr>
            <w:r>
              <w:rPr>
                <w:rFonts w:ascii="Arial" w:cs="Arial" w:eastAsia="Arial" w:hAnsi="Arial"/>
                <w:sz w:val="16"/>
                <w:szCs w:val="16"/>
                <w:color w:val="auto"/>
              </w:rPr>
              <w:t>President</w:t>
            </w:r>
          </w:p>
        </w:tc>
      </w:tr>
      <w:tr>
        <w:trPr>
          <w:trHeight w:val="303"/>
        </w:trPr>
        <w:tc>
          <w:tcPr>
            <w:tcW w:w="2160" w:type="dxa"/>
            <w:vAlign w:val="bottom"/>
            <w:tcBorders>
              <w:bottom w:val="single" w:sz="8" w:color="auto"/>
            </w:tcBorders>
          </w:tcPr>
          <w:p>
            <w:pPr>
              <w:spacing w:after="0"/>
              <w:rPr>
                <w:sz w:val="24"/>
                <w:szCs w:val="24"/>
                <w:color w:val="auto"/>
              </w:rPr>
            </w:pPr>
          </w:p>
        </w:tc>
        <w:tc>
          <w:tcPr>
            <w:tcW w:w="9020" w:type="dxa"/>
            <w:vAlign w:val="bottom"/>
            <w:tcBorders>
              <w:bottom w:val="single" w:sz="8" w:color="auto"/>
            </w:tcBorders>
          </w:tcPr>
          <w:p>
            <w:pPr>
              <w:spacing w:after="0"/>
              <w:rPr>
                <w:sz w:val="24"/>
                <w:szCs w:val="24"/>
                <w:color w:val="auto"/>
              </w:rPr>
            </w:pPr>
          </w:p>
        </w:tc>
      </w:tr>
      <w:tr>
        <w:trPr>
          <w:trHeight w:val="487"/>
        </w:trPr>
        <w:tc>
          <w:tcPr>
            <w:tcW w:w="2160" w:type="dxa"/>
            <w:vAlign w:val="bottom"/>
          </w:tcPr>
          <w:p>
            <w:pPr>
              <w:spacing w:after="0"/>
              <w:rPr>
                <w:sz w:val="20"/>
                <w:szCs w:val="20"/>
                <w:color w:val="auto"/>
              </w:rPr>
            </w:pPr>
            <w:r>
              <w:rPr>
                <w:rFonts w:ascii="Arial" w:cs="Arial" w:eastAsia="Arial" w:hAnsi="Arial"/>
                <w:sz w:val="16"/>
                <w:szCs w:val="16"/>
                <w:b w:val="1"/>
                <w:bCs w:val="1"/>
                <w:color w:val="08228B"/>
              </w:rPr>
              <w:t>Mark L. Reuss</w:t>
            </w:r>
          </w:p>
        </w:tc>
        <w:tc>
          <w:tcPr>
            <w:tcW w:w="9020" w:type="dxa"/>
            <w:vAlign w:val="bottom"/>
          </w:tcPr>
          <w:p>
            <w:pPr>
              <w:ind w:left="460"/>
              <w:spacing w:after="0"/>
              <w:rPr>
                <w:sz w:val="20"/>
                <w:szCs w:val="20"/>
                <w:color w:val="auto"/>
              </w:rPr>
            </w:pPr>
            <w:r>
              <w:rPr>
                <w:rFonts w:ascii="Arial" w:cs="Arial" w:eastAsia="Arial" w:hAnsi="Arial"/>
                <w:sz w:val="16"/>
                <w:szCs w:val="16"/>
                <w:color w:val="auto"/>
              </w:rPr>
              <w:t>Executive Vice President, Global Product Development, Purchasing and Supply Chain</w:t>
            </w:r>
          </w:p>
        </w:tc>
      </w:tr>
      <w:tr>
        <w:trPr>
          <w:trHeight w:val="303"/>
        </w:trPr>
        <w:tc>
          <w:tcPr>
            <w:tcW w:w="2160" w:type="dxa"/>
            <w:vAlign w:val="bottom"/>
            <w:tcBorders>
              <w:bottom w:val="single" w:sz="8" w:color="auto"/>
            </w:tcBorders>
          </w:tcPr>
          <w:p>
            <w:pPr>
              <w:spacing w:after="0"/>
              <w:rPr>
                <w:sz w:val="24"/>
                <w:szCs w:val="24"/>
                <w:color w:val="auto"/>
              </w:rPr>
            </w:pPr>
          </w:p>
        </w:tc>
        <w:tc>
          <w:tcPr>
            <w:tcW w:w="9020" w:type="dxa"/>
            <w:vAlign w:val="bottom"/>
            <w:tcBorders>
              <w:bottom w:val="single" w:sz="8" w:color="auto"/>
            </w:tcBorders>
          </w:tcPr>
          <w:p>
            <w:pPr>
              <w:spacing w:after="0"/>
              <w:rPr>
                <w:sz w:val="24"/>
                <w:szCs w:val="24"/>
                <w:color w:val="auto"/>
              </w:rPr>
            </w:pPr>
          </w:p>
        </w:tc>
      </w:tr>
      <w:tr>
        <w:trPr>
          <w:trHeight w:val="622"/>
        </w:trPr>
        <w:tc>
          <w:tcPr>
            <w:tcW w:w="2160" w:type="dxa"/>
            <w:vAlign w:val="bottom"/>
          </w:tcPr>
          <w:p>
            <w:pPr>
              <w:spacing w:after="0"/>
              <w:rPr>
                <w:sz w:val="20"/>
                <w:szCs w:val="20"/>
                <w:color w:val="auto"/>
              </w:rPr>
            </w:pPr>
            <w:r>
              <w:rPr>
                <w:rFonts w:ascii="Arial" w:cs="Arial" w:eastAsia="Arial" w:hAnsi="Arial"/>
                <w:sz w:val="16"/>
                <w:szCs w:val="16"/>
                <w:b w:val="1"/>
                <w:bCs w:val="1"/>
                <w:color w:val="08228B"/>
              </w:rPr>
              <w:t>Craig B. Glidden</w:t>
            </w:r>
          </w:p>
        </w:tc>
        <w:tc>
          <w:tcPr>
            <w:tcW w:w="9020" w:type="dxa"/>
            <w:vAlign w:val="bottom"/>
          </w:tcPr>
          <w:p>
            <w:pPr>
              <w:ind w:left="460"/>
              <w:spacing w:after="0"/>
              <w:rPr>
                <w:sz w:val="20"/>
                <w:szCs w:val="20"/>
                <w:color w:val="auto"/>
              </w:rPr>
            </w:pPr>
            <w:r>
              <w:rPr>
                <w:rFonts w:ascii="Arial" w:cs="Arial" w:eastAsia="Arial" w:hAnsi="Arial"/>
                <w:sz w:val="16"/>
                <w:szCs w:val="16"/>
                <w:color w:val="auto"/>
              </w:rPr>
              <w:t>Executive Vice President &amp; General Counsel</w:t>
            </w:r>
            <w:r>
              <w:rPr>
                <w:rFonts w:ascii="Arial" w:cs="Arial" w:eastAsia="Arial" w:hAnsi="Arial"/>
                <w:sz w:val="27"/>
                <w:szCs w:val="27"/>
                <w:color w:val="auto"/>
                <w:vertAlign w:val="superscript"/>
              </w:rPr>
              <w:t>(2)</w:t>
            </w:r>
          </w:p>
        </w:tc>
      </w:tr>
    </w:tbl>
    <w:p>
      <w:pPr>
        <w:spacing w:after="0" w:line="254" w:lineRule="exact"/>
        <w:rPr>
          <w:sz w:val="20"/>
          <w:szCs w:val="20"/>
          <w:color w:val="auto"/>
        </w:rPr>
      </w:pPr>
    </w:p>
    <w:p>
      <w:pPr>
        <w:ind w:left="400" w:hanging="329"/>
        <w:spacing w:after="0"/>
        <w:tabs>
          <w:tab w:leader="none" w:pos="400" w:val="left"/>
        </w:tabs>
        <w:numPr>
          <w:ilvl w:val="0"/>
          <w:numId w:val="29"/>
        </w:numPr>
        <w:rPr>
          <w:rFonts w:ascii="Arial" w:cs="Arial" w:eastAsia="Arial" w:hAnsi="Arial"/>
          <w:sz w:val="14"/>
          <w:szCs w:val="14"/>
          <w:i w:val="1"/>
          <w:iCs w:val="1"/>
          <w:color w:val="auto"/>
        </w:rPr>
      </w:pPr>
      <w:r>
        <w:rPr>
          <w:rFonts w:ascii="Arial" w:cs="Arial" w:eastAsia="Arial" w:hAnsi="Arial"/>
          <w:sz w:val="14"/>
          <w:szCs w:val="14"/>
          <w:i w:val="1"/>
          <w:iCs w:val="1"/>
          <w:color w:val="auto"/>
        </w:rPr>
        <w:t>Ms. Barra was elected Chairman of the Board of Directors on January 4, 2016.</w:t>
      </w:r>
    </w:p>
    <w:p>
      <w:pPr>
        <w:spacing w:after="0" w:line="15" w:lineRule="exact"/>
        <w:rPr>
          <w:rFonts w:ascii="Arial" w:cs="Arial" w:eastAsia="Arial" w:hAnsi="Arial"/>
          <w:sz w:val="14"/>
          <w:szCs w:val="14"/>
          <w:i w:val="1"/>
          <w:iCs w:val="1"/>
          <w:color w:val="auto"/>
        </w:rPr>
      </w:pPr>
    </w:p>
    <w:p>
      <w:pPr>
        <w:ind w:left="400" w:hanging="329"/>
        <w:spacing w:after="0"/>
        <w:tabs>
          <w:tab w:leader="none" w:pos="400" w:val="left"/>
        </w:tabs>
        <w:numPr>
          <w:ilvl w:val="0"/>
          <w:numId w:val="29"/>
        </w:numPr>
        <w:rPr>
          <w:rFonts w:ascii="Arial" w:cs="Arial" w:eastAsia="Arial" w:hAnsi="Arial"/>
          <w:sz w:val="14"/>
          <w:szCs w:val="14"/>
          <w:i w:val="1"/>
          <w:iCs w:val="1"/>
          <w:color w:val="auto"/>
        </w:rPr>
      </w:pPr>
      <w:r>
        <w:rPr>
          <w:rFonts w:ascii="Arial" w:cs="Arial" w:eastAsia="Arial" w:hAnsi="Arial"/>
          <w:sz w:val="14"/>
          <w:szCs w:val="14"/>
          <w:i w:val="1"/>
          <w:iCs w:val="1"/>
          <w:color w:val="auto"/>
        </w:rPr>
        <w:t>Mr. Glidden joined GM on March 1, 2015.</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13"/>
        </w:trPr>
        <w:tc>
          <w:tcPr>
            <w:tcW w:w="4340" w:type="dxa"/>
            <w:vAlign w:val="bottom"/>
            <w:tcBorders>
              <w:bottom w:val="single" w:sz="8" w:color="08228B"/>
            </w:tcBorders>
          </w:tcPr>
          <w:p>
            <w:pPr>
              <w:spacing w:after="0"/>
              <w:rPr>
                <w:sz w:val="9"/>
                <w:szCs w:val="9"/>
                <w:color w:val="auto"/>
              </w:rPr>
            </w:pPr>
          </w:p>
        </w:tc>
        <w:tc>
          <w:tcPr>
            <w:tcW w:w="2060" w:type="dxa"/>
            <w:vAlign w:val="bottom"/>
            <w:vMerge w:val="restart"/>
          </w:tcPr>
          <w:p>
            <w:pPr>
              <w:ind w:left="60"/>
              <w:spacing w:after="0"/>
              <w:rPr>
                <w:sz w:val="20"/>
                <w:szCs w:val="20"/>
                <w:color w:val="auto"/>
              </w:rPr>
            </w:pPr>
            <w:r>
              <w:rPr>
                <w:rFonts w:ascii="Arial" w:cs="Arial" w:eastAsia="Arial" w:hAnsi="Arial"/>
                <w:sz w:val="16"/>
                <w:szCs w:val="16"/>
                <w:b w:val="1"/>
                <w:bCs w:val="1"/>
                <w:color w:val="1C90D3"/>
              </w:rPr>
              <w:t xml:space="preserve">2016 </w:t>
            </w:r>
            <w:r>
              <w:rPr>
                <w:rFonts w:ascii="Arial" w:cs="Arial" w:eastAsia="Arial" w:hAnsi="Arial"/>
                <w:sz w:val="16"/>
                <w:szCs w:val="16"/>
                <w:color w:val="08228B"/>
              </w:rPr>
              <w:t>PROXY STATEMENT</w:t>
            </w:r>
          </w:p>
        </w:tc>
        <w:tc>
          <w:tcPr>
            <w:tcW w:w="2400" w:type="dxa"/>
            <w:vAlign w:val="bottom"/>
            <w:tcBorders>
              <w:bottom w:val="single" w:sz="8" w:color="08228B"/>
            </w:tcBorders>
          </w:tcPr>
          <w:p>
            <w:pPr>
              <w:spacing w:after="0"/>
              <w:rPr>
                <w:sz w:val="9"/>
                <w:szCs w:val="9"/>
                <w:color w:val="auto"/>
              </w:rPr>
            </w:pPr>
          </w:p>
        </w:tc>
        <w:tc>
          <w:tcPr>
            <w:tcW w:w="2620" w:type="dxa"/>
            <w:vAlign w:val="bottom"/>
            <w:vMerge w:val="restart"/>
          </w:tcPr>
          <w:p>
            <w:pPr>
              <w:jc w:val="right"/>
              <w:ind w:right="39"/>
              <w:spacing w:after="0"/>
              <w:rPr>
                <w:sz w:val="20"/>
                <w:szCs w:val="20"/>
                <w:color w:val="auto"/>
              </w:rPr>
            </w:pPr>
            <w:r>
              <w:rPr>
                <w:rFonts w:ascii="Arial" w:cs="Arial" w:eastAsia="Arial" w:hAnsi="Arial"/>
                <w:sz w:val="16"/>
                <w:szCs w:val="16"/>
                <w:color w:val="08228B"/>
              </w:rPr>
              <w:t>36</w:t>
            </w:r>
          </w:p>
        </w:tc>
        <w:tc>
          <w:tcPr>
            <w:tcW w:w="0" w:type="dxa"/>
            <w:vAlign w:val="bottom"/>
          </w:tcPr>
          <w:p>
            <w:pPr>
              <w:spacing w:after="0"/>
              <w:rPr>
                <w:sz w:val="1"/>
                <w:szCs w:val="1"/>
                <w:color w:val="auto"/>
              </w:rPr>
            </w:pPr>
          </w:p>
        </w:tc>
      </w:tr>
      <w:tr>
        <w:trPr>
          <w:trHeight w:val="82"/>
        </w:trPr>
        <w:tc>
          <w:tcPr>
            <w:tcW w:w="4340" w:type="dxa"/>
            <w:vAlign w:val="bottom"/>
          </w:tcPr>
          <w:p>
            <w:pPr>
              <w:spacing w:after="0"/>
              <w:rPr>
                <w:sz w:val="7"/>
                <w:szCs w:val="7"/>
                <w:color w:val="auto"/>
              </w:rPr>
            </w:pPr>
          </w:p>
        </w:tc>
        <w:tc>
          <w:tcPr>
            <w:tcW w:w="2060" w:type="dxa"/>
            <w:vAlign w:val="bottom"/>
            <w:vMerge w:val="continue"/>
          </w:tcPr>
          <w:p>
            <w:pPr>
              <w:spacing w:after="0"/>
              <w:rPr>
                <w:sz w:val="7"/>
                <w:szCs w:val="7"/>
                <w:color w:val="auto"/>
              </w:rPr>
            </w:pPr>
          </w:p>
        </w:tc>
        <w:tc>
          <w:tcPr>
            <w:tcW w:w="2400" w:type="dxa"/>
            <w:vAlign w:val="bottom"/>
          </w:tcPr>
          <w:p>
            <w:pPr>
              <w:spacing w:after="0"/>
              <w:rPr>
                <w:sz w:val="7"/>
                <w:szCs w:val="7"/>
                <w:color w:val="auto"/>
              </w:rPr>
            </w:pPr>
          </w:p>
        </w:tc>
        <w:tc>
          <w:tcPr>
            <w:tcW w:w="2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7"/>
        </w:trPr>
        <w:tc>
          <w:tcPr>
            <w:tcW w:w="4340" w:type="dxa"/>
            <w:vAlign w:val="bottom"/>
            <w:tcBorders>
              <w:bottom w:val="single" w:sz="8" w:color="C0C0C0"/>
            </w:tcBorders>
          </w:tcPr>
          <w:p>
            <w:pPr>
              <w:spacing w:after="0"/>
              <w:rPr>
                <w:sz w:val="24"/>
                <w:szCs w:val="24"/>
                <w:color w:val="auto"/>
              </w:rPr>
            </w:pPr>
          </w:p>
        </w:tc>
        <w:tc>
          <w:tcPr>
            <w:tcW w:w="2060" w:type="dxa"/>
            <w:vAlign w:val="bottom"/>
            <w:tcBorders>
              <w:bottom w:val="single" w:sz="8" w:color="C0C0C0"/>
            </w:tcBorders>
          </w:tcPr>
          <w:p>
            <w:pPr>
              <w:spacing w:after="0"/>
              <w:rPr>
                <w:sz w:val="24"/>
                <w:szCs w:val="24"/>
                <w:color w:val="auto"/>
              </w:rPr>
            </w:pPr>
          </w:p>
        </w:tc>
        <w:tc>
          <w:tcPr>
            <w:tcW w:w="2400" w:type="dxa"/>
            <w:vAlign w:val="bottom"/>
            <w:tcBorders>
              <w:bottom w:val="single" w:sz="8" w:color="C0C0C0"/>
            </w:tcBorders>
          </w:tcPr>
          <w:p>
            <w:pPr>
              <w:spacing w:after="0"/>
              <w:rPr>
                <w:sz w:val="24"/>
                <w:szCs w:val="24"/>
                <w:color w:val="auto"/>
              </w:rPr>
            </w:pPr>
          </w:p>
        </w:tc>
        <w:tc>
          <w:tcPr>
            <w:tcW w:w="262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5613400</wp:posOffset>
            </wp:positionH>
            <wp:positionV relativeFrom="paragraph">
              <wp:posOffset>-334010</wp:posOffset>
            </wp:positionV>
            <wp:extent cx="1286510" cy="8572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1286510" cy="85725"/>
                    </a:xfrm>
                    <a:prstGeom prst="rect">
                      <a:avLst/>
                    </a:prstGeom>
                    <a:noFill/>
                  </pic:spPr>
                </pic:pic>
              </a:graphicData>
            </a:graphic>
          </wp:anchor>
        </w:drawing>
      </w:r>
    </w:p>
    <w:p>
      <w:pPr>
        <w:sectPr>
          <w:pgSz w:w="11900" w:h="16838" w:orient="portrait"/>
          <w:cols w:equalWidth="0" w:num="1">
            <w:col w:w="11420"/>
          </w:cols>
          <w:pgMar w:left="240" w:top="225" w:right="239" w:bottom="49"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125730</wp:posOffset>
            </wp:positionV>
            <wp:extent cx="7250430" cy="79711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250430" cy="7971155"/>
                    </a:xfrm>
                    <a:prstGeom prst="rect">
                      <a:avLst/>
                    </a:prstGeom>
                    <a:noFill/>
                  </pic:spPr>
                </pic:pic>
              </a:graphicData>
            </a:graphic>
          </wp:anchor>
        </w:drawing>
      </w:r>
    </w:p>
    <w:p>
      <w:pPr>
        <w:spacing w:after="0" w:line="209"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1C90D3"/>
        </w:rPr>
        <w:t>We ended the year with the following key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00" w:right="180" w:hanging="329"/>
        <w:spacing w:after="0" w:line="279" w:lineRule="auto"/>
        <w:tabs>
          <w:tab w:leader="none" w:pos="400" w:val="left"/>
        </w:tabs>
        <w:numPr>
          <w:ilvl w:val="0"/>
          <w:numId w:val="30"/>
        </w:numPr>
        <w:rPr>
          <w:rFonts w:ascii="Arial" w:cs="Arial" w:eastAsia="Arial" w:hAnsi="Arial"/>
          <w:sz w:val="14"/>
          <w:szCs w:val="14"/>
          <w:i w:val="1"/>
          <w:iCs w:val="1"/>
          <w:color w:val="auto"/>
        </w:rPr>
      </w:pPr>
      <w:r>
        <w:rPr>
          <w:rFonts w:ascii="Arial" w:cs="Arial" w:eastAsia="Arial" w:hAnsi="Arial"/>
          <w:sz w:val="14"/>
          <w:szCs w:val="14"/>
          <w:i w:val="1"/>
          <w:iCs w:val="1"/>
          <w:color w:val="auto"/>
        </w:rPr>
        <w:t>Refer to Item 7, Management’s Discussion and Analysis of Financial Condition and Results of Operations in our Annual Report on Form 10-K for a reconciliation of this non-GAAP measure to its closest comparable GAAP measure.</w:t>
      </w:r>
    </w:p>
    <w:p>
      <w:pPr>
        <w:spacing w:after="0" w:line="3" w:lineRule="exact"/>
        <w:rPr>
          <w:rFonts w:ascii="Arial" w:cs="Arial" w:eastAsia="Arial" w:hAnsi="Arial"/>
          <w:sz w:val="14"/>
          <w:szCs w:val="14"/>
          <w:i w:val="1"/>
          <w:iCs w:val="1"/>
          <w:color w:val="auto"/>
        </w:rPr>
      </w:pPr>
    </w:p>
    <w:p>
      <w:pPr>
        <w:ind w:left="400" w:hanging="329"/>
        <w:spacing w:after="0"/>
        <w:tabs>
          <w:tab w:leader="none" w:pos="400" w:val="left"/>
        </w:tabs>
        <w:numPr>
          <w:ilvl w:val="0"/>
          <w:numId w:val="30"/>
        </w:numPr>
        <w:rPr>
          <w:rFonts w:ascii="Arial" w:cs="Arial" w:eastAsia="Arial" w:hAnsi="Arial"/>
          <w:sz w:val="14"/>
          <w:szCs w:val="14"/>
          <w:i w:val="1"/>
          <w:iCs w:val="1"/>
          <w:color w:val="auto"/>
        </w:rPr>
      </w:pPr>
      <w:r>
        <w:rPr>
          <w:rFonts w:ascii="Arial" w:cs="Arial" w:eastAsia="Arial" w:hAnsi="Arial"/>
          <w:sz w:val="14"/>
          <w:szCs w:val="14"/>
          <w:i w:val="1"/>
          <w:iCs w:val="1"/>
          <w:color w:val="auto"/>
        </w:rPr>
        <w:t>Assumes dividends are reinvested in common stock.</w:t>
      </w:r>
    </w:p>
    <w:p>
      <w:pPr>
        <w:spacing w:after="0" w:line="322" w:lineRule="exact"/>
        <w:rPr>
          <w:sz w:val="20"/>
          <w:szCs w:val="20"/>
          <w:color w:val="auto"/>
        </w:rPr>
      </w:pPr>
    </w:p>
    <w:p>
      <w:pPr>
        <w:ind w:left="540" w:hanging="469"/>
        <w:spacing w:after="0"/>
        <w:tabs>
          <w:tab w:leader="none" w:pos="540" w:val="left"/>
        </w:tabs>
        <w:numPr>
          <w:ilvl w:val="0"/>
          <w:numId w:val="31"/>
        </w:numPr>
        <w:rPr>
          <w:rFonts w:ascii="Arial" w:cs="Arial" w:eastAsia="Arial" w:hAnsi="Arial"/>
          <w:sz w:val="25"/>
          <w:szCs w:val="25"/>
          <w:color w:val="08228B"/>
        </w:rPr>
      </w:pPr>
      <w:r>
        <w:rPr>
          <w:rFonts w:ascii="Arial" w:cs="Arial" w:eastAsia="Arial" w:hAnsi="Arial"/>
          <w:sz w:val="25"/>
          <w:szCs w:val="25"/>
          <w:color w:val="auto"/>
        </w:rPr>
        <w:t>Compensation Governance and Best Practices</w:t>
      </w:r>
    </w:p>
    <w:p>
      <w:pPr>
        <w:spacing w:after="0" w:line="341"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1C90D3"/>
        </w:rPr>
        <w:t>WHAT WE DO</w:t>
      </w:r>
    </w:p>
    <w:p>
      <w:pPr>
        <w:spacing w:after="0" w:line="106" w:lineRule="exact"/>
        <w:rPr>
          <w:sz w:val="20"/>
          <w:szCs w:val="20"/>
          <w:color w:val="auto"/>
        </w:rPr>
      </w:pPr>
    </w:p>
    <w:p>
      <w:pPr>
        <w:ind w:left="860"/>
        <w:spacing w:after="0"/>
        <w:rPr>
          <w:sz w:val="20"/>
          <w:szCs w:val="20"/>
          <w:color w:val="auto"/>
        </w:rPr>
      </w:pPr>
      <w:r>
        <w:rPr>
          <w:rFonts w:ascii="Arial" w:cs="Arial" w:eastAsia="Arial" w:hAnsi="Arial"/>
          <w:sz w:val="16"/>
          <w:szCs w:val="16"/>
          <w:color w:val="auto"/>
        </w:rPr>
        <w:t>Provide short and long-term incentive plans with performance targets aligned to business goals</w:t>
      </w:r>
    </w:p>
    <w:p>
      <w:pPr>
        <w:spacing w:after="0" w:line="73" w:lineRule="exact"/>
        <w:rPr>
          <w:sz w:val="20"/>
          <w:szCs w:val="20"/>
          <w:color w:val="auto"/>
        </w:rPr>
      </w:pPr>
    </w:p>
    <w:p>
      <w:pPr>
        <w:ind w:left="860"/>
        <w:spacing w:after="0"/>
        <w:rPr>
          <w:sz w:val="20"/>
          <w:szCs w:val="20"/>
          <w:color w:val="auto"/>
        </w:rPr>
      </w:pPr>
      <w:r>
        <w:rPr>
          <w:rFonts w:ascii="Arial" w:cs="Arial" w:eastAsia="Arial" w:hAnsi="Arial"/>
          <w:sz w:val="16"/>
          <w:szCs w:val="16"/>
          <w:color w:val="auto"/>
        </w:rPr>
        <w:t>Conduct annual advisory vote for shareholders to approve executive compensation</w:t>
      </w:r>
    </w:p>
    <w:p>
      <w:pPr>
        <w:spacing w:after="0" w:line="73" w:lineRule="exact"/>
        <w:rPr>
          <w:sz w:val="20"/>
          <w:szCs w:val="20"/>
          <w:color w:val="auto"/>
        </w:rPr>
      </w:pPr>
    </w:p>
    <w:p>
      <w:pPr>
        <w:ind w:left="860"/>
        <w:spacing w:after="0"/>
        <w:rPr>
          <w:sz w:val="20"/>
          <w:szCs w:val="20"/>
          <w:color w:val="auto"/>
        </w:rPr>
      </w:pPr>
      <w:r>
        <w:rPr>
          <w:rFonts w:ascii="Arial" w:cs="Arial" w:eastAsia="Arial" w:hAnsi="Arial"/>
          <w:sz w:val="16"/>
          <w:szCs w:val="16"/>
          <w:color w:val="auto"/>
        </w:rPr>
        <w:t>Maintain a Compensation Committee composed entirely of independent directors</w:t>
      </w:r>
    </w:p>
    <w:p>
      <w:pPr>
        <w:spacing w:after="0" w:line="73" w:lineRule="exact"/>
        <w:rPr>
          <w:sz w:val="20"/>
          <w:szCs w:val="20"/>
          <w:color w:val="auto"/>
        </w:rPr>
      </w:pPr>
    </w:p>
    <w:p>
      <w:pPr>
        <w:ind w:left="860"/>
        <w:spacing w:after="0"/>
        <w:rPr>
          <w:sz w:val="20"/>
          <w:szCs w:val="20"/>
          <w:color w:val="auto"/>
        </w:rPr>
      </w:pPr>
      <w:r>
        <w:rPr>
          <w:rFonts w:ascii="Arial" w:cs="Arial" w:eastAsia="Arial" w:hAnsi="Arial"/>
          <w:sz w:val="16"/>
          <w:szCs w:val="16"/>
          <w:color w:val="auto"/>
        </w:rPr>
        <w:t>Establish stock ownership requirements for approximately 300 senior leaders</w:t>
      </w:r>
    </w:p>
    <w:p>
      <w:pPr>
        <w:spacing w:after="0" w:line="73" w:lineRule="exact"/>
        <w:rPr>
          <w:sz w:val="20"/>
          <w:szCs w:val="20"/>
          <w:color w:val="auto"/>
        </w:rPr>
      </w:pPr>
    </w:p>
    <w:p>
      <w:pPr>
        <w:ind w:left="860"/>
        <w:spacing w:after="0"/>
        <w:rPr>
          <w:sz w:val="20"/>
          <w:szCs w:val="20"/>
          <w:color w:val="auto"/>
        </w:rPr>
      </w:pPr>
      <w:r>
        <w:rPr>
          <w:rFonts w:ascii="Arial" w:cs="Arial" w:eastAsia="Arial" w:hAnsi="Arial"/>
          <w:sz w:val="16"/>
          <w:szCs w:val="16"/>
          <w:color w:val="auto"/>
        </w:rPr>
        <w:t>Enter into non-compete and non-solicitation terms with approximately 300 senior leaders</w:t>
      </w:r>
    </w:p>
    <w:p>
      <w:pPr>
        <w:spacing w:after="0" w:line="73" w:lineRule="exact"/>
        <w:rPr>
          <w:sz w:val="20"/>
          <w:szCs w:val="20"/>
          <w:color w:val="auto"/>
        </w:rPr>
      </w:pPr>
    </w:p>
    <w:p>
      <w:pPr>
        <w:ind w:left="860"/>
        <w:spacing w:after="0"/>
        <w:rPr>
          <w:sz w:val="20"/>
          <w:szCs w:val="20"/>
          <w:color w:val="auto"/>
        </w:rPr>
      </w:pPr>
      <w:r>
        <w:rPr>
          <w:rFonts w:ascii="Arial" w:cs="Arial" w:eastAsia="Arial" w:hAnsi="Arial"/>
          <w:sz w:val="16"/>
          <w:szCs w:val="16"/>
          <w:color w:val="auto"/>
        </w:rPr>
        <w:t>Retain independent executive compensation consultants to the Compensation Committee</w:t>
      </w:r>
    </w:p>
    <w:p>
      <w:pPr>
        <w:spacing w:after="0" w:line="73" w:lineRule="exact"/>
        <w:rPr>
          <w:sz w:val="20"/>
          <w:szCs w:val="20"/>
          <w:color w:val="auto"/>
        </w:rPr>
      </w:pPr>
    </w:p>
    <w:p>
      <w:pPr>
        <w:ind w:left="860" w:right="440"/>
        <w:spacing w:after="0" w:line="260" w:lineRule="auto"/>
        <w:rPr>
          <w:sz w:val="20"/>
          <w:szCs w:val="20"/>
          <w:color w:val="auto"/>
        </w:rPr>
      </w:pPr>
      <w:r>
        <w:rPr>
          <w:rFonts w:ascii="Arial" w:cs="Arial" w:eastAsia="Arial" w:hAnsi="Arial"/>
          <w:sz w:val="16"/>
          <w:szCs w:val="16"/>
          <w:color w:val="auto"/>
        </w:rPr>
        <w:t>Maintain a Securities Trading Policy requiring directors and executive officers to trade only during established window periods after contacting the GM Legal Staff prior to any sales or purchases of common stock</w:t>
      </w:r>
    </w:p>
    <w:p>
      <w:pPr>
        <w:spacing w:after="0" w:line="47" w:lineRule="exact"/>
        <w:rPr>
          <w:sz w:val="20"/>
          <w:szCs w:val="20"/>
          <w:color w:val="auto"/>
        </w:rPr>
      </w:pPr>
    </w:p>
    <w:p>
      <w:pPr>
        <w:ind w:left="860" w:right="240"/>
        <w:spacing w:after="0" w:line="260" w:lineRule="auto"/>
        <w:rPr>
          <w:sz w:val="20"/>
          <w:szCs w:val="20"/>
          <w:color w:val="auto"/>
        </w:rPr>
      </w:pPr>
      <w:r>
        <w:rPr>
          <w:rFonts w:ascii="Arial" w:cs="Arial" w:eastAsia="Arial" w:hAnsi="Arial"/>
          <w:sz w:val="16"/>
          <w:szCs w:val="16"/>
          <w:color w:val="auto"/>
        </w:rPr>
        <w:t>Require equity awards to have a double-trigger (termination of employment and change-in-control) to initiate protection provisions of outstanding awards</w:t>
      </w:r>
    </w:p>
    <w:p>
      <w:pPr>
        <w:spacing w:after="0" w:line="47" w:lineRule="exact"/>
        <w:rPr>
          <w:sz w:val="20"/>
          <w:szCs w:val="20"/>
          <w:color w:val="auto"/>
        </w:rPr>
      </w:pPr>
    </w:p>
    <w:p>
      <w:pPr>
        <w:ind w:left="860"/>
        <w:spacing w:after="0"/>
        <w:rPr>
          <w:sz w:val="20"/>
          <w:szCs w:val="20"/>
          <w:color w:val="auto"/>
        </w:rPr>
      </w:pPr>
      <w:r>
        <w:rPr>
          <w:rFonts w:ascii="Arial" w:cs="Arial" w:eastAsia="Arial" w:hAnsi="Arial"/>
          <w:sz w:val="16"/>
          <w:szCs w:val="16"/>
          <w:color w:val="auto"/>
        </w:rPr>
        <w:t>Complete annual incentive compensation risk reviews</w:t>
      </w:r>
    </w:p>
    <w:p>
      <w:pPr>
        <w:spacing w:after="0" w:line="200" w:lineRule="exact"/>
        <w:rPr>
          <w:sz w:val="20"/>
          <w:szCs w:val="20"/>
          <w:color w:val="auto"/>
        </w:rPr>
      </w:pPr>
    </w:p>
    <w:p>
      <w:pPr>
        <w:spacing w:after="0" w:line="217" w:lineRule="exact"/>
        <w:rPr>
          <w:sz w:val="20"/>
          <w:szCs w:val="20"/>
          <w:color w:val="auto"/>
        </w:rPr>
      </w:pPr>
    </w:p>
    <w:p>
      <w:pPr>
        <w:ind w:left="5240"/>
        <w:spacing w:after="0"/>
        <w:rPr>
          <w:sz w:val="20"/>
          <w:szCs w:val="20"/>
          <w:color w:val="auto"/>
        </w:rPr>
      </w:pPr>
      <w:r>
        <w:rPr>
          <w:rFonts w:ascii="Arial" w:cs="Arial" w:eastAsia="Arial" w:hAnsi="Arial"/>
          <w:sz w:val="16"/>
          <w:szCs w:val="16"/>
          <w:b w:val="1"/>
          <w:bCs w:val="1"/>
          <w:color w:val="1C90D3"/>
        </w:rPr>
        <w:t>WHAT WE DON’T DO</w:t>
      </w:r>
    </w:p>
    <w:p>
      <w:pPr>
        <w:spacing w:after="0" w:line="187" w:lineRule="exact"/>
        <w:rPr>
          <w:sz w:val="20"/>
          <w:szCs w:val="20"/>
          <w:color w:val="auto"/>
        </w:rPr>
      </w:pPr>
    </w:p>
    <w:p>
      <w:pPr>
        <w:ind w:left="860"/>
        <w:spacing w:after="0"/>
        <w:rPr>
          <w:sz w:val="20"/>
          <w:szCs w:val="20"/>
          <w:color w:val="auto"/>
        </w:rPr>
      </w:pPr>
      <w:r>
        <w:rPr>
          <w:rFonts w:ascii="Arial" w:cs="Arial" w:eastAsia="Arial" w:hAnsi="Arial"/>
          <w:sz w:val="16"/>
          <w:szCs w:val="16"/>
          <w:color w:val="auto"/>
        </w:rPr>
        <w:t>Grant awards to executive officers that are not subject to clawback</w:t>
      </w:r>
    </w:p>
    <w:p>
      <w:pPr>
        <w:spacing w:after="0" w:line="154" w:lineRule="exact"/>
        <w:rPr>
          <w:sz w:val="20"/>
          <w:szCs w:val="20"/>
          <w:color w:val="auto"/>
        </w:rPr>
      </w:pPr>
    </w:p>
    <w:p>
      <w:pPr>
        <w:ind w:left="860"/>
        <w:spacing w:after="0"/>
        <w:rPr>
          <w:sz w:val="20"/>
          <w:szCs w:val="20"/>
          <w:color w:val="auto"/>
        </w:rPr>
      </w:pPr>
      <w:r>
        <w:rPr>
          <w:rFonts w:ascii="Arial" w:cs="Arial" w:eastAsia="Arial" w:hAnsi="Arial"/>
          <w:sz w:val="16"/>
          <w:szCs w:val="16"/>
          <w:color w:val="auto"/>
        </w:rPr>
        <w:t>Provide gross-up payments to cover personal income taxes or excise taxes pertaining to executive or severance benefits</w:t>
      </w:r>
    </w:p>
    <w:p>
      <w:pPr>
        <w:spacing w:after="0" w:line="154" w:lineRule="exact"/>
        <w:rPr>
          <w:sz w:val="20"/>
          <w:szCs w:val="20"/>
          <w:color w:val="auto"/>
        </w:rPr>
      </w:pPr>
    </w:p>
    <w:p>
      <w:pPr>
        <w:ind w:left="860"/>
        <w:spacing w:after="0"/>
        <w:rPr>
          <w:sz w:val="20"/>
          <w:szCs w:val="20"/>
          <w:color w:val="auto"/>
        </w:rPr>
      </w:pPr>
      <w:r>
        <w:rPr>
          <w:rFonts w:ascii="Arial" w:cs="Arial" w:eastAsia="Arial" w:hAnsi="Arial"/>
          <w:sz w:val="16"/>
          <w:szCs w:val="16"/>
          <w:color w:val="auto"/>
        </w:rPr>
        <w:t>Allow directors or executives to engage in hedging or pledging of GM securities</w:t>
      </w:r>
    </w:p>
    <w:p>
      <w:pPr>
        <w:spacing w:after="0" w:line="154" w:lineRule="exact"/>
        <w:rPr>
          <w:sz w:val="20"/>
          <w:szCs w:val="20"/>
          <w:color w:val="auto"/>
        </w:rPr>
      </w:pPr>
    </w:p>
    <w:p>
      <w:pPr>
        <w:ind w:left="860"/>
        <w:spacing w:after="0"/>
        <w:rPr>
          <w:sz w:val="20"/>
          <w:szCs w:val="20"/>
          <w:color w:val="auto"/>
        </w:rPr>
      </w:pPr>
      <w:r>
        <w:rPr>
          <w:rFonts w:ascii="Arial" w:cs="Arial" w:eastAsia="Arial" w:hAnsi="Arial"/>
          <w:sz w:val="16"/>
          <w:szCs w:val="16"/>
          <w:color w:val="auto"/>
        </w:rPr>
        <w:t>Reward executives for excessive, inappropriate, or unnecessary risk-taking</w:t>
      </w:r>
    </w:p>
    <w:p>
      <w:pPr>
        <w:spacing w:after="0" w:line="154" w:lineRule="exact"/>
        <w:rPr>
          <w:sz w:val="20"/>
          <w:szCs w:val="20"/>
          <w:color w:val="auto"/>
        </w:rPr>
      </w:pPr>
    </w:p>
    <w:p>
      <w:pPr>
        <w:ind w:left="860"/>
        <w:spacing w:after="0"/>
        <w:rPr>
          <w:sz w:val="20"/>
          <w:szCs w:val="20"/>
          <w:color w:val="auto"/>
        </w:rPr>
      </w:pPr>
      <w:r>
        <w:rPr>
          <w:rFonts w:ascii="Arial" w:cs="Arial" w:eastAsia="Arial" w:hAnsi="Arial"/>
          <w:sz w:val="16"/>
          <w:szCs w:val="16"/>
          <w:color w:val="auto"/>
        </w:rPr>
        <w:t>Allow the repricing or backdating of equity awards</w:t>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13"/>
        </w:trPr>
        <w:tc>
          <w:tcPr>
            <w:tcW w:w="4340" w:type="dxa"/>
            <w:vAlign w:val="bottom"/>
            <w:tcBorders>
              <w:bottom w:val="single" w:sz="8" w:color="08228B"/>
            </w:tcBorders>
          </w:tcPr>
          <w:p>
            <w:pPr>
              <w:spacing w:after="0"/>
              <w:rPr>
                <w:sz w:val="9"/>
                <w:szCs w:val="9"/>
                <w:color w:val="auto"/>
              </w:rPr>
            </w:pPr>
          </w:p>
        </w:tc>
        <w:tc>
          <w:tcPr>
            <w:tcW w:w="2060" w:type="dxa"/>
            <w:vAlign w:val="bottom"/>
            <w:vMerge w:val="restart"/>
          </w:tcPr>
          <w:p>
            <w:pPr>
              <w:ind w:left="60"/>
              <w:spacing w:after="0"/>
              <w:rPr>
                <w:sz w:val="20"/>
                <w:szCs w:val="20"/>
                <w:color w:val="auto"/>
              </w:rPr>
            </w:pPr>
            <w:r>
              <w:rPr>
                <w:rFonts w:ascii="Arial" w:cs="Arial" w:eastAsia="Arial" w:hAnsi="Arial"/>
                <w:sz w:val="16"/>
                <w:szCs w:val="16"/>
                <w:b w:val="1"/>
                <w:bCs w:val="1"/>
                <w:color w:val="1C90D3"/>
              </w:rPr>
              <w:t xml:space="preserve">2016 </w:t>
            </w:r>
            <w:r>
              <w:rPr>
                <w:rFonts w:ascii="Arial" w:cs="Arial" w:eastAsia="Arial" w:hAnsi="Arial"/>
                <w:sz w:val="16"/>
                <w:szCs w:val="16"/>
                <w:color w:val="08228B"/>
              </w:rPr>
              <w:t>PROXY STATEMENT</w:t>
            </w:r>
          </w:p>
        </w:tc>
        <w:tc>
          <w:tcPr>
            <w:tcW w:w="2400" w:type="dxa"/>
            <w:vAlign w:val="bottom"/>
            <w:tcBorders>
              <w:bottom w:val="single" w:sz="8" w:color="08228B"/>
            </w:tcBorders>
          </w:tcPr>
          <w:p>
            <w:pPr>
              <w:spacing w:after="0"/>
              <w:rPr>
                <w:sz w:val="9"/>
                <w:szCs w:val="9"/>
                <w:color w:val="auto"/>
              </w:rPr>
            </w:pPr>
          </w:p>
        </w:tc>
        <w:tc>
          <w:tcPr>
            <w:tcW w:w="2620" w:type="dxa"/>
            <w:vAlign w:val="bottom"/>
            <w:vMerge w:val="restart"/>
          </w:tcPr>
          <w:p>
            <w:pPr>
              <w:jc w:val="right"/>
              <w:ind w:right="39"/>
              <w:spacing w:after="0"/>
              <w:rPr>
                <w:sz w:val="20"/>
                <w:szCs w:val="20"/>
                <w:color w:val="auto"/>
              </w:rPr>
            </w:pPr>
            <w:r>
              <w:rPr>
                <w:rFonts w:ascii="Arial" w:cs="Arial" w:eastAsia="Arial" w:hAnsi="Arial"/>
                <w:sz w:val="16"/>
                <w:szCs w:val="16"/>
                <w:color w:val="08228B"/>
              </w:rPr>
              <w:t>37</w:t>
            </w:r>
          </w:p>
        </w:tc>
        <w:tc>
          <w:tcPr>
            <w:tcW w:w="0" w:type="dxa"/>
            <w:vAlign w:val="bottom"/>
          </w:tcPr>
          <w:p>
            <w:pPr>
              <w:spacing w:after="0"/>
              <w:rPr>
                <w:sz w:val="1"/>
                <w:szCs w:val="1"/>
                <w:color w:val="auto"/>
              </w:rPr>
            </w:pPr>
          </w:p>
        </w:tc>
      </w:tr>
      <w:tr>
        <w:trPr>
          <w:trHeight w:val="82"/>
        </w:trPr>
        <w:tc>
          <w:tcPr>
            <w:tcW w:w="4340" w:type="dxa"/>
            <w:vAlign w:val="bottom"/>
          </w:tcPr>
          <w:p>
            <w:pPr>
              <w:spacing w:after="0"/>
              <w:rPr>
                <w:sz w:val="7"/>
                <w:szCs w:val="7"/>
                <w:color w:val="auto"/>
              </w:rPr>
            </w:pPr>
          </w:p>
        </w:tc>
        <w:tc>
          <w:tcPr>
            <w:tcW w:w="2060" w:type="dxa"/>
            <w:vAlign w:val="bottom"/>
            <w:vMerge w:val="continue"/>
          </w:tcPr>
          <w:p>
            <w:pPr>
              <w:spacing w:after="0"/>
              <w:rPr>
                <w:sz w:val="7"/>
                <w:szCs w:val="7"/>
                <w:color w:val="auto"/>
              </w:rPr>
            </w:pPr>
          </w:p>
        </w:tc>
        <w:tc>
          <w:tcPr>
            <w:tcW w:w="2400" w:type="dxa"/>
            <w:vAlign w:val="bottom"/>
          </w:tcPr>
          <w:p>
            <w:pPr>
              <w:spacing w:after="0"/>
              <w:rPr>
                <w:sz w:val="7"/>
                <w:szCs w:val="7"/>
                <w:color w:val="auto"/>
              </w:rPr>
            </w:pPr>
          </w:p>
        </w:tc>
        <w:tc>
          <w:tcPr>
            <w:tcW w:w="2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7"/>
        </w:trPr>
        <w:tc>
          <w:tcPr>
            <w:tcW w:w="4340" w:type="dxa"/>
            <w:vAlign w:val="bottom"/>
            <w:tcBorders>
              <w:bottom w:val="single" w:sz="8" w:color="C0C0C0"/>
            </w:tcBorders>
          </w:tcPr>
          <w:p>
            <w:pPr>
              <w:spacing w:after="0"/>
              <w:rPr>
                <w:sz w:val="24"/>
                <w:szCs w:val="24"/>
                <w:color w:val="auto"/>
              </w:rPr>
            </w:pPr>
          </w:p>
        </w:tc>
        <w:tc>
          <w:tcPr>
            <w:tcW w:w="2060" w:type="dxa"/>
            <w:vAlign w:val="bottom"/>
            <w:tcBorders>
              <w:bottom w:val="single" w:sz="8" w:color="C0C0C0"/>
            </w:tcBorders>
          </w:tcPr>
          <w:p>
            <w:pPr>
              <w:spacing w:after="0"/>
              <w:rPr>
                <w:sz w:val="24"/>
                <w:szCs w:val="24"/>
                <w:color w:val="auto"/>
              </w:rPr>
            </w:pPr>
          </w:p>
        </w:tc>
        <w:tc>
          <w:tcPr>
            <w:tcW w:w="2400" w:type="dxa"/>
            <w:vAlign w:val="bottom"/>
            <w:tcBorders>
              <w:bottom w:val="single" w:sz="8" w:color="C0C0C0"/>
            </w:tcBorders>
          </w:tcPr>
          <w:p>
            <w:pPr>
              <w:spacing w:after="0"/>
              <w:rPr>
                <w:sz w:val="24"/>
                <w:szCs w:val="24"/>
                <w:color w:val="auto"/>
              </w:rPr>
            </w:pPr>
          </w:p>
        </w:tc>
        <w:tc>
          <w:tcPr>
            <w:tcW w:w="262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5613400</wp:posOffset>
            </wp:positionH>
            <wp:positionV relativeFrom="paragraph">
              <wp:posOffset>-334010</wp:posOffset>
            </wp:positionV>
            <wp:extent cx="1286510" cy="8572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1286510" cy="8572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125730</wp:posOffset>
            </wp:positionV>
            <wp:extent cx="7250430" cy="811657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250430" cy="8116570"/>
                    </a:xfrm>
                    <a:prstGeom prst="rect">
                      <a:avLst/>
                    </a:prstGeom>
                    <a:noFill/>
                  </pic:spPr>
                </pic:pic>
              </a:graphicData>
            </a:graphic>
          </wp:anchor>
        </w:drawing>
      </w:r>
    </w:p>
    <w:p>
      <w:pPr>
        <w:spacing w:after="0" w:line="243" w:lineRule="exact"/>
        <w:rPr>
          <w:sz w:val="20"/>
          <w:szCs w:val="20"/>
          <w:color w:val="auto"/>
        </w:rPr>
      </w:pPr>
    </w:p>
    <w:p>
      <w:pPr>
        <w:ind w:left="540" w:hanging="469"/>
        <w:spacing w:after="0"/>
        <w:tabs>
          <w:tab w:leader="none" w:pos="540" w:val="left"/>
        </w:tabs>
        <w:numPr>
          <w:ilvl w:val="0"/>
          <w:numId w:val="32"/>
        </w:numPr>
        <w:rPr>
          <w:rFonts w:ascii="Arial" w:cs="Arial" w:eastAsia="Arial" w:hAnsi="Arial"/>
          <w:sz w:val="25"/>
          <w:szCs w:val="25"/>
          <w:color w:val="08228B"/>
        </w:rPr>
      </w:pPr>
      <w:r>
        <w:rPr>
          <w:rFonts w:ascii="Arial" w:cs="Arial" w:eastAsia="Arial" w:hAnsi="Arial"/>
          <w:sz w:val="25"/>
          <w:szCs w:val="25"/>
          <w:color w:val="auto"/>
        </w:rPr>
        <w:t>Investor Outreach Initiatives</w:t>
      </w:r>
    </w:p>
    <w:p>
      <w:pPr>
        <w:spacing w:after="0" w:line="199" w:lineRule="exact"/>
        <w:rPr>
          <w:sz w:val="20"/>
          <w:szCs w:val="20"/>
          <w:color w:val="auto"/>
        </w:rPr>
      </w:pPr>
    </w:p>
    <w:p>
      <w:pPr>
        <w:ind w:left="80" w:right="60"/>
        <w:spacing w:after="0" w:line="260" w:lineRule="auto"/>
        <w:rPr>
          <w:sz w:val="20"/>
          <w:szCs w:val="20"/>
          <w:color w:val="auto"/>
        </w:rPr>
      </w:pPr>
      <w:r>
        <w:rPr>
          <w:rFonts w:ascii="Arial" w:cs="Arial" w:eastAsia="Arial" w:hAnsi="Arial"/>
          <w:sz w:val="16"/>
          <w:szCs w:val="16"/>
          <w:color w:val="auto"/>
        </w:rPr>
        <w:t>We view investor outreach as an ongoing cycle and in 2015 both members of the Board and select members of management continued to hold discussions with some of our largest investors. Through these discussions, we regularly receive feedback on Company performance and compensation programs.</w:t>
      </w:r>
    </w:p>
    <w:p>
      <w:pPr>
        <w:spacing w:after="0" w:line="238" w:lineRule="exact"/>
        <w:rPr>
          <w:sz w:val="20"/>
          <w:szCs w:val="20"/>
          <w:color w:val="auto"/>
        </w:rPr>
      </w:pPr>
    </w:p>
    <w:p>
      <w:pPr>
        <w:jc w:val="center"/>
        <w:ind w:left="6620"/>
        <w:spacing w:after="0"/>
        <w:rPr>
          <w:sz w:val="20"/>
          <w:szCs w:val="20"/>
          <w:color w:val="auto"/>
        </w:rPr>
      </w:pPr>
      <w:r>
        <w:rPr>
          <w:rFonts w:ascii="Arial" w:cs="Arial" w:eastAsia="Arial" w:hAnsi="Arial"/>
          <w:sz w:val="18"/>
          <w:szCs w:val="18"/>
          <w:b w:val="1"/>
          <w:bCs w:val="1"/>
          <w:color w:val="1C90D3"/>
        </w:rPr>
        <w:t>SHAREHOLDER SAY-ON-PAY</w:t>
      </w:r>
    </w:p>
    <w:p>
      <w:pPr>
        <w:spacing w:after="0" w:line="209" w:lineRule="exact"/>
        <w:rPr>
          <w:sz w:val="20"/>
          <w:szCs w:val="20"/>
          <w:color w:val="auto"/>
        </w:rPr>
      </w:pPr>
    </w:p>
    <w:p>
      <w:pPr>
        <w:jc w:val="both"/>
        <w:ind w:left="6880" w:right="280"/>
        <w:spacing w:after="0" w:line="248" w:lineRule="auto"/>
        <w:rPr>
          <w:sz w:val="20"/>
          <w:szCs w:val="20"/>
          <w:color w:val="auto"/>
        </w:rPr>
      </w:pPr>
      <w:r>
        <w:rPr>
          <w:rFonts w:ascii="Arial" w:cs="Arial" w:eastAsia="Arial" w:hAnsi="Arial"/>
          <w:sz w:val="16"/>
          <w:szCs w:val="16"/>
          <w:color w:val="08228B"/>
        </w:rPr>
        <w:t>The Compensation Committee seeks to align the Company’s executive compensation program with the interests of the Company’s shareholders. The Compensation Committee considers the results of the annual Say-On-Pay vote, input from management, input from its independent compensation consultant, and investor outreach initiatives when setting compensation for our executives. In 2015, our shareholders continued to demonstrate support of the compensation programs, with over 97 percent voting in favor.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80"/>
        <w:spacing w:after="0"/>
        <w:rPr>
          <w:sz w:val="20"/>
          <w:szCs w:val="20"/>
          <w:color w:val="auto"/>
        </w:rPr>
      </w:pPr>
      <w:r>
        <w:rPr>
          <w:rFonts w:ascii="Arial" w:cs="Arial" w:eastAsia="Arial" w:hAnsi="Arial"/>
          <w:sz w:val="16"/>
          <w:szCs w:val="16"/>
          <w:color w:val="auto"/>
        </w:rPr>
        <w:t>Some of the feedback we heard from investors and how it impacted compensation design included the following:</w:t>
      </w:r>
    </w:p>
    <w:p>
      <w:pPr>
        <w:spacing w:after="0" w:line="172" w:lineRule="exact"/>
        <w:rPr>
          <w:sz w:val="20"/>
          <w:szCs w:val="20"/>
          <w:color w:val="auto"/>
        </w:rPr>
      </w:pPr>
    </w:p>
    <w:tbl>
      <w:tblPr>
        <w:tblLayout w:type="fixed"/>
        <w:tblInd w:w="80" w:type="dxa"/>
        <w:tblCellMar>
          <w:top w:w="0" w:type="dxa"/>
          <w:left w:w="0" w:type="dxa"/>
          <w:bottom w:w="0" w:type="dxa"/>
          <w:right w:w="0" w:type="dxa"/>
        </w:tblCellMar>
      </w:tblPr>
      <w:tr>
        <w:trPr>
          <w:trHeight w:val="223"/>
        </w:trPr>
        <w:tc>
          <w:tcPr>
            <w:tcW w:w="3480" w:type="dxa"/>
            <w:vAlign w:val="bottom"/>
            <w:tcBorders>
              <w:top w:val="single" w:sz="8" w:color="1C90D3"/>
              <w:bottom w:val="single" w:sz="8" w:color="1C90D3"/>
            </w:tcBorders>
          </w:tcPr>
          <w:p>
            <w:pPr>
              <w:ind w:left="80"/>
              <w:spacing w:after="0"/>
              <w:rPr>
                <w:sz w:val="20"/>
                <w:szCs w:val="20"/>
                <w:color w:val="auto"/>
              </w:rPr>
            </w:pPr>
            <w:r>
              <w:rPr>
                <w:rFonts w:ascii="Arial" w:cs="Arial" w:eastAsia="Arial" w:hAnsi="Arial"/>
                <w:sz w:val="16"/>
                <w:szCs w:val="16"/>
                <w:b w:val="1"/>
                <w:bCs w:val="1"/>
                <w:color w:val="1C90D3"/>
              </w:rPr>
              <w:t>What We Heard</w:t>
            </w:r>
          </w:p>
        </w:tc>
        <w:tc>
          <w:tcPr>
            <w:tcW w:w="7700" w:type="dxa"/>
            <w:vAlign w:val="bottom"/>
            <w:tcBorders>
              <w:top w:val="single" w:sz="8" w:color="1C90D3"/>
              <w:bottom w:val="single" w:sz="8" w:color="1C90D3"/>
            </w:tcBorders>
          </w:tcPr>
          <w:p>
            <w:pPr>
              <w:ind w:left="420"/>
              <w:spacing w:after="0"/>
              <w:rPr>
                <w:sz w:val="20"/>
                <w:szCs w:val="20"/>
                <w:color w:val="auto"/>
              </w:rPr>
            </w:pPr>
            <w:r>
              <w:rPr>
                <w:rFonts w:ascii="Arial" w:cs="Arial" w:eastAsia="Arial" w:hAnsi="Arial"/>
                <w:sz w:val="16"/>
                <w:szCs w:val="16"/>
                <w:b w:val="1"/>
                <w:bCs w:val="1"/>
                <w:color w:val="1C90D3"/>
              </w:rPr>
              <w:t>How We Responded</w:t>
            </w:r>
          </w:p>
        </w:tc>
      </w:tr>
      <w:tr>
        <w:trPr>
          <w:trHeight w:val="191"/>
        </w:trPr>
        <w:tc>
          <w:tcPr>
            <w:tcW w:w="3480" w:type="dxa"/>
            <w:vAlign w:val="bottom"/>
          </w:tcPr>
          <w:p>
            <w:pPr>
              <w:ind w:left="80"/>
              <w:spacing w:after="0"/>
              <w:rPr>
                <w:sz w:val="20"/>
                <w:szCs w:val="20"/>
                <w:color w:val="auto"/>
              </w:rPr>
            </w:pPr>
            <w:r>
              <w:rPr>
                <w:rFonts w:ascii="Arial" w:cs="Arial" w:eastAsia="Arial" w:hAnsi="Arial"/>
                <w:sz w:val="16"/>
                <w:szCs w:val="16"/>
                <w:b w:val="1"/>
                <w:bCs w:val="1"/>
                <w:color w:val="auto"/>
              </w:rPr>
              <w:t>Pay for performance</w:t>
            </w:r>
          </w:p>
        </w:tc>
        <w:tc>
          <w:tcPr>
            <w:tcW w:w="7700" w:type="dxa"/>
            <w:vAlign w:val="bottom"/>
          </w:tcPr>
          <w:p>
            <w:pPr>
              <w:ind w:left="420"/>
              <w:spacing w:after="0"/>
              <w:rPr>
                <w:sz w:val="20"/>
                <w:szCs w:val="20"/>
                <w:color w:val="auto"/>
              </w:rPr>
            </w:pPr>
            <w:r>
              <w:rPr>
                <w:rFonts w:ascii="Arial" w:cs="Arial" w:eastAsia="Arial" w:hAnsi="Arial"/>
                <w:sz w:val="16"/>
                <w:szCs w:val="16"/>
                <w:color w:val="auto"/>
              </w:rPr>
              <w:t>72% of the CEO’s compensation is tied to the performance of Company goals, and 67% for other</w:t>
            </w:r>
          </w:p>
        </w:tc>
      </w:tr>
      <w:tr>
        <w:trPr>
          <w:trHeight w:val="187"/>
        </w:trPr>
        <w:tc>
          <w:tcPr>
            <w:tcW w:w="3480" w:type="dxa"/>
            <w:vAlign w:val="bottom"/>
            <w:tcBorders>
              <w:bottom w:val="single" w:sz="8" w:color="auto"/>
            </w:tcBorders>
          </w:tcPr>
          <w:p>
            <w:pPr>
              <w:spacing w:after="0"/>
              <w:rPr>
                <w:sz w:val="16"/>
                <w:szCs w:val="16"/>
                <w:color w:val="auto"/>
              </w:rPr>
            </w:pPr>
          </w:p>
        </w:tc>
        <w:tc>
          <w:tcPr>
            <w:tcW w:w="7700" w:type="dxa"/>
            <w:vAlign w:val="bottom"/>
            <w:tcBorders>
              <w:bottom w:val="single" w:sz="8" w:color="auto"/>
            </w:tcBorders>
          </w:tcPr>
          <w:p>
            <w:pPr>
              <w:ind w:left="420"/>
              <w:spacing w:after="0"/>
              <w:rPr>
                <w:sz w:val="20"/>
                <w:szCs w:val="20"/>
                <w:color w:val="auto"/>
              </w:rPr>
            </w:pPr>
            <w:r>
              <w:rPr>
                <w:rFonts w:ascii="Arial" w:cs="Arial" w:eastAsia="Arial" w:hAnsi="Arial"/>
                <w:sz w:val="16"/>
                <w:szCs w:val="16"/>
                <w:color w:val="auto"/>
              </w:rPr>
              <w:t>NEOs.</w:t>
            </w:r>
          </w:p>
        </w:tc>
      </w:tr>
      <w:tr>
        <w:trPr>
          <w:trHeight w:val="164"/>
        </w:trPr>
        <w:tc>
          <w:tcPr>
            <w:tcW w:w="3480" w:type="dxa"/>
            <w:vAlign w:val="bottom"/>
          </w:tcPr>
          <w:p>
            <w:pPr>
              <w:ind w:left="80"/>
              <w:spacing w:after="0" w:line="165" w:lineRule="exact"/>
              <w:rPr>
                <w:sz w:val="20"/>
                <w:szCs w:val="20"/>
                <w:color w:val="auto"/>
              </w:rPr>
            </w:pPr>
            <w:r>
              <w:rPr>
                <w:rFonts w:ascii="Arial" w:cs="Arial" w:eastAsia="Arial" w:hAnsi="Arial"/>
                <w:sz w:val="16"/>
                <w:szCs w:val="16"/>
                <w:b w:val="1"/>
                <w:bCs w:val="1"/>
                <w:color w:val="auto"/>
              </w:rPr>
              <w:t>Align compensation to the interests of</w:t>
            </w:r>
          </w:p>
        </w:tc>
        <w:tc>
          <w:tcPr>
            <w:tcW w:w="7700" w:type="dxa"/>
            <w:vAlign w:val="bottom"/>
          </w:tcPr>
          <w:p>
            <w:pPr>
              <w:ind w:left="420"/>
              <w:spacing w:after="0" w:line="165" w:lineRule="exact"/>
              <w:rPr>
                <w:sz w:val="20"/>
                <w:szCs w:val="20"/>
                <w:color w:val="auto"/>
              </w:rPr>
            </w:pPr>
            <w:r>
              <w:rPr>
                <w:rFonts w:ascii="Arial" w:cs="Arial" w:eastAsia="Arial" w:hAnsi="Arial"/>
                <w:sz w:val="16"/>
                <w:szCs w:val="16"/>
                <w:color w:val="auto"/>
              </w:rPr>
              <w:t>Executives at GM have the majority of their total compensation in the form of equity. Our annual STIP</w:t>
            </w:r>
          </w:p>
        </w:tc>
      </w:tr>
      <w:tr>
        <w:trPr>
          <w:trHeight w:val="207"/>
        </w:trPr>
        <w:tc>
          <w:tcPr>
            <w:tcW w:w="348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shareholders</w:t>
            </w:r>
          </w:p>
        </w:tc>
        <w:tc>
          <w:tcPr>
            <w:tcW w:w="7700" w:type="dxa"/>
            <w:vAlign w:val="bottom"/>
            <w:tcBorders>
              <w:bottom w:val="single" w:sz="8" w:color="auto"/>
            </w:tcBorders>
          </w:tcPr>
          <w:p>
            <w:pPr>
              <w:ind w:left="420"/>
              <w:spacing w:after="0"/>
              <w:rPr>
                <w:sz w:val="20"/>
                <w:szCs w:val="20"/>
                <w:color w:val="auto"/>
              </w:rPr>
            </w:pPr>
            <w:r>
              <w:rPr>
                <w:rFonts w:ascii="Arial" w:cs="Arial" w:eastAsia="Arial" w:hAnsi="Arial"/>
                <w:sz w:val="16"/>
                <w:szCs w:val="16"/>
                <w:color w:val="auto"/>
              </w:rPr>
              <w:t>and PSUs both have metrics that will create long-term shareholder value.</w:t>
            </w:r>
          </w:p>
        </w:tc>
      </w:tr>
      <w:tr>
        <w:trPr>
          <w:trHeight w:val="184"/>
        </w:trPr>
        <w:tc>
          <w:tcPr>
            <w:tcW w:w="3480" w:type="dxa"/>
            <w:vAlign w:val="bottom"/>
          </w:tcPr>
          <w:p>
            <w:pPr>
              <w:ind w:left="80"/>
              <w:spacing w:after="0"/>
              <w:rPr>
                <w:sz w:val="20"/>
                <w:szCs w:val="20"/>
                <w:color w:val="auto"/>
              </w:rPr>
            </w:pPr>
            <w:r>
              <w:rPr>
                <w:rFonts w:ascii="Arial" w:cs="Arial" w:eastAsia="Arial" w:hAnsi="Arial"/>
                <w:sz w:val="16"/>
                <w:szCs w:val="16"/>
                <w:b w:val="1"/>
                <w:bCs w:val="1"/>
                <w:color w:val="auto"/>
              </w:rPr>
              <w:t>Consider stock options</w:t>
            </w:r>
          </w:p>
        </w:tc>
        <w:tc>
          <w:tcPr>
            <w:tcW w:w="7700" w:type="dxa"/>
            <w:vAlign w:val="bottom"/>
          </w:tcPr>
          <w:p>
            <w:pPr>
              <w:ind w:left="420"/>
              <w:spacing w:after="0"/>
              <w:rPr>
                <w:sz w:val="20"/>
                <w:szCs w:val="20"/>
                <w:color w:val="auto"/>
              </w:rPr>
            </w:pPr>
            <w:r>
              <w:rPr>
                <w:rFonts w:ascii="Arial" w:cs="Arial" w:eastAsia="Arial" w:hAnsi="Arial"/>
                <w:sz w:val="16"/>
                <w:szCs w:val="16"/>
                <w:color w:val="auto"/>
              </w:rPr>
              <w:t>In 2015, we made a one-time stock option grant, which included non-compete and non-solicitation</w:t>
            </w:r>
          </w:p>
        </w:tc>
      </w:tr>
      <w:tr>
        <w:trPr>
          <w:trHeight w:val="189"/>
        </w:trPr>
        <w:tc>
          <w:tcPr>
            <w:tcW w:w="3480" w:type="dxa"/>
            <w:vAlign w:val="bottom"/>
          </w:tcPr>
          <w:p>
            <w:pPr>
              <w:spacing w:after="0"/>
              <w:rPr>
                <w:sz w:val="16"/>
                <w:szCs w:val="16"/>
                <w:color w:val="auto"/>
              </w:rPr>
            </w:pPr>
          </w:p>
        </w:tc>
        <w:tc>
          <w:tcPr>
            <w:tcW w:w="7700" w:type="dxa"/>
            <w:vAlign w:val="bottom"/>
          </w:tcPr>
          <w:p>
            <w:pPr>
              <w:ind w:left="420"/>
              <w:spacing w:after="0"/>
              <w:rPr>
                <w:sz w:val="20"/>
                <w:szCs w:val="20"/>
                <w:color w:val="auto"/>
              </w:rPr>
            </w:pPr>
            <w:r>
              <w:rPr>
                <w:rFonts w:ascii="Arial" w:cs="Arial" w:eastAsia="Arial" w:hAnsi="Arial"/>
                <w:sz w:val="16"/>
                <w:szCs w:val="16"/>
                <w:color w:val="auto"/>
              </w:rPr>
              <w:t>terms; 60% of the options feature performance-based vesting, and 40% feature time-based vesting.</w:t>
            </w:r>
          </w:p>
        </w:tc>
      </w:tr>
      <w:tr>
        <w:trPr>
          <w:trHeight w:val="187"/>
        </w:trPr>
        <w:tc>
          <w:tcPr>
            <w:tcW w:w="3480" w:type="dxa"/>
            <w:vAlign w:val="bottom"/>
            <w:tcBorders>
              <w:bottom w:val="single" w:sz="8" w:color="auto"/>
            </w:tcBorders>
          </w:tcPr>
          <w:p>
            <w:pPr>
              <w:spacing w:after="0"/>
              <w:rPr>
                <w:sz w:val="16"/>
                <w:szCs w:val="16"/>
                <w:color w:val="auto"/>
              </w:rPr>
            </w:pPr>
          </w:p>
        </w:tc>
        <w:tc>
          <w:tcPr>
            <w:tcW w:w="7700" w:type="dxa"/>
            <w:vAlign w:val="bottom"/>
            <w:tcBorders>
              <w:bottom w:val="single" w:sz="8" w:color="auto"/>
            </w:tcBorders>
          </w:tcPr>
          <w:p>
            <w:pPr>
              <w:ind w:left="420"/>
              <w:spacing w:after="0"/>
              <w:rPr>
                <w:sz w:val="20"/>
                <w:szCs w:val="20"/>
                <w:color w:val="auto"/>
              </w:rPr>
            </w:pPr>
            <w:r>
              <w:rPr>
                <w:rFonts w:ascii="Arial" w:cs="Arial" w:eastAsia="Arial" w:hAnsi="Arial"/>
                <w:sz w:val="16"/>
                <w:szCs w:val="16"/>
                <w:color w:val="auto"/>
              </w:rPr>
              <w:t>The award is described in full on page 45.</w:t>
            </w:r>
          </w:p>
        </w:tc>
      </w:tr>
      <w:tr>
        <w:trPr>
          <w:trHeight w:val="184"/>
        </w:trPr>
        <w:tc>
          <w:tcPr>
            <w:tcW w:w="3480" w:type="dxa"/>
            <w:vAlign w:val="bottom"/>
          </w:tcPr>
          <w:p>
            <w:pPr>
              <w:ind w:left="80"/>
              <w:spacing w:after="0"/>
              <w:rPr>
                <w:sz w:val="20"/>
                <w:szCs w:val="20"/>
                <w:color w:val="auto"/>
              </w:rPr>
            </w:pPr>
            <w:r>
              <w:rPr>
                <w:rFonts w:ascii="Arial" w:cs="Arial" w:eastAsia="Arial" w:hAnsi="Arial"/>
                <w:sz w:val="16"/>
                <w:szCs w:val="16"/>
                <w:b w:val="1"/>
                <w:bCs w:val="1"/>
                <w:color w:val="auto"/>
              </w:rPr>
              <w:t>Simplify compensation plans</w:t>
            </w:r>
          </w:p>
        </w:tc>
        <w:tc>
          <w:tcPr>
            <w:tcW w:w="7700" w:type="dxa"/>
            <w:vAlign w:val="bottom"/>
          </w:tcPr>
          <w:p>
            <w:pPr>
              <w:ind w:left="420"/>
              <w:spacing w:after="0"/>
              <w:rPr>
                <w:sz w:val="20"/>
                <w:szCs w:val="20"/>
                <w:color w:val="auto"/>
              </w:rPr>
            </w:pPr>
            <w:r>
              <w:rPr>
                <w:rFonts w:ascii="Arial" w:cs="Arial" w:eastAsia="Arial" w:hAnsi="Arial"/>
                <w:sz w:val="16"/>
                <w:szCs w:val="16"/>
                <w:color w:val="auto"/>
              </w:rPr>
              <w:t>We continue to evaluate both short and long-term compensation plans to ensure executive line of</w:t>
            </w:r>
          </w:p>
        </w:tc>
      </w:tr>
      <w:tr>
        <w:trPr>
          <w:trHeight w:val="194"/>
        </w:trPr>
        <w:tc>
          <w:tcPr>
            <w:tcW w:w="3480" w:type="dxa"/>
            <w:vAlign w:val="bottom"/>
            <w:tcBorders>
              <w:bottom w:val="single" w:sz="8" w:color="08228B"/>
            </w:tcBorders>
          </w:tcPr>
          <w:p>
            <w:pPr>
              <w:spacing w:after="0"/>
              <w:rPr>
                <w:sz w:val="16"/>
                <w:szCs w:val="16"/>
                <w:color w:val="auto"/>
              </w:rPr>
            </w:pPr>
          </w:p>
        </w:tc>
        <w:tc>
          <w:tcPr>
            <w:tcW w:w="7700" w:type="dxa"/>
            <w:vAlign w:val="bottom"/>
            <w:tcBorders>
              <w:bottom w:val="single" w:sz="8" w:color="08228B"/>
            </w:tcBorders>
          </w:tcPr>
          <w:p>
            <w:pPr>
              <w:ind w:left="420"/>
              <w:spacing w:after="0"/>
              <w:rPr>
                <w:sz w:val="20"/>
                <w:szCs w:val="20"/>
                <w:color w:val="auto"/>
              </w:rPr>
            </w:pPr>
            <w:r>
              <w:rPr>
                <w:rFonts w:ascii="Arial" w:cs="Arial" w:eastAsia="Arial" w:hAnsi="Arial"/>
                <w:sz w:val="16"/>
                <w:szCs w:val="16"/>
                <w:color w:val="auto"/>
              </w:rPr>
              <w:t>sight with alignment to creating shareholder value.</w:t>
            </w:r>
          </w:p>
        </w:tc>
      </w:tr>
    </w:tbl>
    <w:p>
      <w:pPr>
        <w:spacing w:after="0" w:line="191" w:lineRule="exact"/>
        <w:rPr>
          <w:sz w:val="20"/>
          <w:szCs w:val="20"/>
          <w:color w:val="auto"/>
        </w:rPr>
      </w:pPr>
    </w:p>
    <w:p>
      <w:pPr>
        <w:ind w:left="80" w:right="60"/>
        <w:spacing w:after="0" w:line="260" w:lineRule="auto"/>
        <w:rPr>
          <w:sz w:val="20"/>
          <w:szCs w:val="20"/>
          <w:color w:val="auto"/>
        </w:rPr>
      </w:pPr>
      <w:r>
        <w:rPr>
          <w:rFonts w:ascii="Arial" w:cs="Arial" w:eastAsia="Arial" w:hAnsi="Arial"/>
          <w:sz w:val="16"/>
          <w:szCs w:val="16"/>
          <w:color w:val="auto"/>
        </w:rPr>
        <w:t>The Company values investor feedback and will continue our investor outreach initiatives to ensure our executive compensation programs remain aligned to shareholder expectations.</w:t>
      </w:r>
    </w:p>
    <w:p>
      <w:pPr>
        <w:spacing w:after="0" w:line="290" w:lineRule="exact"/>
        <w:rPr>
          <w:sz w:val="20"/>
          <w:szCs w:val="20"/>
          <w:color w:val="auto"/>
        </w:rPr>
      </w:pPr>
    </w:p>
    <w:p>
      <w:pPr>
        <w:ind w:left="540" w:hanging="469"/>
        <w:spacing w:after="0"/>
        <w:tabs>
          <w:tab w:leader="none" w:pos="540" w:val="left"/>
        </w:tabs>
        <w:numPr>
          <w:ilvl w:val="0"/>
          <w:numId w:val="33"/>
        </w:numPr>
        <w:rPr>
          <w:rFonts w:ascii="Arial" w:cs="Arial" w:eastAsia="Arial" w:hAnsi="Arial"/>
          <w:sz w:val="25"/>
          <w:szCs w:val="25"/>
          <w:color w:val="08228B"/>
        </w:rPr>
      </w:pPr>
      <w:r>
        <w:rPr>
          <w:rFonts w:ascii="Arial" w:cs="Arial" w:eastAsia="Arial" w:hAnsi="Arial"/>
          <w:sz w:val="25"/>
          <w:szCs w:val="25"/>
          <w:color w:val="auto"/>
        </w:rPr>
        <w:t>2015 Peer Group for Compensation Comparisons</w:t>
      </w:r>
    </w:p>
    <w:p>
      <w:pPr>
        <w:spacing w:after="0" w:line="199" w:lineRule="exact"/>
        <w:rPr>
          <w:sz w:val="20"/>
          <w:szCs w:val="20"/>
          <w:color w:val="auto"/>
        </w:rPr>
      </w:pPr>
    </w:p>
    <w:p>
      <w:pPr>
        <w:jc w:val="both"/>
        <w:ind w:left="80" w:right="60"/>
        <w:spacing w:after="0" w:line="253" w:lineRule="auto"/>
        <w:rPr>
          <w:sz w:val="20"/>
          <w:szCs w:val="20"/>
          <w:color w:val="auto"/>
        </w:rPr>
      </w:pPr>
      <w:r>
        <w:rPr>
          <w:rFonts w:ascii="Arial" w:cs="Arial" w:eastAsia="Arial" w:hAnsi="Arial"/>
          <w:sz w:val="16"/>
          <w:szCs w:val="16"/>
          <w:color w:val="auto"/>
        </w:rPr>
        <w:t>In 2015, we made changes to our peer group by removing ConocoPhillips, Chevron Corporation, and Lockheed Martin Corporation and adding Intel Corporation, based on the guidelines established by the Compensation Committee for our peer group selection. Companies must satisfy each of the following criteria to be considered for the peer group:</w:t>
      </w:r>
    </w:p>
    <w:p>
      <w:pPr>
        <w:spacing w:after="0" w:line="174" w:lineRule="exact"/>
        <w:rPr>
          <w:sz w:val="20"/>
          <w:szCs w:val="20"/>
          <w:color w:val="auto"/>
        </w:rPr>
      </w:pPr>
    </w:p>
    <w:p>
      <w:pPr>
        <w:ind w:left="240" w:hanging="169"/>
        <w:spacing w:after="0"/>
        <w:tabs>
          <w:tab w:leader="none" w:pos="240" w:val="left"/>
        </w:tabs>
        <w:numPr>
          <w:ilvl w:val="0"/>
          <w:numId w:val="34"/>
        </w:numPr>
        <w:rPr>
          <w:rFonts w:ascii="Arial" w:cs="Arial" w:eastAsia="Arial" w:hAnsi="Arial"/>
          <w:sz w:val="16"/>
          <w:szCs w:val="16"/>
          <w:color w:val="08228B"/>
        </w:rPr>
      </w:pPr>
      <w:r>
        <w:rPr>
          <w:rFonts w:ascii="Arial" w:cs="Arial" w:eastAsia="Arial" w:hAnsi="Arial"/>
          <w:sz w:val="16"/>
          <w:szCs w:val="16"/>
          <w:color w:val="auto"/>
        </w:rPr>
        <w:t>Revenue greater than $25 billion</w:t>
      </w:r>
    </w:p>
    <w:p>
      <w:pPr>
        <w:spacing w:after="0" w:line="86" w:lineRule="exact"/>
        <w:rPr>
          <w:rFonts w:ascii="Arial" w:cs="Arial" w:eastAsia="Arial" w:hAnsi="Arial"/>
          <w:sz w:val="16"/>
          <w:szCs w:val="16"/>
          <w:color w:val="08228B"/>
        </w:rPr>
      </w:pPr>
    </w:p>
    <w:p>
      <w:pPr>
        <w:ind w:left="240" w:hanging="169"/>
        <w:spacing w:after="0"/>
        <w:tabs>
          <w:tab w:leader="none" w:pos="240" w:val="left"/>
        </w:tabs>
        <w:numPr>
          <w:ilvl w:val="0"/>
          <w:numId w:val="34"/>
        </w:numPr>
        <w:rPr>
          <w:rFonts w:ascii="Arial" w:cs="Arial" w:eastAsia="Arial" w:hAnsi="Arial"/>
          <w:sz w:val="16"/>
          <w:szCs w:val="16"/>
          <w:color w:val="08228B"/>
        </w:rPr>
      </w:pPr>
      <w:r>
        <w:rPr>
          <w:rFonts w:ascii="Arial" w:cs="Arial" w:eastAsia="Arial" w:hAnsi="Arial"/>
          <w:sz w:val="16"/>
          <w:szCs w:val="16"/>
          <w:color w:val="auto"/>
        </w:rPr>
        <w:t>Significant international revenue</w:t>
      </w:r>
    </w:p>
    <w:p>
      <w:pPr>
        <w:spacing w:after="0" w:line="86" w:lineRule="exact"/>
        <w:rPr>
          <w:rFonts w:ascii="Arial" w:cs="Arial" w:eastAsia="Arial" w:hAnsi="Arial"/>
          <w:sz w:val="16"/>
          <w:szCs w:val="16"/>
          <w:color w:val="08228B"/>
        </w:rPr>
      </w:pPr>
    </w:p>
    <w:p>
      <w:pPr>
        <w:ind w:left="240" w:hanging="169"/>
        <w:spacing w:after="0"/>
        <w:tabs>
          <w:tab w:leader="none" w:pos="240" w:val="left"/>
        </w:tabs>
        <w:numPr>
          <w:ilvl w:val="0"/>
          <w:numId w:val="34"/>
        </w:numPr>
        <w:rPr>
          <w:rFonts w:ascii="Arial" w:cs="Arial" w:eastAsia="Arial" w:hAnsi="Arial"/>
          <w:sz w:val="16"/>
          <w:szCs w:val="16"/>
          <w:color w:val="08228B"/>
        </w:rPr>
      </w:pPr>
      <w:r>
        <w:rPr>
          <w:rFonts w:ascii="Arial" w:cs="Arial" w:eastAsia="Arial" w:hAnsi="Arial"/>
          <w:sz w:val="16"/>
          <w:szCs w:val="16"/>
          <w:color w:val="auto"/>
        </w:rPr>
        <w:t>Capital intensive operations</w:t>
      </w:r>
    </w:p>
    <w:p>
      <w:pPr>
        <w:spacing w:after="0" w:line="194" w:lineRule="exact"/>
        <w:rPr>
          <w:sz w:val="20"/>
          <w:szCs w:val="20"/>
          <w:color w:val="auto"/>
        </w:rPr>
      </w:pPr>
    </w:p>
    <w:p>
      <w:pPr>
        <w:ind w:left="80"/>
        <w:spacing w:after="0"/>
        <w:rPr>
          <w:sz w:val="20"/>
          <w:szCs w:val="20"/>
          <w:color w:val="auto"/>
        </w:rPr>
      </w:pPr>
      <w:r>
        <w:rPr>
          <w:rFonts w:ascii="Arial" w:cs="Arial" w:eastAsia="Arial" w:hAnsi="Arial"/>
          <w:sz w:val="16"/>
          <w:szCs w:val="16"/>
          <w:color w:val="auto"/>
        </w:rPr>
        <w:t>Additionally, the Compensation Committee considers the following factors when selecting our peer group:</w:t>
      </w:r>
    </w:p>
    <w:p>
      <w:pPr>
        <w:spacing w:after="0" w:line="194" w:lineRule="exact"/>
        <w:rPr>
          <w:sz w:val="20"/>
          <w:szCs w:val="20"/>
          <w:color w:val="auto"/>
        </w:rPr>
      </w:pPr>
    </w:p>
    <w:p>
      <w:pPr>
        <w:ind w:left="240" w:hanging="169"/>
        <w:spacing w:after="0"/>
        <w:tabs>
          <w:tab w:leader="none" w:pos="240" w:val="left"/>
        </w:tabs>
        <w:numPr>
          <w:ilvl w:val="0"/>
          <w:numId w:val="35"/>
        </w:numPr>
        <w:rPr>
          <w:rFonts w:ascii="Arial" w:cs="Arial" w:eastAsia="Arial" w:hAnsi="Arial"/>
          <w:sz w:val="16"/>
          <w:szCs w:val="16"/>
          <w:color w:val="08228B"/>
        </w:rPr>
      </w:pPr>
      <w:r>
        <w:rPr>
          <w:rFonts w:ascii="Arial" w:cs="Arial" w:eastAsia="Arial" w:hAnsi="Arial"/>
          <w:sz w:val="16"/>
          <w:szCs w:val="16"/>
          <w:color w:val="auto"/>
        </w:rPr>
        <w:t>Companies with comparable R&amp;D expenditures as a percent of revenue</w:t>
      </w:r>
    </w:p>
    <w:p>
      <w:pPr>
        <w:spacing w:after="0" w:line="86" w:lineRule="exact"/>
        <w:rPr>
          <w:rFonts w:ascii="Arial" w:cs="Arial" w:eastAsia="Arial" w:hAnsi="Arial"/>
          <w:sz w:val="16"/>
          <w:szCs w:val="16"/>
          <w:color w:val="08228B"/>
        </w:rPr>
      </w:pPr>
    </w:p>
    <w:p>
      <w:pPr>
        <w:ind w:left="240" w:hanging="169"/>
        <w:spacing w:after="0"/>
        <w:tabs>
          <w:tab w:leader="none" w:pos="240" w:val="left"/>
        </w:tabs>
        <w:numPr>
          <w:ilvl w:val="0"/>
          <w:numId w:val="35"/>
        </w:numPr>
        <w:rPr>
          <w:rFonts w:ascii="Arial" w:cs="Arial" w:eastAsia="Arial" w:hAnsi="Arial"/>
          <w:sz w:val="16"/>
          <w:szCs w:val="16"/>
          <w:color w:val="08228B"/>
        </w:rPr>
      </w:pPr>
      <w:r>
        <w:rPr>
          <w:rFonts w:ascii="Arial" w:cs="Arial" w:eastAsia="Arial" w:hAnsi="Arial"/>
          <w:sz w:val="16"/>
          <w:szCs w:val="16"/>
          <w:color w:val="auto"/>
        </w:rPr>
        <w:t>Durable goods manufacturer</w:t>
      </w:r>
    </w:p>
    <w:p>
      <w:pPr>
        <w:spacing w:after="0" w:line="86" w:lineRule="exact"/>
        <w:rPr>
          <w:rFonts w:ascii="Arial" w:cs="Arial" w:eastAsia="Arial" w:hAnsi="Arial"/>
          <w:sz w:val="16"/>
          <w:szCs w:val="16"/>
          <w:color w:val="08228B"/>
        </w:rPr>
      </w:pPr>
    </w:p>
    <w:p>
      <w:pPr>
        <w:ind w:left="240" w:hanging="169"/>
        <w:spacing w:after="0"/>
        <w:tabs>
          <w:tab w:leader="none" w:pos="240" w:val="left"/>
        </w:tabs>
        <w:numPr>
          <w:ilvl w:val="0"/>
          <w:numId w:val="35"/>
        </w:numPr>
        <w:rPr>
          <w:rFonts w:ascii="Arial" w:cs="Arial" w:eastAsia="Arial" w:hAnsi="Arial"/>
          <w:sz w:val="16"/>
          <w:szCs w:val="16"/>
          <w:color w:val="08228B"/>
        </w:rPr>
      </w:pPr>
      <w:r>
        <w:rPr>
          <w:rFonts w:ascii="Arial" w:cs="Arial" w:eastAsia="Arial" w:hAnsi="Arial"/>
          <w:sz w:val="16"/>
          <w:szCs w:val="16"/>
          <w:color w:val="auto"/>
        </w:rPr>
        <w:t>Business/production complexity</w:t>
      </w:r>
    </w:p>
    <w:p>
      <w:pPr>
        <w:spacing w:after="0" w:line="86" w:lineRule="exact"/>
        <w:rPr>
          <w:rFonts w:ascii="Arial" w:cs="Arial" w:eastAsia="Arial" w:hAnsi="Arial"/>
          <w:sz w:val="16"/>
          <w:szCs w:val="16"/>
          <w:color w:val="08228B"/>
        </w:rPr>
      </w:pPr>
    </w:p>
    <w:p>
      <w:pPr>
        <w:ind w:left="240" w:hanging="169"/>
        <w:spacing w:after="0"/>
        <w:tabs>
          <w:tab w:leader="none" w:pos="240" w:val="left"/>
        </w:tabs>
        <w:numPr>
          <w:ilvl w:val="0"/>
          <w:numId w:val="35"/>
        </w:numPr>
        <w:rPr>
          <w:rFonts w:ascii="Arial" w:cs="Arial" w:eastAsia="Arial" w:hAnsi="Arial"/>
          <w:sz w:val="16"/>
          <w:szCs w:val="16"/>
          <w:color w:val="08228B"/>
        </w:rPr>
      </w:pPr>
      <w:r>
        <w:rPr>
          <w:rFonts w:ascii="Arial" w:cs="Arial" w:eastAsia="Arial" w:hAnsi="Arial"/>
          <w:sz w:val="16"/>
          <w:szCs w:val="16"/>
          <w:color w:val="auto"/>
        </w:rPr>
        <w:t>Consumer end-user</w:t>
      </w:r>
    </w:p>
    <w:p>
      <w:pPr>
        <w:spacing w:after="0" w:line="86" w:lineRule="exact"/>
        <w:rPr>
          <w:rFonts w:ascii="Arial" w:cs="Arial" w:eastAsia="Arial" w:hAnsi="Arial"/>
          <w:sz w:val="16"/>
          <w:szCs w:val="16"/>
          <w:color w:val="08228B"/>
        </w:rPr>
      </w:pPr>
    </w:p>
    <w:p>
      <w:pPr>
        <w:ind w:left="240" w:hanging="169"/>
        <w:spacing w:after="0"/>
        <w:tabs>
          <w:tab w:leader="none" w:pos="240" w:val="left"/>
        </w:tabs>
        <w:numPr>
          <w:ilvl w:val="0"/>
          <w:numId w:val="35"/>
        </w:numPr>
        <w:rPr>
          <w:rFonts w:ascii="Arial" w:cs="Arial" w:eastAsia="Arial" w:hAnsi="Arial"/>
          <w:sz w:val="16"/>
          <w:szCs w:val="16"/>
          <w:color w:val="08228B"/>
        </w:rPr>
      </w:pPr>
      <w:r>
        <w:rPr>
          <w:rFonts w:ascii="Arial" w:cs="Arial" w:eastAsia="Arial" w:hAnsi="Arial"/>
          <w:sz w:val="16"/>
          <w:szCs w:val="16"/>
          <w:color w:val="auto"/>
        </w:rPr>
        <w:t>Strong brand reputation</w:t>
      </w:r>
    </w:p>
    <w:p>
      <w:pPr>
        <w:spacing w:after="0" w:line="194" w:lineRule="exact"/>
        <w:rPr>
          <w:sz w:val="20"/>
          <w:szCs w:val="20"/>
          <w:color w:val="auto"/>
        </w:rPr>
      </w:pPr>
    </w:p>
    <w:p>
      <w:pPr>
        <w:ind w:left="80" w:right="60"/>
        <w:spacing w:after="0" w:line="260" w:lineRule="auto"/>
        <w:rPr>
          <w:sz w:val="20"/>
          <w:szCs w:val="20"/>
          <w:color w:val="auto"/>
        </w:rPr>
      </w:pPr>
      <w:r>
        <w:rPr>
          <w:rFonts w:ascii="Arial" w:cs="Arial" w:eastAsia="Arial" w:hAnsi="Arial"/>
          <w:sz w:val="16"/>
          <w:szCs w:val="16"/>
          <w:color w:val="auto"/>
        </w:rPr>
        <w:t>We do not limit our peer group to our industry alone, because we believe compensation practices for NEOs at other large U.S.-based multinationals affect our ability to attract and retain diverse talent around the globe.</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13"/>
        </w:trPr>
        <w:tc>
          <w:tcPr>
            <w:tcW w:w="4340" w:type="dxa"/>
            <w:vAlign w:val="bottom"/>
            <w:tcBorders>
              <w:bottom w:val="single" w:sz="8" w:color="08228B"/>
            </w:tcBorders>
          </w:tcPr>
          <w:p>
            <w:pPr>
              <w:spacing w:after="0"/>
              <w:rPr>
                <w:sz w:val="9"/>
                <w:szCs w:val="9"/>
                <w:color w:val="auto"/>
              </w:rPr>
            </w:pPr>
          </w:p>
        </w:tc>
        <w:tc>
          <w:tcPr>
            <w:tcW w:w="2060" w:type="dxa"/>
            <w:vAlign w:val="bottom"/>
            <w:vMerge w:val="restart"/>
          </w:tcPr>
          <w:p>
            <w:pPr>
              <w:ind w:left="60"/>
              <w:spacing w:after="0"/>
              <w:rPr>
                <w:sz w:val="20"/>
                <w:szCs w:val="20"/>
                <w:color w:val="auto"/>
              </w:rPr>
            </w:pPr>
            <w:r>
              <w:rPr>
                <w:rFonts w:ascii="Arial" w:cs="Arial" w:eastAsia="Arial" w:hAnsi="Arial"/>
                <w:sz w:val="16"/>
                <w:szCs w:val="16"/>
                <w:b w:val="1"/>
                <w:bCs w:val="1"/>
                <w:color w:val="1C90D3"/>
              </w:rPr>
              <w:t xml:space="preserve">2016 </w:t>
            </w:r>
            <w:r>
              <w:rPr>
                <w:rFonts w:ascii="Arial" w:cs="Arial" w:eastAsia="Arial" w:hAnsi="Arial"/>
                <w:sz w:val="16"/>
                <w:szCs w:val="16"/>
                <w:color w:val="08228B"/>
              </w:rPr>
              <w:t>PROXY STATEMENT</w:t>
            </w:r>
          </w:p>
        </w:tc>
        <w:tc>
          <w:tcPr>
            <w:tcW w:w="2400" w:type="dxa"/>
            <w:vAlign w:val="bottom"/>
            <w:tcBorders>
              <w:bottom w:val="single" w:sz="8" w:color="08228B"/>
            </w:tcBorders>
          </w:tcPr>
          <w:p>
            <w:pPr>
              <w:spacing w:after="0"/>
              <w:rPr>
                <w:sz w:val="9"/>
                <w:szCs w:val="9"/>
                <w:color w:val="auto"/>
              </w:rPr>
            </w:pPr>
          </w:p>
        </w:tc>
        <w:tc>
          <w:tcPr>
            <w:tcW w:w="2620" w:type="dxa"/>
            <w:vAlign w:val="bottom"/>
            <w:vMerge w:val="restart"/>
          </w:tcPr>
          <w:p>
            <w:pPr>
              <w:jc w:val="right"/>
              <w:ind w:right="39"/>
              <w:spacing w:after="0"/>
              <w:rPr>
                <w:sz w:val="20"/>
                <w:szCs w:val="20"/>
                <w:color w:val="auto"/>
              </w:rPr>
            </w:pPr>
            <w:r>
              <w:rPr>
                <w:rFonts w:ascii="Arial" w:cs="Arial" w:eastAsia="Arial" w:hAnsi="Arial"/>
                <w:sz w:val="16"/>
                <w:szCs w:val="16"/>
                <w:color w:val="08228B"/>
              </w:rPr>
              <w:t>38</w:t>
            </w:r>
          </w:p>
        </w:tc>
        <w:tc>
          <w:tcPr>
            <w:tcW w:w="0" w:type="dxa"/>
            <w:vAlign w:val="bottom"/>
          </w:tcPr>
          <w:p>
            <w:pPr>
              <w:spacing w:after="0"/>
              <w:rPr>
                <w:sz w:val="1"/>
                <w:szCs w:val="1"/>
                <w:color w:val="auto"/>
              </w:rPr>
            </w:pPr>
          </w:p>
        </w:tc>
      </w:tr>
      <w:tr>
        <w:trPr>
          <w:trHeight w:val="82"/>
        </w:trPr>
        <w:tc>
          <w:tcPr>
            <w:tcW w:w="4340" w:type="dxa"/>
            <w:vAlign w:val="bottom"/>
          </w:tcPr>
          <w:p>
            <w:pPr>
              <w:spacing w:after="0"/>
              <w:rPr>
                <w:sz w:val="7"/>
                <w:szCs w:val="7"/>
                <w:color w:val="auto"/>
              </w:rPr>
            </w:pPr>
          </w:p>
        </w:tc>
        <w:tc>
          <w:tcPr>
            <w:tcW w:w="2060" w:type="dxa"/>
            <w:vAlign w:val="bottom"/>
            <w:vMerge w:val="continue"/>
          </w:tcPr>
          <w:p>
            <w:pPr>
              <w:spacing w:after="0"/>
              <w:rPr>
                <w:sz w:val="7"/>
                <w:szCs w:val="7"/>
                <w:color w:val="auto"/>
              </w:rPr>
            </w:pPr>
          </w:p>
        </w:tc>
        <w:tc>
          <w:tcPr>
            <w:tcW w:w="2400" w:type="dxa"/>
            <w:vAlign w:val="bottom"/>
          </w:tcPr>
          <w:p>
            <w:pPr>
              <w:spacing w:after="0"/>
              <w:rPr>
                <w:sz w:val="7"/>
                <w:szCs w:val="7"/>
                <w:color w:val="auto"/>
              </w:rPr>
            </w:pPr>
          </w:p>
        </w:tc>
        <w:tc>
          <w:tcPr>
            <w:tcW w:w="2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7"/>
        </w:trPr>
        <w:tc>
          <w:tcPr>
            <w:tcW w:w="4340" w:type="dxa"/>
            <w:vAlign w:val="bottom"/>
            <w:tcBorders>
              <w:bottom w:val="single" w:sz="8" w:color="C0C0C0"/>
            </w:tcBorders>
          </w:tcPr>
          <w:p>
            <w:pPr>
              <w:spacing w:after="0"/>
              <w:rPr>
                <w:sz w:val="24"/>
                <w:szCs w:val="24"/>
                <w:color w:val="auto"/>
              </w:rPr>
            </w:pPr>
          </w:p>
        </w:tc>
        <w:tc>
          <w:tcPr>
            <w:tcW w:w="2060" w:type="dxa"/>
            <w:vAlign w:val="bottom"/>
            <w:tcBorders>
              <w:bottom w:val="single" w:sz="8" w:color="C0C0C0"/>
            </w:tcBorders>
          </w:tcPr>
          <w:p>
            <w:pPr>
              <w:spacing w:after="0"/>
              <w:rPr>
                <w:sz w:val="24"/>
                <w:szCs w:val="24"/>
                <w:color w:val="auto"/>
              </w:rPr>
            </w:pPr>
          </w:p>
        </w:tc>
        <w:tc>
          <w:tcPr>
            <w:tcW w:w="2400" w:type="dxa"/>
            <w:vAlign w:val="bottom"/>
            <w:tcBorders>
              <w:bottom w:val="single" w:sz="8" w:color="C0C0C0"/>
            </w:tcBorders>
          </w:tcPr>
          <w:p>
            <w:pPr>
              <w:spacing w:after="0"/>
              <w:rPr>
                <w:sz w:val="24"/>
                <w:szCs w:val="24"/>
                <w:color w:val="auto"/>
              </w:rPr>
            </w:pPr>
          </w:p>
        </w:tc>
        <w:tc>
          <w:tcPr>
            <w:tcW w:w="262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5613400</wp:posOffset>
            </wp:positionH>
            <wp:positionV relativeFrom="paragraph">
              <wp:posOffset>-334010</wp:posOffset>
            </wp:positionV>
            <wp:extent cx="1286510" cy="8572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1286510" cy="8572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125730</wp:posOffset>
            </wp:positionV>
            <wp:extent cx="7250430" cy="725932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250430" cy="7259320"/>
                    </a:xfrm>
                    <a:prstGeom prst="rect">
                      <a:avLst/>
                    </a:prstGeom>
                    <a:noFill/>
                  </pic:spPr>
                </pic:pic>
              </a:graphicData>
            </a:graphic>
          </wp:anchor>
        </w:drawing>
      </w:r>
    </w:p>
    <w:p>
      <w:pPr>
        <w:spacing w:after="0" w:line="316" w:lineRule="exact"/>
        <w:rPr>
          <w:sz w:val="20"/>
          <w:szCs w:val="20"/>
          <w:color w:val="auto"/>
        </w:rPr>
      </w:pPr>
    </w:p>
    <w:tbl>
      <w:tblPr>
        <w:tblLayout w:type="fixed"/>
        <w:tblInd w:w="80" w:type="dxa"/>
        <w:tblCellMar>
          <w:top w:w="0" w:type="dxa"/>
          <w:left w:w="0" w:type="dxa"/>
          <w:bottom w:w="0" w:type="dxa"/>
          <w:right w:w="0" w:type="dxa"/>
        </w:tblCellMar>
      </w:tblPr>
      <w:tr>
        <w:trPr>
          <w:trHeight w:val="198"/>
        </w:trPr>
        <w:tc>
          <w:tcPr>
            <w:tcW w:w="2660" w:type="dxa"/>
            <w:vAlign w:val="bottom"/>
            <w:tcBorders>
              <w:top w:val="single" w:sz="8" w:color="1C90D3"/>
            </w:tcBorders>
          </w:tcPr>
          <w:p>
            <w:pPr>
              <w:spacing w:after="0"/>
              <w:rPr>
                <w:sz w:val="17"/>
                <w:szCs w:val="17"/>
                <w:color w:val="auto"/>
              </w:rPr>
            </w:pPr>
          </w:p>
        </w:tc>
        <w:tc>
          <w:tcPr>
            <w:tcW w:w="4040" w:type="dxa"/>
            <w:vAlign w:val="bottom"/>
            <w:tcBorders>
              <w:top w:val="single" w:sz="8" w:color="1C90D3"/>
            </w:tcBorders>
          </w:tcPr>
          <w:p>
            <w:pPr>
              <w:spacing w:after="0"/>
              <w:rPr>
                <w:sz w:val="17"/>
                <w:szCs w:val="17"/>
                <w:color w:val="auto"/>
              </w:rPr>
            </w:pPr>
          </w:p>
        </w:tc>
        <w:tc>
          <w:tcPr>
            <w:tcW w:w="1740" w:type="dxa"/>
            <w:vAlign w:val="bottom"/>
            <w:tcBorders>
              <w:top w:val="single" w:sz="8" w:color="1C90D3"/>
            </w:tcBorders>
          </w:tcPr>
          <w:p>
            <w:pPr>
              <w:spacing w:after="0"/>
              <w:rPr>
                <w:sz w:val="17"/>
                <w:szCs w:val="17"/>
                <w:color w:val="auto"/>
              </w:rPr>
            </w:pPr>
          </w:p>
        </w:tc>
        <w:tc>
          <w:tcPr>
            <w:tcW w:w="1200" w:type="dxa"/>
            <w:vAlign w:val="bottom"/>
            <w:tcBorders>
              <w:top w:val="single" w:sz="8" w:color="1C90D3"/>
            </w:tcBorders>
          </w:tcPr>
          <w:p>
            <w:pPr>
              <w:jc w:val="center"/>
              <w:spacing w:after="0"/>
              <w:rPr>
                <w:sz w:val="20"/>
                <w:szCs w:val="20"/>
                <w:color w:val="auto"/>
              </w:rPr>
            </w:pPr>
            <w:r>
              <w:rPr>
                <w:rFonts w:ascii="Arial" w:cs="Arial" w:eastAsia="Arial" w:hAnsi="Arial"/>
                <w:sz w:val="16"/>
                <w:szCs w:val="16"/>
                <w:b w:val="1"/>
                <w:bCs w:val="1"/>
                <w:color w:val="1C90D3"/>
              </w:rPr>
              <w:t>Significant</w:t>
            </w:r>
          </w:p>
        </w:tc>
        <w:tc>
          <w:tcPr>
            <w:tcW w:w="1540" w:type="dxa"/>
            <w:vAlign w:val="bottom"/>
            <w:tcBorders>
              <w:top w:val="single" w:sz="8" w:color="1C90D3"/>
            </w:tcBorders>
          </w:tcPr>
          <w:p>
            <w:pPr>
              <w:spacing w:after="0"/>
              <w:rPr>
                <w:sz w:val="17"/>
                <w:szCs w:val="17"/>
                <w:color w:val="auto"/>
              </w:rPr>
            </w:pPr>
          </w:p>
        </w:tc>
      </w:tr>
      <w:tr>
        <w:trPr>
          <w:trHeight w:val="189"/>
        </w:trPr>
        <w:tc>
          <w:tcPr>
            <w:tcW w:w="266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6"/>
                <w:szCs w:val="16"/>
                <w:b w:val="1"/>
                <w:bCs w:val="1"/>
                <w:color w:val="1C90D3"/>
                <w:w w:val="99"/>
              </w:rPr>
              <w:t>International</w:t>
            </w:r>
          </w:p>
        </w:tc>
        <w:tc>
          <w:tcPr>
            <w:tcW w:w="1540" w:type="dxa"/>
            <w:vAlign w:val="bottom"/>
          </w:tcPr>
          <w:p>
            <w:pPr>
              <w:jc w:val="center"/>
              <w:spacing w:after="0"/>
              <w:rPr>
                <w:sz w:val="20"/>
                <w:szCs w:val="20"/>
                <w:color w:val="auto"/>
              </w:rPr>
            </w:pPr>
            <w:r>
              <w:rPr>
                <w:rFonts w:ascii="Arial" w:cs="Arial" w:eastAsia="Arial" w:hAnsi="Arial"/>
                <w:sz w:val="16"/>
                <w:szCs w:val="16"/>
                <w:b w:val="1"/>
                <w:bCs w:val="1"/>
                <w:color w:val="1C90D3"/>
              </w:rPr>
              <w:t>Capital Intensive</w:t>
            </w:r>
          </w:p>
        </w:tc>
      </w:tr>
      <w:tr>
        <w:trPr>
          <w:trHeight w:val="214"/>
        </w:trPr>
        <w:tc>
          <w:tcPr>
            <w:tcW w:w="2660" w:type="dxa"/>
            <w:vAlign w:val="bottom"/>
            <w:tcBorders>
              <w:bottom w:val="single" w:sz="8" w:color="1C90D3"/>
            </w:tcBorders>
          </w:tcPr>
          <w:p>
            <w:pPr>
              <w:ind w:left="80"/>
              <w:spacing w:after="0"/>
              <w:rPr>
                <w:sz w:val="20"/>
                <w:szCs w:val="20"/>
                <w:color w:val="auto"/>
              </w:rPr>
            </w:pPr>
            <w:r>
              <w:rPr>
                <w:rFonts w:ascii="Arial" w:cs="Arial" w:eastAsia="Arial" w:hAnsi="Arial"/>
                <w:sz w:val="16"/>
                <w:szCs w:val="16"/>
                <w:b w:val="1"/>
                <w:bCs w:val="1"/>
                <w:color w:val="1C90D3"/>
              </w:rPr>
              <w:t>Company</w:t>
            </w:r>
          </w:p>
        </w:tc>
        <w:tc>
          <w:tcPr>
            <w:tcW w:w="4040" w:type="dxa"/>
            <w:vAlign w:val="bottom"/>
            <w:tcBorders>
              <w:bottom w:val="single" w:sz="8" w:color="1C90D3"/>
            </w:tcBorders>
          </w:tcPr>
          <w:p>
            <w:pPr>
              <w:ind w:left="220"/>
              <w:spacing w:after="0"/>
              <w:rPr>
                <w:sz w:val="20"/>
                <w:szCs w:val="20"/>
                <w:color w:val="auto"/>
              </w:rPr>
            </w:pPr>
            <w:r>
              <w:rPr>
                <w:rFonts w:ascii="Arial" w:cs="Arial" w:eastAsia="Arial" w:hAnsi="Arial"/>
                <w:sz w:val="16"/>
                <w:szCs w:val="16"/>
                <w:b w:val="1"/>
                <w:bCs w:val="1"/>
                <w:color w:val="1C90D3"/>
              </w:rPr>
              <w:t>Industry</w:t>
            </w:r>
          </w:p>
        </w:tc>
        <w:tc>
          <w:tcPr>
            <w:tcW w:w="1740" w:type="dxa"/>
            <w:vAlign w:val="bottom"/>
            <w:tcBorders>
              <w:bottom w:val="single" w:sz="8" w:color="1C90D3"/>
            </w:tcBorders>
          </w:tcPr>
          <w:p>
            <w:pPr>
              <w:jc w:val="center"/>
              <w:ind w:left="219"/>
              <w:spacing w:after="0"/>
              <w:rPr>
                <w:sz w:val="20"/>
                <w:szCs w:val="20"/>
                <w:color w:val="auto"/>
              </w:rPr>
            </w:pPr>
            <w:r>
              <w:rPr>
                <w:rFonts w:ascii="Arial" w:cs="Arial" w:eastAsia="Arial" w:hAnsi="Arial"/>
                <w:sz w:val="16"/>
                <w:szCs w:val="16"/>
                <w:b w:val="1"/>
                <w:bCs w:val="1"/>
                <w:color w:val="1C90D3"/>
              </w:rPr>
              <w:t>Revenue &gt; $25B</w:t>
            </w:r>
          </w:p>
        </w:tc>
        <w:tc>
          <w:tcPr>
            <w:tcW w:w="1200" w:type="dxa"/>
            <w:vAlign w:val="bottom"/>
            <w:tcBorders>
              <w:bottom w:val="single" w:sz="8" w:color="1C90D3"/>
            </w:tcBorders>
          </w:tcPr>
          <w:p>
            <w:pPr>
              <w:jc w:val="center"/>
              <w:spacing w:after="0"/>
              <w:rPr>
                <w:sz w:val="20"/>
                <w:szCs w:val="20"/>
                <w:color w:val="auto"/>
              </w:rPr>
            </w:pPr>
            <w:r>
              <w:rPr>
                <w:rFonts w:ascii="Arial" w:cs="Arial" w:eastAsia="Arial" w:hAnsi="Arial"/>
                <w:sz w:val="16"/>
                <w:szCs w:val="16"/>
                <w:b w:val="1"/>
                <w:bCs w:val="1"/>
                <w:color w:val="1C90D3"/>
              </w:rPr>
              <w:t>Revenue</w:t>
            </w:r>
          </w:p>
        </w:tc>
        <w:tc>
          <w:tcPr>
            <w:tcW w:w="1540" w:type="dxa"/>
            <w:vAlign w:val="bottom"/>
            <w:tcBorders>
              <w:bottom w:val="single" w:sz="8" w:color="1C90D3"/>
            </w:tcBorders>
          </w:tcPr>
          <w:p>
            <w:pPr>
              <w:jc w:val="center"/>
              <w:spacing w:after="0"/>
              <w:rPr>
                <w:sz w:val="20"/>
                <w:szCs w:val="20"/>
                <w:color w:val="auto"/>
              </w:rPr>
            </w:pPr>
            <w:r>
              <w:rPr>
                <w:rFonts w:ascii="Arial" w:cs="Arial" w:eastAsia="Arial" w:hAnsi="Arial"/>
                <w:sz w:val="16"/>
                <w:szCs w:val="16"/>
                <w:b w:val="1"/>
                <w:bCs w:val="1"/>
                <w:color w:val="1C90D3"/>
              </w:rPr>
              <w:t>Operations</w:t>
            </w:r>
          </w:p>
        </w:tc>
      </w:tr>
      <w:tr>
        <w:trPr>
          <w:trHeight w:val="237"/>
        </w:trPr>
        <w:tc>
          <w:tcPr>
            <w:tcW w:w="266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3M Company</w:t>
            </w:r>
          </w:p>
        </w:tc>
        <w:tc>
          <w:tcPr>
            <w:tcW w:w="40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Industrial Conglomerates</w:t>
            </w:r>
          </w:p>
        </w:tc>
        <w:tc>
          <w:tcPr>
            <w:tcW w:w="1740" w:type="dxa"/>
            <w:vAlign w:val="bottom"/>
            <w:tcBorders>
              <w:bottom w:val="single" w:sz="8" w:color="auto"/>
            </w:tcBorders>
          </w:tcPr>
          <w:p>
            <w:pPr>
              <w:jc w:val="center"/>
              <w:ind w:left="219"/>
              <w:spacing w:after="0"/>
              <w:rPr>
                <w:sz w:val="20"/>
                <w:szCs w:val="20"/>
                <w:color w:val="auto"/>
              </w:rPr>
            </w:pPr>
            <w:r>
              <w:rPr>
                <w:rFonts w:ascii="Arial" w:cs="Arial" w:eastAsia="Arial" w:hAnsi="Arial"/>
                <w:sz w:val="16"/>
                <w:szCs w:val="16"/>
                <w:b w:val="1"/>
                <w:bCs w:val="1"/>
                <w:color w:val="auto"/>
              </w:rPr>
              <w:t>X</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X</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X</w:t>
            </w:r>
          </w:p>
        </w:tc>
      </w:tr>
      <w:tr>
        <w:trPr>
          <w:trHeight w:val="237"/>
        </w:trPr>
        <w:tc>
          <w:tcPr>
            <w:tcW w:w="266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The Boeing Company</w:t>
            </w:r>
          </w:p>
        </w:tc>
        <w:tc>
          <w:tcPr>
            <w:tcW w:w="40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Aerospace and Defense</w:t>
            </w:r>
          </w:p>
        </w:tc>
        <w:tc>
          <w:tcPr>
            <w:tcW w:w="1740" w:type="dxa"/>
            <w:vAlign w:val="bottom"/>
            <w:tcBorders>
              <w:bottom w:val="single" w:sz="8" w:color="auto"/>
            </w:tcBorders>
          </w:tcPr>
          <w:p>
            <w:pPr>
              <w:jc w:val="center"/>
              <w:ind w:left="219"/>
              <w:spacing w:after="0"/>
              <w:rPr>
                <w:sz w:val="20"/>
                <w:szCs w:val="20"/>
                <w:color w:val="auto"/>
              </w:rPr>
            </w:pPr>
            <w:r>
              <w:rPr>
                <w:rFonts w:ascii="Arial" w:cs="Arial" w:eastAsia="Arial" w:hAnsi="Arial"/>
                <w:sz w:val="16"/>
                <w:szCs w:val="16"/>
                <w:b w:val="1"/>
                <w:bCs w:val="1"/>
                <w:color w:val="auto"/>
              </w:rPr>
              <w:t>X</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X</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X</w:t>
            </w:r>
          </w:p>
        </w:tc>
      </w:tr>
      <w:tr>
        <w:trPr>
          <w:trHeight w:val="224"/>
        </w:trPr>
        <w:tc>
          <w:tcPr>
            <w:tcW w:w="2660" w:type="dxa"/>
            <w:vAlign w:val="bottom"/>
          </w:tcPr>
          <w:p>
            <w:pPr>
              <w:ind w:left="80"/>
              <w:spacing w:after="0"/>
              <w:rPr>
                <w:sz w:val="20"/>
                <w:szCs w:val="20"/>
                <w:color w:val="auto"/>
              </w:rPr>
            </w:pPr>
            <w:r>
              <w:rPr>
                <w:rFonts w:ascii="Arial" w:cs="Arial" w:eastAsia="Arial" w:hAnsi="Arial"/>
                <w:sz w:val="16"/>
                <w:szCs w:val="16"/>
                <w:color w:val="auto"/>
              </w:rPr>
              <w:t>Caterpillar Inc.</w:t>
            </w:r>
          </w:p>
        </w:tc>
        <w:tc>
          <w:tcPr>
            <w:tcW w:w="4040" w:type="dxa"/>
            <w:vAlign w:val="bottom"/>
          </w:tcPr>
          <w:p>
            <w:pPr>
              <w:ind w:left="220"/>
              <w:spacing w:after="0"/>
              <w:rPr>
                <w:sz w:val="20"/>
                <w:szCs w:val="20"/>
                <w:color w:val="auto"/>
              </w:rPr>
            </w:pPr>
            <w:r>
              <w:rPr>
                <w:rFonts w:ascii="Arial" w:cs="Arial" w:eastAsia="Arial" w:hAnsi="Arial"/>
                <w:sz w:val="16"/>
                <w:szCs w:val="16"/>
                <w:color w:val="auto"/>
              </w:rPr>
              <w:t>Construction Machinery and Heavy Trucks</w:t>
            </w:r>
          </w:p>
        </w:tc>
        <w:tc>
          <w:tcPr>
            <w:tcW w:w="1740" w:type="dxa"/>
            <w:vAlign w:val="bottom"/>
          </w:tcPr>
          <w:p>
            <w:pPr>
              <w:jc w:val="center"/>
              <w:ind w:left="219"/>
              <w:spacing w:after="0"/>
              <w:rPr>
                <w:sz w:val="20"/>
                <w:szCs w:val="20"/>
                <w:color w:val="auto"/>
              </w:rPr>
            </w:pPr>
            <w:r>
              <w:rPr>
                <w:rFonts w:ascii="Arial" w:cs="Arial" w:eastAsia="Arial" w:hAnsi="Arial"/>
                <w:sz w:val="16"/>
                <w:szCs w:val="16"/>
                <w:b w:val="1"/>
                <w:bCs w:val="1"/>
                <w:color w:val="auto"/>
              </w:rPr>
              <w:t>X</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rPr>
              <w:t>X</w:t>
            </w:r>
          </w:p>
        </w:tc>
        <w:tc>
          <w:tcPr>
            <w:tcW w:w="1540" w:type="dxa"/>
            <w:vAlign w:val="bottom"/>
          </w:tcPr>
          <w:p>
            <w:pPr>
              <w:jc w:val="center"/>
              <w:spacing w:after="0"/>
              <w:rPr>
                <w:sz w:val="20"/>
                <w:szCs w:val="20"/>
                <w:color w:val="auto"/>
              </w:rPr>
            </w:pPr>
            <w:r>
              <w:rPr>
                <w:rFonts w:ascii="Arial" w:cs="Arial" w:eastAsia="Arial" w:hAnsi="Arial"/>
                <w:sz w:val="16"/>
                <w:szCs w:val="16"/>
                <w:b w:val="1"/>
                <w:bCs w:val="1"/>
                <w:color w:val="auto"/>
              </w:rPr>
              <w:t>X</w:t>
            </w:r>
          </w:p>
        </w:tc>
      </w:tr>
      <w:tr>
        <w:trPr>
          <w:trHeight w:val="33"/>
        </w:trPr>
        <w:tc>
          <w:tcPr>
            <w:tcW w:w="266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266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Deere &amp; Company</w:t>
            </w:r>
          </w:p>
        </w:tc>
        <w:tc>
          <w:tcPr>
            <w:tcW w:w="40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Agricultural and Farm Machinery</w:t>
            </w:r>
          </w:p>
        </w:tc>
        <w:tc>
          <w:tcPr>
            <w:tcW w:w="1740" w:type="dxa"/>
            <w:vAlign w:val="bottom"/>
            <w:tcBorders>
              <w:bottom w:val="single" w:sz="8" w:color="auto"/>
            </w:tcBorders>
          </w:tcPr>
          <w:p>
            <w:pPr>
              <w:jc w:val="center"/>
              <w:ind w:left="219"/>
              <w:spacing w:after="0"/>
              <w:rPr>
                <w:sz w:val="20"/>
                <w:szCs w:val="20"/>
                <w:color w:val="auto"/>
              </w:rPr>
            </w:pPr>
            <w:r>
              <w:rPr>
                <w:rFonts w:ascii="Arial" w:cs="Arial" w:eastAsia="Arial" w:hAnsi="Arial"/>
                <w:sz w:val="16"/>
                <w:szCs w:val="16"/>
                <w:b w:val="1"/>
                <w:bCs w:val="1"/>
                <w:color w:val="auto"/>
              </w:rPr>
              <w:t>X</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X</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X</w:t>
            </w:r>
          </w:p>
        </w:tc>
      </w:tr>
      <w:tr>
        <w:trPr>
          <w:trHeight w:val="237"/>
        </w:trPr>
        <w:tc>
          <w:tcPr>
            <w:tcW w:w="266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The Dow Chemical Company</w:t>
            </w:r>
          </w:p>
        </w:tc>
        <w:tc>
          <w:tcPr>
            <w:tcW w:w="40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Diversified Chemicals</w:t>
            </w:r>
          </w:p>
        </w:tc>
        <w:tc>
          <w:tcPr>
            <w:tcW w:w="1740" w:type="dxa"/>
            <w:vAlign w:val="bottom"/>
            <w:tcBorders>
              <w:bottom w:val="single" w:sz="8" w:color="auto"/>
            </w:tcBorders>
          </w:tcPr>
          <w:p>
            <w:pPr>
              <w:jc w:val="center"/>
              <w:ind w:left="219"/>
              <w:spacing w:after="0"/>
              <w:rPr>
                <w:sz w:val="20"/>
                <w:szCs w:val="20"/>
                <w:color w:val="auto"/>
              </w:rPr>
            </w:pPr>
            <w:r>
              <w:rPr>
                <w:rFonts w:ascii="Arial" w:cs="Arial" w:eastAsia="Arial" w:hAnsi="Arial"/>
                <w:sz w:val="16"/>
                <w:szCs w:val="16"/>
                <w:b w:val="1"/>
                <w:bCs w:val="1"/>
                <w:color w:val="auto"/>
              </w:rPr>
              <w:t>X</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X</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X</w:t>
            </w:r>
          </w:p>
        </w:tc>
      </w:tr>
      <w:tr>
        <w:trPr>
          <w:trHeight w:val="237"/>
        </w:trPr>
        <w:tc>
          <w:tcPr>
            <w:tcW w:w="266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Du Pont</w:t>
            </w:r>
          </w:p>
        </w:tc>
        <w:tc>
          <w:tcPr>
            <w:tcW w:w="40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Diversified Chemicals</w:t>
            </w:r>
          </w:p>
        </w:tc>
        <w:tc>
          <w:tcPr>
            <w:tcW w:w="1740" w:type="dxa"/>
            <w:vAlign w:val="bottom"/>
            <w:tcBorders>
              <w:bottom w:val="single" w:sz="8" w:color="auto"/>
            </w:tcBorders>
          </w:tcPr>
          <w:p>
            <w:pPr>
              <w:jc w:val="center"/>
              <w:ind w:left="219"/>
              <w:spacing w:after="0"/>
              <w:rPr>
                <w:sz w:val="20"/>
                <w:szCs w:val="20"/>
                <w:color w:val="auto"/>
              </w:rPr>
            </w:pPr>
            <w:r>
              <w:rPr>
                <w:rFonts w:ascii="Arial" w:cs="Arial" w:eastAsia="Arial" w:hAnsi="Arial"/>
                <w:sz w:val="16"/>
                <w:szCs w:val="16"/>
                <w:b w:val="1"/>
                <w:bCs w:val="1"/>
                <w:color w:val="auto"/>
              </w:rPr>
              <w:t>X</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X</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X</w:t>
            </w:r>
          </w:p>
        </w:tc>
      </w:tr>
      <w:tr>
        <w:trPr>
          <w:trHeight w:val="237"/>
        </w:trPr>
        <w:tc>
          <w:tcPr>
            <w:tcW w:w="266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Ford Motor Company</w:t>
            </w:r>
          </w:p>
        </w:tc>
        <w:tc>
          <w:tcPr>
            <w:tcW w:w="40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Automobile Manufacturers</w:t>
            </w:r>
          </w:p>
        </w:tc>
        <w:tc>
          <w:tcPr>
            <w:tcW w:w="1740" w:type="dxa"/>
            <w:vAlign w:val="bottom"/>
            <w:tcBorders>
              <w:bottom w:val="single" w:sz="8" w:color="auto"/>
            </w:tcBorders>
          </w:tcPr>
          <w:p>
            <w:pPr>
              <w:jc w:val="center"/>
              <w:ind w:left="219"/>
              <w:spacing w:after="0"/>
              <w:rPr>
                <w:sz w:val="20"/>
                <w:szCs w:val="20"/>
                <w:color w:val="auto"/>
              </w:rPr>
            </w:pPr>
            <w:r>
              <w:rPr>
                <w:rFonts w:ascii="Arial" w:cs="Arial" w:eastAsia="Arial" w:hAnsi="Arial"/>
                <w:sz w:val="16"/>
                <w:szCs w:val="16"/>
                <w:b w:val="1"/>
                <w:bCs w:val="1"/>
                <w:color w:val="auto"/>
              </w:rPr>
              <w:t>X</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X</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X</w:t>
            </w:r>
          </w:p>
        </w:tc>
      </w:tr>
      <w:tr>
        <w:trPr>
          <w:trHeight w:val="237"/>
        </w:trPr>
        <w:tc>
          <w:tcPr>
            <w:tcW w:w="266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General Electric Company</w:t>
            </w:r>
          </w:p>
        </w:tc>
        <w:tc>
          <w:tcPr>
            <w:tcW w:w="40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Industrial Conglomerates</w:t>
            </w:r>
          </w:p>
        </w:tc>
        <w:tc>
          <w:tcPr>
            <w:tcW w:w="1740" w:type="dxa"/>
            <w:vAlign w:val="bottom"/>
            <w:tcBorders>
              <w:bottom w:val="single" w:sz="8" w:color="auto"/>
            </w:tcBorders>
          </w:tcPr>
          <w:p>
            <w:pPr>
              <w:jc w:val="center"/>
              <w:ind w:left="219"/>
              <w:spacing w:after="0"/>
              <w:rPr>
                <w:sz w:val="20"/>
                <w:szCs w:val="20"/>
                <w:color w:val="auto"/>
              </w:rPr>
            </w:pPr>
            <w:r>
              <w:rPr>
                <w:rFonts w:ascii="Arial" w:cs="Arial" w:eastAsia="Arial" w:hAnsi="Arial"/>
                <w:sz w:val="16"/>
                <w:szCs w:val="16"/>
                <w:b w:val="1"/>
                <w:bCs w:val="1"/>
                <w:color w:val="auto"/>
              </w:rPr>
              <w:t>X</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X</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X</w:t>
            </w:r>
          </w:p>
        </w:tc>
      </w:tr>
      <w:tr>
        <w:trPr>
          <w:trHeight w:val="224"/>
        </w:trPr>
        <w:tc>
          <w:tcPr>
            <w:tcW w:w="2660" w:type="dxa"/>
            <w:vAlign w:val="bottom"/>
          </w:tcPr>
          <w:p>
            <w:pPr>
              <w:ind w:left="80"/>
              <w:spacing w:after="0"/>
              <w:rPr>
                <w:sz w:val="20"/>
                <w:szCs w:val="20"/>
                <w:color w:val="auto"/>
              </w:rPr>
            </w:pPr>
            <w:r>
              <w:rPr>
                <w:rFonts w:ascii="Arial" w:cs="Arial" w:eastAsia="Arial" w:hAnsi="Arial"/>
                <w:sz w:val="16"/>
                <w:szCs w:val="16"/>
                <w:color w:val="auto"/>
              </w:rPr>
              <w:t>Hewlett-Packard Company</w:t>
            </w:r>
          </w:p>
        </w:tc>
        <w:tc>
          <w:tcPr>
            <w:tcW w:w="4040" w:type="dxa"/>
            <w:vAlign w:val="bottom"/>
          </w:tcPr>
          <w:p>
            <w:pPr>
              <w:ind w:left="220"/>
              <w:spacing w:after="0"/>
              <w:rPr>
                <w:sz w:val="20"/>
                <w:szCs w:val="20"/>
                <w:color w:val="auto"/>
              </w:rPr>
            </w:pPr>
            <w:r>
              <w:rPr>
                <w:rFonts w:ascii="Arial" w:cs="Arial" w:eastAsia="Arial" w:hAnsi="Arial"/>
                <w:sz w:val="16"/>
                <w:szCs w:val="16"/>
                <w:color w:val="auto"/>
              </w:rPr>
              <w:t>Technology Hardware, Storage, and Peripherals</w:t>
            </w:r>
          </w:p>
        </w:tc>
        <w:tc>
          <w:tcPr>
            <w:tcW w:w="1740" w:type="dxa"/>
            <w:vAlign w:val="bottom"/>
          </w:tcPr>
          <w:p>
            <w:pPr>
              <w:jc w:val="center"/>
              <w:ind w:left="219"/>
              <w:spacing w:after="0"/>
              <w:rPr>
                <w:sz w:val="20"/>
                <w:szCs w:val="20"/>
                <w:color w:val="auto"/>
              </w:rPr>
            </w:pPr>
            <w:r>
              <w:rPr>
                <w:rFonts w:ascii="Arial" w:cs="Arial" w:eastAsia="Arial" w:hAnsi="Arial"/>
                <w:sz w:val="16"/>
                <w:szCs w:val="16"/>
                <w:b w:val="1"/>
                <w:bCs w:val="1"/>
                <w:color w:val="auto"/>
              </w:rPr>
              <w:t>X</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rPr>
              <w:t>X</w:t>
            </w:r>
          </w:p>
        </w:tc>
        <w:tc>
          <w:tcPr>
            <w:tcW w:w="1540" w:type="dxa"/>
            <w:vAlign w:val="bottom"/>
          </w:tcPr>
          <w:p>
            <w:pPr>
              <w:jc w:val="center"/>
              <w:spacing w:after="0"/>
              <w:rPr>
                <w:sz w:val="20"/>
                <w:szCs w:val="20"/>
                <w:color w:val="auto"/>
              </w:rPr>
            </w:pPr>
            <w:r>
              <w:rPr>
                <w:rFonts w:ascii="Arial" w:cs="Arial" w:eastAsia="Arial" w:hAnsi="Arial"/>
                <w:sz w:val="16"/>
                <w:szCs w:val="16"/>
                <w:b w:val="1"/>
                <w:bCs w:val="1"/>
                <w:color w:val="auto"/>
              </w:rPr>
              <w:t>X</w:t>
            </w:r>
          </w:p>
        </w:tc>
      </w:tr>
      <w:tr>
        <w:trPr>
          <w:trHeight w:val="33"/>
        </w:trPr>
        <w:tc>
          <w:tcPr>
            <w:tcW w:w="266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0"/>
        </w:trPr>
        <w:tc>
          <w:tcPr>
            <w:tcW w:w="266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Honeywell International Inc.</w:t>
            </w:r>
          </w:p>
        </w:tc>
        <w:tc>
          <w:tcPr>
            <w:tcW w:w="40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Aerospace and Defense</w:t>
            </w:r>
          </w:p>
        </w:tc>
        <w:tc>
          <w:tcPr>
            <w:tcW w:w="1740" w:type="dxa"/>
            <w:vAlign w:val="bottom"/>
            <w:tcBorders>
              <w:bottom w:val="single" w:sz="8" w:color="auto"/>
            </w:tcBorders>
          </w:tcPr>
          <w:p>
            <w:pPr>
              <w:jc w:val="center"/>
              <w:ind w:left="219"/>
              <w:spacing w:after="0"/>
              <w:rPr>
                <w:sz w:val="20"/>
                <w:szCs w:val="20"/>
                <w:color w:val="auto"/>
              </w:rPr>
            </w:pPr>
            <w:r>
              <w:rPr>
                <w:rFonts w:ascii="Arial" w:cs="Arial" w:eastAsia="Arial" w:hAnsi="Arial"/>
                <w:sz w:val="16"/>
                <w:szCs w:val="16"/>
                <w:b w:val="1"/>
                <w:bCs w:val="1"/>
                <w:color w:val="auto"/>
              </w:rPr>
              <w:t>X</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X</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X</w:t>
            </w:r>
          </w:p>
        </w:tc>
      </w:tr>
      <w:tr>
        <w:trPr>
          <w:trHeight w:val="250"/>
        </w:trPr>
        <w:tc>
          <w:tcPr>
            <w:tcW w:w="266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IBM Corporation</w:t>
            </w:r>
          </w:p>
        </w:tc>
        <w:tc>
          <w:tcPr>
            <w:tcW w:w="40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IT Consulting and Other Services</w:t>
            </w:r>
          </w:p>
        </w:tc>
        <w:tc>
          <w:tcPr>
            <w:tcW w:w="1740" w:type="dxa"/>
            <w:vAlign w:val="bottom"/>
            <w:tcBorders>
              <w:bottom w:val="single" w:sz="8" w:color="auto"/>
            </w:tcBorders>
          </w:tcPr>
          <w:p>
            <w:pPr>
              <w:jc w:val="center"/>
              <w:ind w:left="219"/>
              <w:spacing w:after="0"/>
              <w:rPr>
                <w:sz w:val="20"/>
                <w:szCs w:val="20"/>
                <w:color w:val="auto"/>
              </w:rPr>
            </w:pPr>
            <w:r>
              <w:rPr>
                <w:rFonts w:ascii="Arial" w:cs="Arial" w:eastAsia="Arial" w:hAnsi="Arial"/>
                <w:sz w:val="16"/>
                <w:szCs w:val="16"/>
                <w:b w:val="1"/>
                <w:bCs w:val="1"/>
                <w:color w:val="auto"/>
              </w:rPr>
              <w:t>X</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X</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X</w:t>
            </w:r>
          </w:p>
        </w:tc>
      </w:tr>
      <w:tr>
        <w:trPr>
          <w:trHeight w:val="237"/>
        </w:trPr>
        <w:tc>
          <w:tcPr>
            <w:tcW w:w="266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Intel Corporation</w:t>
            </w:r>
          </w:p>
        </w:tc>
        <w:tc>
          <w:tcPr>
            <w:tcW w:w="40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Semiconductors</w:t>
            </w:r>
          </w:p>
        </w:tc>
        <w:tc>
          <w:tcPr>
            <w:tcW w:w="1740" w:type="dxa"/>
            <w:vAlign w:val="bottom"/>
            <w:tcBorders>
              <w:bottom w:val="single" w:sz="8" w:color="auto"/>
            </w:tcBorders>
          </w:tcPr>
          <w:p>
            <w:pPr>
              <w:jc w:val="center"/>
              <w:ind w:left="219"/>
              <w:spacing w:after="0"/>
              <w:rPr>
                <w:sz w:val="20"/>
                <w:szCs w:val="20"/>
                <w:color w:val="auto"/>
              </w:rPr>
            </w:pPr>
            <w:r>
              <w:rPr>
                <w:rFonts w:ascii="Arial" w:cs="Arial" w:eastAsia="Arial" w:hAnsi="Arial"/>
                <w:sz w:val="16"/>
                <w:szCs w:val="16"/>
                <w:b w:val="1"/>
                <w:bCs w:val="1"/>
                <w:color w:val="auto"/>
              </w:rPr>
              <w:t>X</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X</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X</w:t>
            </w:r>
          </w:p>
        </w:tc>
      </w:tr>
      <w:tr>
        <w:trPr>
          <w:trHeight w:val="237"/>
        </w:trPr>
        <w:tc>
          <w:tcPr>
            <w:tcW w:w="266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Johnson &amp; Johnson</w:t>
            </w:r>
          </w:p>
        </w:tc>
        <w:tc>
          <w:tcPr>
            <w:tcW w:w="40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Pharmaceuticals</w:t>
            </w:r>
          </w:p>
        </w:tc>
        <w:tc>
          <w:tcPr>
            <w:tcW w:w="1740" w:type="dxa"/>
            <w:vAlign w:val="bottom"/>
            <w:tcBorders>
              <w:bottom w:val="single" w:sz="8" w:color="auto"/>
            </w:tcBorders>
          </w:tcPr>
          <w:p>
            <w:pPr>
              <w:jc w:val="center"/>
              <w:ind w:left="219"/>
              <w:spacing w:after="0"/>
              <w:rPr>
                <w:sz w:val="20"/>
                <w:szCs w:val="20"/>
                <w:color w:val="auto"/>
              </w:rPr>
            </w:pPr>
            <w:r>
              <w:rPr>
                <w:rFonts w:ascii="Arial" w:cs="Arial" w:eastAsia="Arial" w:hAnsi="Arial"/>
                <w:sz w:val="16"/>
                <w:szCs w:val="16"/>
                <w:b w:val="1"/>
                <w:bCs w:val="1"/>
                <w:color w:val="auto"/>
              </w:rPr>
              <w:t>X</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X</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X</w:t>
            </w:r>
          </w:p>
        </w:tc>
      </w:tr>
      <w:tr>
        <w:trPr>
          <w:trHeight w:val="237"/>
        </w:trPr>
        <w:tc>
          <w:tcPr>
            <w:tcW w:w="266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Johnson Controls Inc.</w:t>
            </w:r>
          </w:p>
        </w:tc>
        <w:tc>
          <w:tcPr>
            <w:tcW w:w="40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Auto Parts and Equipment</w:t>
            </w:r>
          </w:p>
        </w:tc>
        <w:tc>
          <w:tcPr>
            <w:tcW w:w="1740" w:type="dxa"/>
            <w:vAlign w:val="bottom"/>
            <w:tcBorders>
              <w:bottom w:val="single" w:sz="8" w:color="auto"/>
            </w:tcBorders>
          </w:tcPr>
          <w:p>
            <w:pPr>
              <w:jc w:val="center"/>
              <w:ind w:left="219"/>
              <w:spacing w:after="0"/>
              <w:rPr>
                <w:sz w:val="20"/>
                <w:szCs w:val="20"/>
                <w:color w:val="auto"/>
              </w:rPr>
            </w:pPr>
            <w:r>
              <w:rPr>
                <w:rFonts w:ascii="Arial" w:cs="Arial" w:eastAsia="Arial" w:hAnsi="Arial"/>
                <w:sz w:val="16"/>
                <w:szCs w:val="16"/>
                <w:b w:val="1"/>
                <w:bCs w:val="1"/>
                <w:color w:val="auto"/>
              </w:rPr>
              <w:t>X</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X</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X</w:t>
            </w:r>
          </w:p>
        </w:tc>
      </w:tr>
      <w:tr>
        <w:trPr>
          <w:trHeight w:val="237"/>
        </w:trPr>
        <w:tc>
          <w:tcPr>
            <w:tcW w:w="266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PepsiCo. Inc.</w:t>
            </w:r>
          </w:p>
        </w:tc>
        <w:tc>
          <w:tcPr>
            <w:tcW w:w="40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Soft Drinks and Food</w:t>
            </w:r>
          </w:p>
        </w:tc>
        <w:tc>
          <w:tcPr>
            <w:tcW w:w="1740" w:type="dxa"/>
            <w:vAlign w:val="bottom"/>
            <w:tcBorders>
              <w:bottom w:val="single" w:sz="8" w:color="auto"/>
            </w:tcBorders>
          </w:tcPr>
          <w:p>
            <w:pPr>
              <w:jc w:val="center"/>
              <w:ind w:left="219"/>
              <w:spacing w:after="0"/>
              <w:rPr>
                <w:sz w:val="20"/>
                <w:szCs w:val="20"/>
                <w:color w:val="auto"/>
              </w:rPr>
            </w:pPr>
            <w:r>
              <w:rPr>
                <w:rFonts w:ascii="Arial" w:cs="Arial" w:eastAsia="Arial" w:hAnsi="Arial"/>
                <w:sz w:val="16"/>
                <w:szCs w:val="16"/>
                <w:b w:val="1"/>
                <w:bCs w:val="1"/>
                <w:color w:val="auto"/>
              </w:rPr>
              <w:t>X</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X</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X</w:t>
            </w:r>
          </w:p>
        </w:tc>
      </w:tr>
      <w:tr>
        <w:trPr>
          <w:trHeight w:val="237"/>
        </w:trPr>
        <w:tc>
          <w:tcPr>
            <w:tcW w:w="266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Pfizer Inc.</w:t>
            </w:r>
          </w:p>
        </w:tc>
        <w:tc>
          <w:tcPr>
            <w:tcW w:w="40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Pharmaceuticals</w:t>
            </w:r>
          </w:p>
        </w:tc>
        <w:tc>
          <w:tcPr>
            <w:tcW w:w="1740" w:type="dxa"/>
            <w:vAlign w:val="bottom"/>
            <w:tcBorders>
              <w:bottom w:val="single" w:sz="8" w:color="auto"/>
            </w:tcBorders>
          </w:tcPr>
          <w:p>
            <w:pPr>
              <w:jc w:val="center"/>
              <w:ind w:left="219"/>
              <w:spacing w:after="0"/>
              <w:rPr>
                <w:sz w:val="20"/>
                <w:szCs w:val="20"/>
                <w:color w:val="auto"/>
              </w:rPr>
            </w:pPr>
            <w:r>
              <w:rPr>
                <w:rFonts w:ascii="Arial" w:cs="Arial" w:eastAsia="Arial" w:hAnsi="Arial"/>
                <w:sz w:val="16"/>
                <w:szCs w:val="16"/>
                <w:b w:val="1"/>
                <w:bCs w:val="1"/>
                <w:color w:val="auto"/>
              </w:rPr>
              <w:t>X</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X</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X</w:t>
            </w:r>
          </w:p>
        </w:tc>
      </w:tr>
      <w:tr>
        <w:trPr>
          <w:trHeight w:val="250"/>
        </w:trPr>
        <w:tc>
          <w:tcPr>
            <w:tcW w:w="266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The Procter &amp; Gamble Company</w:t>
            </w:r>
          </w:p>
        </w:tc>
        <w:tc>
          <w:tcPr>
            <w:tcW w:w="40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Household Products</w:t>
            </w:r>
          </w:p>
        </w:tc>
        <w:tc>
          <w:tcPr>
            <w:tcW w:w="1740" w:type="dxa"/>
            <w:vAlign w:val="bottom"/>
            <w:tcBorders>
              <w:bottom w:val="single" w:sz="8" w:color="auto"/>
            </w:tcBorders>
          </w:tcPr>
          <w:p>
            <w:pPr>
              <w:jc w:val="center"/>
              <w:ind w:left="219"/>
              <w:spacing w:after="0"/>
              <w:rPr>
                <w:sz w:val="20"/>
                <w:szCs w:val="20"/>
                <w:color w:val="auto"/>
              </w:rPr>
            </w:pPr>
            <w:r>
              <w:rPr>
                <w:rFonts w:ascii="Arial" w:cs="Arial" w:eastAsia="Arial" w:hAnsi="Arial"/>
                <w:sz w:val="16"/>
                <w:szCs w:val="16"/>
                <w:b w:val="1"/>
                <w:bCs w:val="1"/>
                <w:color w:val="auto"/>
              </w:rPr>
              <w:t>X</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X</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X</w:t>
            </w:r>
          </w:p>
        </w:tc>
      </w:tr>
      <w:tr>
        <w:trPr>
          <w:trHeight w:val="250"/>
        </w:trPr>
        <w:tc>
          <w:tcPr>
            <w:tcW w:w="2660" w:type="dxa"/>
            <w:vAlign w:val="bottom"/>
            <w:tcBorders>
              <w:bottom w:val="single" w:sz="8" w:color="1C90D3"/>
            </w:tcBorders>
          </w:tcPr>
          <w:p>
            <w:pPr>
              <w:ind w:left="80"/>
              <w:spacing w:after="0"/>
              <w:rPr>
                <w:sz w:val="20"/>
                <w:szCs w:val="20"/>
                <w:color w:val="auto"/>
              </w:rPr>
            </w:pPr>
            <w:r>
              <w:rPr>
                <w:rFonts w:ascii="Arial" w:cs="Arial" w:eastAsia="Arial" w:hAnsi="Arial"/>
                <w:sz w:val="16"/>
                <w:szCs w:val="16"/>
                <w:color w:val="auto"/>
              </w:rPr>
              <w:t>United Technologies Corp.</w:t>
            </w:r>
          </w:p>
        </w:tc>
        <w:tc>
          <w:tcPr>
            <w:tcW w:w="4040" w:type="dxa"/>
            <w:vAlign w:val="bottom"/>
            <w:tcBorders>
              <w:bottom w:val="single" w:sz="8" w:color="1C90D3"/>
            </w:tcBorders>
          </w:tcPr>
          <w:p>
            <w:pPr>
              <w:ind w:left="220"/>
              <w:spacing w:after="0"/>
              <w:rPr>
                <w:sz w:val="20"/>
                <w:szCs w:val="20"/>
                <w:color w:val="auto"/>
              </w:rPr>
            </w:pPr>
            <w:r>
              <w:rPr>
                <w:rFonts w:ascii="Arial" w:cs="Arial" w:eastAsia="Arial" w:hAnsi="Arial"/>
                <w:sz w:val="16"/>
                <w:szCs w:val="16"/>
                <w:color w:val="auto"/>
              </w:rPr>
              <w:t>Aerospace and Defense</w:t>
            </w:r>
          </w:p>
        </w:tc>
        <w:tc>
          <w:tcPr>
            <w:tcW w:w="1740" w:type="dxa"/>
            <w:vAlign w:val="bottom"/>
            <w:tcBorders>
              <w:bottom w:val="single" w:sz="8" w:color="1C90D3"/>
            </w:tcBorders>
          </w:tcPr>
          <w:p>
            <w:pPr>
              <w:jc w:val="center"/>
              <w:ind w:left="219"/>
              <w:spacing w:after="0"/>
              <w:rPr>
                <w:sz w:val="20"/>
                <w:szCs w:val="20"/>
                <w:color w:val="auto"/>
              </w:rPr>
            </w:pPr>
            <w:r>
              <w:rPr>
                <w:rFonts w:ascii="Arial" w:cs="Arial" w:eastAsia="Arial" w:hAnsi="Arial"/>
                <w:sz w:val="16"/>
                <w:szCs w:val="16"/>
                <w:b w:val="1"/>
                <w:bCs w:val="1"/>
                <w:color w:val="auto"/>
              </w:rPr>
              <w:t>X</w:t>
            </w:r>
          </w:p>
        </w:tc>
        <w:tc>
          <w:tcPr>
            <w:tcW w:w="1200" w:type="dxa"/>
            <w:vAlign w:val="bottom"/>
            <w:tcBorders>
              <w:bottom w:val="single" w:sz="8" w:color="1C90D3"/>
            </w:tcBorders>
          </w:tcPr>
          <w:p>
            <w:pPr>
              <w:jc w:val="center"/>
              <w:spacing w:after="0"/>
              <w:rPr>
                <w:sz w:val="20"/>
                <w:szCs w:val="20"/>
                <w:color w:val="auto"/>
              </w:rPr>
            </w:pPr>
            <w:r>
              <w:rPr>
                <w:rFonts w:ascii="Arial" w:cs="Arial" w:eastAsia="Arial" w:hAnsi="Arial"/>
                <w:sz w:val="16"/>
                <w:szCs w:val="16"/>
                <w:b w:val="1"/>
                <w:bCs w:val="1"/>
                <w:color w:val="auto"/>
              </w:rPr>
              <w:t>X</w:t>
            </w:r>
          </w:p>
        </w:tc>
        <w:tc>
          <w:tcPr>
            <w:tcW w:w="1540" w:type="dxa"/>
            <w:vAlign w:val="bottom"/>
            <w:tcBorders>
              <w:bottom w:val="single" w:sz="8" w:color="1C90D3"/>
            </w:tcBorders>
          </w:tcPr>
          <w:p>
            <w:pPr>
              <w:jc w:val="center"/>
              <w:spacing w:after="0"/>
              <w:rPr>
                <w:sz w:val="20"/>
                <w:szCs w:val="20"/>
                <w:color w:val="auto"/>
              </w:rPr>
            </w:pPr>
            <w:r>
              <w:rPr>
                <w:rFonts w:ascii="Arial" w:cs="Arial" w:eastAsia="Arial" w:hAnsi="Arial"/>
                <w:sz w:val="16"/>
                <w:szCs w:val="16"/>
                <w:b w:val="1"/>
                <w:bCs w:val="1"/>
                <w:color w:val="auto"/>
              </w:rPr>
              <w:t>X</w:t>
            </w:r>
          </w:p>
        </w:tc>
      </w:tr>
    </w:tbl>
    <w:p>
      <w:pPr>
        <w:spacing w:after="0" w:line="299" w:lineRule="exact"/>
        <w:rPr>
          <w:sz w:val="20"/>
          <w:szCs w:val="20"/>
          <w:color w:val="auto"/>
        </w:rPr>
      </w:pPr>
    </w:p>
    <w:p>
      <w:pPr>
        <w:ind w:left="540" w:hanging="469"/>
        <w:spacing w:after="0"/>
        <w:tabs>
          <w:tab w:leader="none" w:pos="540" w:val="left"/>
        </w:tabs>
        <w:numPr>
          <w:ilvl w:val="0"/>
          <w:numId w:val="36"/>
        </w:numPr>
        <w:rPr>
          <w:rFonts w:ascii="Arial" w:cs="Arial" w:eastAsia="Arial" w:hAnsi="Arial"/>
          <w:sz w:val="25"/>
          <w:szCs w:val="25"/>
          <w:color w:val="08228B"/>
        </w:rPr>
      </w:pPr>
      <w:r>
        <w:rPr>
          <w:rFonts w:ascii="Arial" w:cs="Arial" w:eastAsia="Arial" w:hAnsi="Arial"/>
          <w:sz w:val="25"/>
          <w:szCs w:val="25"/>
          <w:color w:val="auto"/>
        </w:rPr>
        <w:t>How We Use Comparator Data to Assess Compensation</w:t>
      </w:r>
    </w:p>
    <w:p>
      <w:pPr>
        <w:spacing w:after="0" w:line="307" w:lineRule="exact"/>
        <w:rPr>
          <w:sz w:val="20"/>
          <w:szCs w:val="20"/>
          <w:color w:val="auto"/>
        </w:rPr>
      </w:pPr>
    </w:p>
    <w:p>
      <w:pPr>
        <w:jc w:val="both"/>
        <w:ind w:left="80" w:right="60"/>
        <w:spacing w:after="0" w:line="253" w:lineRule="auto"/>
        <w:rPr>
          <w:sz w:val="20"/>
          <w:szCs w:val="20"/>
          <w:color w:val="auto"/>
        </w:rPr>
      </w:pPr>
      <w:r>
        <w:rPr>
          <w:rFonts w:ascii="Arial" w:cs="Arial" w:eastAsia="Arial" w:hAnsi="Arial"/>
          <w:sz w:val="16"/>
          <w:szCs w:val="16"/>
          <w:color w:val="auto"/>
        </w:rPr>
        <w:t>We use executive compensation surveys to benchmark relevant market data for executive positions. In addition, we benchmark proxy statement disclosures of our peer group and adjust this data to reflect expected compensation growth. Further, we review the competitive market position of each of our executives compared with the peer group and benchmarked positions from executive compensation surveys.</w:t>
      </w:r>
    </w:p>
    <w:p>
      <w:pPr>
        <w:spacing w:after="0" w:line="174" w:lineRule="exact"/>
        <w:rPr>
          <w:sz w:val="20"/>
          <w:szCs w:val="20"/>
          <w:color w:val="auto"/>
        </w:rPr>
      </w:pPr>
    </w:p>
    <w:p>
      <w:pPr>
        <w:jc w:val="both"/>
        <w:ind w:left="80" w:right="60"/>
        <w:spacing w:after="0" w:line="260" w:lineRule="auto"/>
        <w:rPr>
          <w:sz w:val="20"/>
          <w:szCs w:val="20"/>
          <w:color w:val="auto"/>
        </w:rPr>
      </w:pPr>
      <w:r>
        <w:rPr>
          <w:rFonts w:ascii="Arial" w:cs="Arial" w:eastAsia="Arial" w:hAnsi="Arial"/>
          <w:sz w:val="16"/>
          <w:szCs w:val="16"/>
          <w:color w:val="auto"/>
        </w:rPr>
        <w:t>We generally target our total direct compensation levels for the executive group on average to be at or near the market median. However, an individual’s total direct compensation may be positioned above or below the market median because of his or her specific responsibilities, experience, and performance.</w:t>
      </w:r>
    </w:p>
    <w:p>
      <w:pPr>
        <w:spacing w:after="0" w:line="290" w:lineRule="exact"/>
        <w:rPr>
          <w:sz w:val="20"/>
          <w:szCs w:val="20"/>
          <w:color w:val="auto"/>
        </w:rPr>
      </w:pPr>
    </w:p>
    <w:p>
      <w:pPr>
        <w:ind w:left="540" w:hanging="469"/>
        <w:spacing w:after="0"/>
        <w:tabs>
          <w:tab w:leader="none" w:pos="540" w:val="left"/>
        </w:tabs>
        <w:numPr>
          <w:ilvl w:val="0"/>
          <w:numId w:val="37"/>
        </w:numPr>
        <w:rPr>
          <w:rFonts w:ascii="Arial" w:cs="Arial" w:eastAsia="Arial" w:hAnsi="Arial"/>
          <w:sz w:val="25"/>
          <w:szCs w:val="25"/>
          <w:color w:val="08228B"/>
        </w:rPr>
      </w:pPr>
      <w:r>
        <w:rPr>
          <w:rFonts w:ascii="Arial" w:cs="Arial" w:eastAsia="Arial" w:hAnsi="Arial"/>
          <w:sz w:val="25"/>
          <w:szCs w:val="25"/>
          <w:color w:val="auto"/>
        </w:rPr>
        <w:t>How We Plan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13"/>
        </w:trPr>
        <w:tc>
          <w:tcPr>
            <w:tcW w:w="4340" w:type="dxa"/>
            <w:vAlign w:val="bottom"/>
            <w:tcBorders>
              <w:bottom w:val="single" w:sz="8" w:color="08228B"/>
            </w:tcBorders>
          </w:tcPr>
          <w:p>
            <w:pPr>
              <w:spacing w:after="0"/>
              <w:rPr>
                <w:sz w:val="9"/>
                <w:szCs w:val="9"/>
                <w:color w:val="auto"/>
              </w:rPr>
            </w:pPr>
          </w:p>
        </w:tc>
        <w:tc>
          <w:tcPr>
            <w:tcW w:w="2060" w:type="dxa"/>
            <w:vAlign w:val="bottom"/>
            <w:vMerge w:val="restart"/>
          </w:tcPr>
          <w:p>
            <w:pPr>
              <w:ind w:left="60"/>
              <w:spacing w:after="0"/>
              <w:rPr>
                <w:sz w:val="20"/>
                <w:szCs w:val="20"/>
                <w:color w:val="auto"/>
              </w:rPr>
            </w:pPr>
            <w:r>
              <w:rPr>
                <w:rFonts w:ascii="Arial" w:cs="Arial" w:eastAsia="Arial" w:hAnsi="Arial"/>
                <w:sz w:val="16"/>
                <w:szCs w:val="16"/>
                <w:b w:val="1"/>
                <w:bCs w:val="1"/>
                <w:color w:val="1C90D3"/>
              </w:rPr>
              <w:t xml:space="preserve">2016 </w:t>
            </w:r>
            <w:r>
              <w:rPr>
                <w:rFonts w:ascii="Arial" w:cs="Arial" w:eastAsia="Arial" w:hAnsi="Arial"/>
                <w:sz w:val="16"/>
                <w:szCs w:val="16"/>
                <w:color w:val="08228B"/>
              </w:rPr>
              <w:t>PROXY STATEMENT</w:t>
            </w:r>
          </w:p>
        </w:tc>
        <w:tc>
          <w:tcPr>
            <w:tcW w:w="2400" w:type="dxa"/>
            <w:vAlign w:val="bottom"/>
            <w:tcBorders>
              <w:bottom w:val="single" w:sz="8" w:color="08228B"/>
            </w:tcBorders>
          </w:tcPr>
          <w:p>
            <w:pPr>
              <w:spacing w:after="0"/>
              <w:rPr>
                <w:sz w:val="9"/>
                <w:szCs w:val="9"/>
                <w:color w:val="auto"/>
              </w:rPr>
            </w:pPr>
          </w:p>
        </w:tc>
        <w:tc>
          <w:tcPr>
            <w:tcW w:w="2620" w:type="dxa"/>
            <w:vAlign w:val="bottom"/>
            <w:vMerge w:val="restart"/>
          </w:tcPr>
          <w:p>
            <w:pPr>
              <w:jc w:val="right"/>
              <w:ind w:right="39"/>
              <w:spacing w:after="0"/>
              <w:rPr>
                <w:sz w:val="20"/>
                <w:szCs w:val="20"/>
                <w:color w:val="auto"/>
              </w:rPr>
            </w:pPr>
            <w:r>
              <w:rPr>
                <w:rFonts w:ascii="Arial" w:cs="Arial" w:eastAsia="Arial" w:hAnsi="Arial"/>
                <w:sz w:val="16"/>
                <w:szCs w:val="16"/>
                <w:color w:val="08228B"/>
              </w:rPr>
              <w:t>39</w:t>
            </w:r>
          </w:p>
        </w:tc>
        <w:tc>
          <w:tcPr>
            <w:tcW w:w="0" w:type="dxa"/>
            <w:vAlign w:val="bottom"/>
          </w:tcPr>
          <w:p>
            <w:pPr>
              <w:spacing w:after="0"/>
              <w:rPr>
                <w:sz w:val="1"/>
                <w:szCs w:val="1"/>
                <w:color w:val="auto"/>
              </w:rPr>
            </w:pPr>
          </w:p>
        </w:tc>
      </w:tr>
      <w:tr>
        <w:trPr>
          <w:trHeight w:val="82"/>
        </w:trPr>
        <w:tc>
          <w:tcPr>
            <w:tcW w:w="4340" w:type="dxa"/>
            <w:vAlign w:val="bottom"/>
          </w:tcPr>
          <w:p>
            <w:pPr>
              <w:spacing w:after="0"/>
              <w:rPr>
                <w:sz w:val="7"/>
                <w:szCs w:val="7"/>
                <w:color w:val="auto"/>
              </w:rPr>
            </w:pPr>
          </w:p>
        </w:tc>
        <w:tc>
          <w:tcPr>
            <w:tcW w:w="2060" w:type="dxa"/>
            <w:vAlign w:val="bottom"/>
            <w:vMerge w:val="continue"/>
          </w:tcPr>
          <w:p>
            <w:pPr>
              <w:spacing w:after="0"/>
              <w:rPr>
                <w:sz w:val="7"/>
                <w:szCs w:val="7"/>
                <w:color w:val="auto"/>
              </w:rPr>
            </w:pPr>
          </w:p>
        </w:tc>
        <w:tc>
          <w:tcPr>
            <w:tcW w:w="2400" w:type="dxa"/>
            <w:vAlign w:val="bottom"/>
          </w:tcPr>
          <w:p>
            <w:pPr>
              <w:spacing w:after="0"/>
              <w:rPr>
                <w:sz w:val="7"/>
                <w:szCs w:val="7"/>
                <w:color w:val="auto"/>
              </w:rPr>
            </w:pPr>
          </w:p>
        </w:tc>
        <w:tc>
          <w:tcPr>
            <w:tcW w:w="2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7"/>
        </w:trPr>
        <w:tc>
          <w:tcPr>
            <w:tcW w:w="4340" w:type="dxa"/>
            <w:vAlign w:val="bottom"/>
            <w:tcBorders>
              <w:bottom w:val="single" w:sz="8" w:color="C0C0C0"/>
            </w:tcBorders>
          </w:tcPr>
          <w:p>
            <w:pPr>
              <w:spacing w:after="0"/>
              <w:rPr>
                <w:sz w:val="24"/>
                <w:szCs w:val="24"/>
                <w:color w:val="auto"/>
              </w:rPr>
            </w:pPr>
          </w:p>
        </w:tc>
        <w:tc>
          <w:tcPr>
            <w:tcW w:w="2060" w:type="dxa"/>
            <w:vAlign w:val="bottom"/>
            <w:tcBorders>
              <w:bottom w:val="single" w:sz="8" w:color="C0C0C0"/>
            </w:tcBorders>
          </w:tcPr>
          <w:p>
            <w:pPr>
              <w:spacing w:after="0"/>
              <w:rPr>
                <w:sz w:val="24"/>
                <w:szCs w:val="24"/>
                <w:color w:val="auto"/>
              </w:rPr>
            </w:pPr>
          </w:p>
        </w:tc>
        <w:tc>
          <w:tcPr>
            <w:tcW w:w="2400" w:type="dxa"/>
            <w:vAlign w:val="bottom"/>
            <w:tcBorders>
              <w:bottom w:val="single" w:sz="8" w:color="C0C0C0"/>
            </w:tcBorders>
          </w:tcPr>
          <w:p>
            <w:pPr>
              <w:spacing w:after="0"/>
              <w:rPr>
                <w:sz w:val="24"/>
                <w:szCs w:val="24"/>
                <w:color w:val="auto"/>
              </w:rPr>
            </w:pPr>
          </w:p>
        </w:tc>
        <w:tc>
          <w:tcPr>
            <w:tcW w:w="262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5613400</wp:posOffset>
            </wp:positionH>
            <wp:positionV relativeFrom="paragraph">
              <wp:posOffset>-334010</wp:posOffset>
            </wp:positionV>
            <wp:extent cx="1286510" cy="8572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1286510" cy="8572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125730</wp:posOffset>
            </wp:positionV>
            <wp:extent cx="7250430" cy="689927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250430" cy="6899275"/>
                    </a:xfrm>
                    <a:prstGeom prst="rect">
                      <a:avLst/>
                    </a:prstGeom>
                    <a:noFill/>
                  </pic:spPr>
                </pic:pic>
              </a:graphicData>
            </a:graphic>
          </wp:anchor>
        </w:drawing>
      </w:r>
    </w:p>
    <w:p>
      <w:pPr>
        <w:spacing w:after="0" w:line="243" w:lineRule="exact"/>
        <w:rPr>
          <w:sz w:val="20"/>
          <w:szCs w:val="20"/>
          <w:color w:val="auto"/>
        </w:rPr>
      </w:pPr>
    </w:p>
    <w:p>
      <w:pPr>
        <w:ind w:left="540" w:hanging="469"/>
        <w:spacing w:after="0"/>
        <w:tabs>
          <w:tab w:leader="none" w:pos="540" w:val="left"/>
        </w:tabs>
        <w:numPr>
          <w:ilvl w:val="0"/>
          <w:numId w:val="38"/>
        </w:numPr>
        <w:rPr>
          <w:rFonts w:ascii="Arial" w:cs="Arial" w:eastAsia="Arial" w:hAnsi="Arial"/>
          <w:sz w:val="25"/>
          <w:szCs w:val="25"/>
          <w:color w:val="08228B"/>
        </w:rPr>
      </w:pPr>
      <w:r>
        <w:rPr>
          <w:rFonts w:ascii="Arial" w:cs="Arial" w:eastAsia="Arial" w:hAnsi="Arial"/>
          <w:sz w:val="25"/>
          <w:szCs w:val="25"/>
          <w:color w:val="auto"/>
        </w:rPr>
        <w:t>2015 Compensation Programs</w:t>
      </w:r>
    </w:p>
    <w:p>
      <w:pPr>
        <w:spacing w:after="0" w:line="199" w:lineRule="exact"/>
        <w:rPr>
          <w:sz w:val="20"/>
          <w:szCs w:val="20"/>
          <w:color w:val="auto"/>
        </w:rPr>
      </w:pPr>
    </w:p>
    <w:p>
      <w:pPr>
        <w:ind w:left="80" w:right="60"/>
        <w:spacing w:after="0" w:line="260" w:lineRule="auto"/>
        <w:rPr>
          <w:sz w:val="20"/>
          <w:szCs w:val="20"/>
          <w:color w:val="auto"/>
        </w:rPr>
      </w:pPr>
      <w:r>
        <w:rPr>
          <w:rFonts w:ascii="Arial" w:cs="Arial" w:eastAsia="Arial" w:hAnsi="Arial"/>
          <w:sz w:val="16"/>
          <w:szCs w:val="16"/>
          <w:color w:val="auto"/>
        </w:rPr>
        <w:t>We believe aligning pay to the achievement of both short-term and long-term goals is a cornerstone of executive engagement and have set up a pay program seeking to:</w:t>
      </w:r>
    </w:p>
    <w:p>
      <w:pPr>
        <w:spacing w:after="0" w:line="169" w:lineRule="exact"/>
        <w:rPr>
          <w:sz w:val="20"/>
          <w:szCs w:val="20"/>
          <w:color w:val="auto"/>
        </w:rPr>
      </w:pPr>
    </w:p>
    <w:p>
      <w:pPr>
        <w:ind w:left="240" w:hanging="169"/>
        <w:spacing w:after="0"/>
        <w:tabs>
          <w:tab w:leader="none" w:pos="240" w:val="left"/>
        </w:tabs>
        <w:numPr>
          <w:ilvl w:val="0"/>
          <w:numId w:val="39"/>
        </w:numPr>
        <w:rPr>
          <w:rFonts w:ascii="Arial" w:cs="Arial" w:eastAsia="Arial" w:hAnsi="Arial"/>
          <w:sz w:val="16"/>
          <w:szCs w:val="16"/>
          <w:color w:val="08228B"/>
        </w:rPr>
      </w:pPr>
      <w:r>
        <w:rPr>
          <w:rFonts w:ascii="Arial" w:cs="Arial" w:eastAsia="Arial" w:hAnsi="Arial"/>
          <w:sz w:val="16"/>
          <w:szCs w:val="16"/>
          <w:color w:val="auto"/>
        </w:rPr>
        <w:t>Align individual and business performance with the interests of our shareholders;</w:t>
      </w:r>
    </w:p>
    <w:p>
      <w:pPr>
        <w:spacing w:after="0" w:line="86" w:lineRule="exact"/>
        <w:rPr>
          <w:rFonts w:ascii="Arial" w:cs="Arial" w:eastAsia="Arial" w:hAnsi="Arial"/>
          <w:sz w:val="16"/>
          <w:szCs w:val="16"/>
          <w:color w:val="08228B"/>
        </w:rPr>
      </w:pPr>
    </w:p>
    <w:p>
      <w:pPr>
        <w:ind w:left="240" w:hanging="169"/>
        <w:spacing w:after="0"/>
        <w:tabs>
          <w:tab w:leader="none" w:pos="240" w:val="left"/>
        </w:tabs>
        <w:numPr>
          <w:ilvl w:val="0"/>
          <w:numId w:val="39"/>
        </w:numPr>
        <w:rPr>
          <w:rFonts w:ascii="Arial" w:cs="Arial" w:eastAsia="Arial" w:hAnsi="Arial"/>
          <w:sz w:val="16"/>
          <w:szCs w:val="16"/>
          <w:color w:val="08228B"/>
        </w:rPr>
      </w:pPr>
      <w:r>
        <w:rPr>
          <w:rFonts w:ascii="Arial" w:cs="Arial" w:eastAsia="Arial" w:hAnsi="Arial"/>
          <w:sz w:val="16"/>
          <w:szCs w:val="16"/>
          <w:color w:val="auto"/>
        </w:rPr>
        <w:t>Tie individual rewards to Company performance;</w:t>
      </w:r>
    </w:p>
    <w:p>
      <w:pPr>
        <w:spacing w:after="0" w:line="86" w:lineRule="exact"/>
        <w:rPr>
          <w:rFonts w:ascii="Arial" w:cs="Arial" w:eastAsia="Arial" w:hAnsi="Arial"/>
          <w:sz w:val="16"/>
          <w:szCs w:val="16"/>
          <w:color w:val="08228B"/>
        </w:rPr>
      </w:pPr>
    </w:p>
    <w:p>
      <w:pPr>
        <w:ind w:left="240" w:hanging="169"/>
        <w:spacing w:after="0"/>
        <w:tabs>
          <w:tab w:leader="none" w:pos="240" w:val="left"/>
        </w:tabs>
        <w:numPr>
          <w:ilvl w:val="0"/>
          <w:numId w:val="39"/>
        </w:numPr>
        <w:rPr>
          <w:rFonts w:ascii="Arial" w:cs="Arial" w:eastAsia="Arial" w:hAnsi="Arial"/>
          <w:sz w:val="16"/>
          <w:szCs w:val="16"/>
          <w:color w:val="08228B"/>
        </w:rPr>
      </w:pPr>
      <w:r>
        <w:rPr>
          <w:rFonts w:ascii="Arial" w:cs="Arial" w:eastAsia="Arial" w:hAnsi="Arial"/>
          <w:sz w:val="16"/>
          <w:szCs w:val="16"/>
          <w:color w:val="auto"/>
        </w:rPr>
        <w:t>Support sound compensation policies and governance practices;</w:t>
      </w:r>
    </w:p>
    <w:p>
      <w:pPr>
        <w:spacing w:after="0" w:line="86" w:lineRule="exact"/>
        <w:rPr>
          <w:rFonts w:ascii="Arial" w:cs="Arial" w:eastAsia="Arial" w:hAnsi="Arial"/>
          <w:sz w:val="16"/>
          <w:szCs w:val="16"/>
          <w:color w:val="08228B"/>
        </w:rPr>
      </w:pPr>
    </w:p>
    <w:p>
      <w:pPr>
        <w:ind w:left="240" w:hanging="169"/>
        <w:spacing w:after="0"/>
        <w:tabs>
          <w:tab w:leader="none" w:pos="240" w:val="left"/>
        </w:tabs>
        <w:numPr>
          <w:ilvl w:val="0"/>
          <w:numId w:val="39"/>
        </w:numPr>
        <w:rPr>
          <w:rFonts w:ascii="Arial" w:cs="Arial" w:eastAsia="Arial" w:hAnsi="Arial"/>
          <w:sz w:val="16"/>
          <w:szCs w:val="16"/>
          <w:color w:val="08228B"/>
        </w:rPr>
      </w:pPr>
      <w:r>
        <w:rPr>
          <w:rFonts w:ascii="Arial" w:cs="Arial" w:eastAsia="Arial" w:hAnsi="Arial"/>
          <w:sz w:val="16"/>
          <w:szCs w:val="16"/>
          <w:color w:val="auto"/>
        </w:rPr>
        <w:t>Avoid unnecessary risk-taking; and</w:t>
      </w:r>
    </w:p>
    <w:p>
      <w:pPr>
        <w:spacing w:after="0" w:line="86" w:lineRule="exact"/>
        <w:rPr>
          <w:rFonts w:ascii="Arial" w:cs="Arial" w:eastAsia="Arial" w:hAnsi="Arial"/>
          <w:sz w:val="16"/>
          <w:szCs w:val="16"/>
          <w:color w:val="08228B"/>
        </w:rPr>
      </w:pPr>
    </w:p>
    <w:p>
      <w:pPr>
        <w:ind w:left="240" w:hanging="169"/>
        <w:spacing w:after="0"/>
        <w:tabs>
          <w:tab w:leader="none" w:pos="240" w:val="left"/>
        </w:tabs>
        <w:numPr>
          <w:ilvl w:val="0"/>
          <w:numId w:val="39"/>
        </w:numPr>
        <w:rPr>
          <w:rFonts w:ascii="Arial" w:cs="Arial" w:eastAsia="Arial" w:hAnsi="Arial"/>
          <w:sz w:val="16"/>
          <w:szCs w:val="16"/>
          <w:color w:val="08228B"/>
        </w:rPr>
      </w:pPr>
      <w:r>
        <w:rPr>
          <w:rFonts w:ascii="Arial" w:cs="Arial" w:eastAsia="Arial" w:hAnsi="Arial"/>
          <w:sz w:val="16"/>
          <w:szCs w:val="16"/>
          <w:color w:val="auto"/>
        </w:rPr>
        <w:t>Enhance our ability to attract, retain, and reward critical talent.</w:t>
      </w:r>
    </w:p>
    <w:p>
      <w:pPr>
        <w:spacing w:after="0" w:line="194" w:lineRule="exact"/>
        <w:rPr>
          <w:sz w:val="20"/>
          <w:szCs w:val="20"/>
          <w:color w:val="auto"/>
        </w:rPr>
      </w:pPr>
    </w:p>
    <w:p>
      <w:pPr>
        <w:ind w:left="80"/>
        <w:spacing w:after="0"/>
        <w:rPr>
          <w:sz w:val="20"/>
          <w:szCs w:val="20"/>
          <w:color w:val="auto"/>
        </w:rPr>
      </w:pPr>
      <w:r>
        <w:rPr>
          <w:rFonts w:ascii="Arial" w:cs="Arial" w:eastAsia="Arial" w:hAnsi="Arial"/>
          <w:sz w:val="16"/>
          <w:szCs w:val="16"/>
          <w:color w:val="auto"/>
        </w:rPr>
        <w:t>During 2015, the compensation structure for our NEOs included the following core elements:</w:t>
      </w:r>
    </w:p>
    <w:p>
      <w:pPr>
        <w:spacing w:after="0" w:line="194" w:lineRule="exact"/>
        <w:rPr>
          <w:sz w:val="20"/>
          <w:szCs w:val="20"/>
          <w:color w:val="auto"/>
        </w:rPr>
      </w:pPr>
    </w:p>
    <w:p>
      <w:pPr>
        <w:ind w:left="240" w:hanging="169"/>
        <w:spacing w:after="0"/>
        <w:tabs>
          <w:tab w:leader="none" w:pos="240" w:val="left"/>
        </w:tabs>
        <w:numPr>
          <w:ilvl w:val="0"/>
          <w:numId w:val="40"/>
        </w:numPr>
        <w:rPr>
          <w:rFonts w:ascii="Arial" w:cs="Arial" w:eastAsia="Arial" w:hAnsi="Arial"/>
          <w:sz w:val="16"/>
          <w:szCs w:val="16"/>
          <w:color w:val="08228B"/>
        </w:rPr>
      </w:pPr>
      <w:r>
        <w:rPr>
          <w:rFonts w:ascii="Arial" w:cs="Arial" w:eastAsia="Arial" w:hAnsi="Arial"/>
          <w:sz w:val="16"/>
          <w:szCs w:val="16"/>
          <w:color w:val="auto"/>
        </w:rPr>
        <w:t>Base salary;</w:t>
      </w:r>
    </w:p>
    <w:p>
      <w:pPr>
        <w:spacing w:after="0" w:line="86" w:lineRule="exact"/>
        <w:rPr>
          <w:rFonts w:ascii="Arial" w:cs="Arial" w:eastAsia="Arial" w:hAnsi="Arial"/>
          <w:sz w:val="16"/>
          <w:szCs w:val="16"/>
          <w:color w:val="08228B"/>
        </w:rPr>
      </w:pPr>
    </w:p>
    <w:p>
      <w:pPr>
        <w:ind w:left="240" w:hanging="169"/>
        <w:spacing w:after="0"/>
        <w:tabs>
          <w:tab w:leader="none" w:pos="240" w:val="left"/>
        </w:tabs>
        <w:numPr>
          <w:ilvl w:val="0"/>
          <w:numId w:val="40"/>
        </w:numPr>
        <w:rPr>
          <w:rFonts w:ascii="Arial" w:cs="Arial" w:eastAsia="Arial" w:hAnsi="Arial"/>
          <w:sz w:val="16"/>
          <w:szCs w:val="16"/>
          <w:color w:val="08228B"/>
        </w:rPr>
      </w:pPr>
      <w:r>
        <w:rPr>
          <w:rFonts w:ascii="Arial" w:cs="Arial" w:eastAsia="Arial" w:hAnsi="Arial"/>
          <w:sz w:val="16"/>
          <w:szCs w:val="16"/>
          <w:color w:val="auto"/>
        </w:rPr>
        <w:t>STIP;</w:t>
      </w:r>
    </w:p>
    <w:p>
      <w:pPr>
        <w:spacing w:after="0" w:line="86" w:lineRule="exact"/>
        <w:rPr>
          <w:rFonts w:ascii="Arial" w:cs="Arial" w:eastAsia="Arial" w:hAnsi="Arial"/>
          <w:sz w:val="16"/>
          <w:szCs w:val="16"/>
          <w:color w:val="08228B"/>
        </w:rPr>
      </w:pPr>
    </w:p>
    <w:p>
      <w:pPr>
        <w:ind w:left="240" w:hanging="169"/>
        <w:spacing w:after="0"/>
        <w:tabs>
          <w:tab w:leader="none" w:pos="240" w:val="left"/>
        </w:tabs>
        <w:numPr>
          <w:ilvl w:val="0"/>
          <w:numId w:val="40"/>
        </w:numPr>
        <w:rPr>
          <w:rFonts w:ascii="Arial" w:cs="Arial" w:eastAsia="Arial" w:hAnsi="Arial"/>
          <w:sz w:val="16"/>
          <w:szCs w:val="16"/>
          <w:color w:val="08228B"/>
        </w:rPr>
      </w:pPr>
      <w:r>
        <w:rPr>
          <w:rFonts w:ascii="Arial" w:cs="Arial" w:eastAsia="Arial" w:hAnsi="Arial"/>
          <w:sz w:val="16"/>
          <w:szCs w:val="16"/>
          <w:color w:val="auto"/>
        </w:rPr>
        <w:t>Long-term PSUs; and</w:t>
      </w:r>
    </w:p>
    <w:p>
      <w:pPr>
        <w:spacing w:after="0" w:line="86" w:lineRule="exact"/>
        <w:rPr>
          <w:rFonts w:ascii="Arial" w:cs="Arial" w:eastAsia="Arial" w:hAnsi="Arial"/>
          <w:sz w:val="16"/>
          <w:szCs w:val="16"/>
          <w:color w:val="08228B"/>
        </w:rPr>
      </w:pPr>
    </w:p>
    <w:p>
      <w:pPr>
        <w:ind w:left="240" w:hanging="169"/>
        <w:spacing w:after="0"/>
        <w:tabs>
          <w:tab w:leader="none" w:pos="240" w:val="left"/>
        </w:tabs>
        <w:numPr>
          <w:ilvl w:val="0"/>
          <w:numId w:val="40"/>
        </w:numPr>
        <w:rPr>
          <w:rFonts w:ascii="Arial" w:cs="Arial" w:eastAsia="Arial" w:hAnsi="Arial"/>
          <w:sz w:val="16"/>
          <w:szCs w:val="16"/>
          <w:color w:val="08228B"/>
        </w:rPr>
      </w:pPr>
      <w:r>
        <w:rPr>
          <w:rFonts w:ascii="Arial" w:cs="Arial" w:eastAsia="Arial" w:hAnsi="Arial"/>
          <w:sz w:val="16"/>
          <w:szCs w:val="16"/>
          <w:color w:val="auto"/>
        </w:rPr>
        <w:t>Long-term RSUs.</w:t>
      </w:r>
    </w:p>
    <w:p>
      <w:pPr>
        <w:spacing w:after="0" w:line="194" w:lineRule="exact"/>
        <w:rPr>
          <w:sz w:val="20"/>
          <w:szCs w:val="20"/>
          <w:color w:val="auto"/>
        </w:rPr>
      </w:pPr>
    </w:p>
    <w:p>
      <w:pPr>
        <w:jc w:val="both"/>
        <w:ind w:left="80" w:right="60"/>
        <w:spacing w:after="0" w:line="253" w:lineRule="auto"/>
        <w:rPr>
          <w:sz w:val="20"/>
          <w:szCs w:val="20"/>
          <w:color w:val="auto"/>
        </w:rPr>
      </w:pPr>
      <w:r>
        <w:rPr>
          <w:rFonts w:ascii="Arial" w:cs="Arial" w:eastAsia="Arial" w:hAnsi="Arial"/>
          <w:sz w:val="16"/>
          <w:szCs w:val="16"/>
          <w:color w:val="auto"/>
        </w:rPr>
        <w:t>Additionally, in 2015, we granted our senior leaders a one-time DSV Option Grant that included non-compete and non-solicitation terms for each senior leader. DSV awards vest over a period of 4.6 years with 60 percent of the options vesting only if performance goals are met as described on page 45, and 40 percent time-based vesting.</w:t>
      </w:r>
    </w:p>
    <w:p>
      <w:pPr>
        <w:spacing w:after="0" w:line="296" w:lineRule="exact"/>
        <w:rPr>
          <w:sz w:val="20"/>
          <w:szCs w:val="20"/>
          <w:color w:val="auto"/>
        </w:rPr>
      </w:pPr>
    </w:p>
    <w:p>
      <w:pPr>
        <w:ind w:left="540" w:hanging="469"/>
        <w:spacing w:after="0"/>
        <w:tabs>
          <w:tab w:leader="none" w:pos="540" w:val="left"/>
        </w:tabs>
        <w:numPr>
          <w:ilvl w:val="0"/>
          <w:numId w:val="41"/>
        </w:numPr>
        <w:rPr>
          <w:rFonts w:ascii="Arial" w:cs="Arial" w:eastAsia="Arial" w:hAnsi="Arial"/>
          <w:sz w:val="25"/>
          <w:szCs w:val="25"/>
          <w:color w:val="08228B"/>
        </w:rPr>
      </w:pPr>
      <w:r>
        <w:rPr>
          <w:rFonts w:ascii="Arial" w:cs="Arial" w:eastAsia="Arial" w:hAnsi="Arial"/>
          <w:sz w:val="25"/>
          <w:szCs w:val="25"/>
          <w:color w:val="auto"/>
        </w:rPr>
        <w:t>Performance-Based Compensation Structure</w:t>
      </w:r>
    </w:p>
    <w:p>
      <w:pPr>
        <w:spacing w:after="0" w:line="199" w:lineRule="exact"/>
        <w:rPr>
          <w:sz w:val="20"/>
          <w:szCs w:val="20"/>
          <w:color w:val="auto"/>
        </w:rPr>
      </w:pPr>
    </w:p>
    <w:p>
      <w:pPr>
        <w:jc w:val="both"/>
        <w:ind w:left="80" w:right="60"/>
        <w:spacing w:after="0" w:line="260" w:lineRule="auto"/>
        <w:rPr>
          <w:sz w:val="20"/>
          <w:szCs w:val="20"/>
          <w:color w:val="auto"/>
        </w:rPr>
      </w:pPr>
      <w:r>
        <w:rPr>
          <w:rFonts w:ascii="Arial" w:cs="Arial" w:eastAsia="Arial" w:hAnsi="Arial"/>
          <w:sz w:val="16"/>
          <w:szCs w:val="16"/>
          <w:color w:val="auto"/>
        </w:rPr>
        <w:t>Our NEOs are focused on optimizing long-term financial returns for our shareholders through increasing profitability, increasing margins, putting the customer at the center of everything we do, growing the business, and driving innovation.</w:t>
      </w:r>
    </w:p>
    <w:p>
      <w:pPr>
        <w:spacing w:after="0" w:line="169" w:lineRule="exact"/>
        <w:rPr>
          <w:sz w:val="20"/>
          <w:szCs w:val="20"/>
          <w:color w:val="auto"/>
        </w:rPr>
      </w:pPr>
    </w:p>
    <w:p>
      <w:pPr>
        <w:jc w:val="both"/>
        <w:ind w:left="80" w:right="60"/>
        <w:spacing w:after="0" w:line="251" w:lineRule="auto"/>
        <w:rPr>
          <w:sz w:val="20"/>
          <w:szCs w:val="20"/>
          <w:color w:val="auto"/>
        </w:rPr>
      </w:pPr>
      <w:r>
        <w:rPr>
          <w:rFonts w:ascii="Arial" w:cs="Arial" w:eastAsia="Arial" w:hAnsi="Arial"/>
          <w:sz w:val="16"/>
          <w:szCs w:val="16"/>
          <w:color w:val="auto"/>
        </w:rPr>
        <w:t>The performance-based structure incorporates both short-term and long-term incentives established from financial and operational metrics for fiscal year 2015 and beyond. In addition to base salary, this structure, shown graphically below, includes an annual STIP award and an LTIP award made up of both PSUs and RSUs to focus our executives on long-term Company performance. The Compensation Committee believes a majority of compensation should be in the form of equity to align the interests of executives with those of shareholders.</w:t>
      </w:r>
    </w:p>
    <w:p>
      <w:pPr>
        <w:spacing w:after="0" w:line="176" w:lineRule="exact"/>
        <w:rPr>
          <w:sz w:val="20"/>
          <w:szCs w:val="20"/>
          <w:color w:val="auto"/>
        </w:rPr>
      </w:pPr>
    </w:p>
    <w:p>
      <w:pPr>
        <w:jc w:val="both"/>
        <w:ind w:left="80" w:right="60"/>
        <w:spacing w:after="0" w:line="253" w:lineRule="auto"/>
        <w:rPr>
          <w:sz w:val="20"/>
          <w:szCs w:val="20"/>
          <w:color w:val="auto"/>
        </w:rPr>
      </w:pPr>
      <w:r>
        <w:rPr>
          <w:rFonts w:ascii="Arial" w:cs="Arial" w:eastAsia="Arial" w:hAnsi="Arial"/>
          <w:sz w:val="16"/>
          <w:szCs w:val="16"/>
          <w:color w:val="auto"/>
        </w:rPr>
        <w:t>For our CEO, 90 percent of target compensation is pay-at-risk, 72 percent is linked to performance against goals, and 72 percent is linked to the performance of common stock. For other NEOs, on average 82 percent of target compensation is pay-at-risk, 67 percent is linked to performance against goals, and 59 percent is linked to the performance of common stock.</w:t>
      </w:r>
    </w:p>
    <w:p>
      <w:pPr>
        <w:spacing w:after="0" w:line="150" w:lineRule="exact"/>
        <w:rPr>
          <w:sz w:val="20"/>
          <w:szCs w:val="20"/>
          <w:color w:val="auto"/>
        </w:rPr>
      </w:pPr>
    </w:p>
    <w:p>
      <w:pPr>
        <w:ind w:left="1500"/>
        <w:spacing w:after="0"/>
        <w:tabs>
          <w:tab w:leader="none" w:pos="6620" w:val="left"/>
        </w:tabs>
        <w:rPr>
          <w:sz w:val="20"/>
          <w:szCs w:val="20"/>
          <w:color w:val="auto"/>
        </w:rPr>
      </w:pPr>
      <w:r>
        <w:rPr>
          <w:rFonts w:ascii="Arial" w:cs="Arial" w:eastAsia="Arial" w:hAnsi="Arial"/>
          <w:sz w:val="17"/>
          <w:szCs w:val="17"/>
          <w:b w:val="1"/>
          <w:bCs w:val="1"/>
          <w:color w:val="auto"/>
        </w:rPr>
        <w:t>CEO – 2015 Compensation Structure</w:t>
      </w:r>
      <w:r>
        <w:rPr>
          <w:sz w:val="20"/>
          <w:szCs w:val="20"/>
          <w:color w:val="auto"/>
        </w:rPr>
        <w:tab/>
      </w:r>
      <w:r>
        <w:rPr>
          <w:rFonts w:ascii="Arial" w:cs="Arial" w:eastAsia="Arial" w:hAnsi="Arial"/>
          <w:sz w:val="16"/>
          <w:szCs w:val="16"/>
          <w:b w:val="1"/>
          <w:bCs w:val="1"/>
          <w:color w:val="auto"/>
        </w:rPr>
        <w:t>Average NEO – 2015 Compensation 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13"/>
        </w:trPr>
        <w:tc>
          <w:tcPr>
            <w:tcW w:w="4340" w:type="dxa"/>
            <w:vAlign w:val="bottom"/>
            <w:tcBorders>
              <w:bottom w:val="single" w:sz="8" w:color="08228B"/>
            </w:tcBorders>
          </w:tcPr>
          <w:p>
            <w:pPr>
              <w:spacing w:after="0"/>
              <w:rPr>
                <w:sz w:val="9"/>
                <w:szCs w:val="9"/>
                <w:color w:val="auto"/>
              </w:rPr>
            </w:pPr>
          </w:p>
        </w:tc>
        <w:tc>
          <w:tcPr>
            <w:tcW w:w="2060" w:type="dxa"/>
            <w:vAlign w:val="bottom"/>
            <w:vMerge w:val="restart"/>
          </w:tcPr>
          <w:p>
            <w:pPr>
              <w:ind w:left="60"/>
              <w:spacing w:after="0"/>
              <w:rPr>
                <w:sz w:val="20"/>
                <w:szCs w:val="20"/>
                <w:color w:val="auto"/>
              </w:rPr>
            </w:pPr>
            <w:r>
              <w:rPr>
                <w:rFonts w:ascii="Arial" w:cs="Arial" w:eastAsia="Arial" w:hAnsi="Arial"/>
                <w:sz w:val="16"/>
                <w:szCs w:val="16"/>
                <w:b w:val="1"/>
                <w:bCs w:val="1"/>
                <w:color w:val="1C90D3"/>
              </w:rPr>
              <w:t xml:space="preserve">2016 </w:t>
            </w:r>
            <w:r>
              <w:rPr>
                <w:rFonts w:ascii="Arial" w:cs="Arial" w:eastAsia="Arial" w:hAnsi="Arial"/>
                <w:sz w:val="16"/>
                <w:szCs w:val="16"/>
                <w:color w:val="08228B"/>
              </w:rPr>
              <w:t>PROXY STATEMENT</w:t>
            </w:r>
          </w:p>
        </w:tc>
        <w:tc>
          <w:tcPr>
            <w:tcW w:w="2400" w:type="dxa"/>
            <w:vAlign w:val="bottom"/>
            <w:tcBorders>
              <w:bottom w:val="single" w:sz="8" w:color="08228B"/>
            </w:tcBorders>
          </w:tcPr>
          <w:p>
            <w:pPr>
              <w:spacing w:after="0"/>
              <w:rPr>
                <w:sz w:val="9"/>
                <w:szCs w:val="9"/>
                <w:color w:val="auto"/>
              </w:rPr>
            </w:pPr>
          </w:p>
        </w:tc>
        <w:tc>
          <w:tcPr>
            <w:tcW w:w="2620" w:type="dxa"/>
            <w:vAlign w:val="bottom"/>
            <w:vMerge w:val="restart"/>
          </w:tcPr>
          <w:p>
            <w:pPr>
              <w:jc w:val="right"/>
              <w:ind w:right="39"/>
              <w:spacing w:after="0"/>
              <w:rPr>
                <w:sz w:val="20"/>
                <w:szCs w:val="20"/>
                <w:color w:val="auto"/>
              </w:rPr>
            </w:pPr>
            <w:r>
              <w:rPr>
                <w:rFonts w:ascii="Arial" w:cs="Arial" w:eastAsia="Arial" w:hAnsi="Arial"/>
                <w:sz w:val="16"/>
                <w:szCs w:val="16"/>
                <w:color w:val="08228B"/>
              </w:rPr>
              <w:t>40</w:t>
            </w:r>
          </w:p>
        </w:tc>
        <w:tc>
          <w:tcPr>
            <w:tcW w:w="0" w:type="dxa"/>
            <w:vAlign w:val="bottom"/>
          </w:tcPr>
          <w:p>
            <w:pPr>
              <w:spacing w:after="0"/>
              <w:rPr>
                <w:sz w:val="1"/>
                <w:szCs w:val="1"/>
                <w:color w:val="auto"/>
              </w:rPr>
            </w:pPr>
          </w:p>
        </w:tc>
      </w:tr>
      <w:tr>
        <w:trPr>
          <w:trHeight w:val="82"/>
        </w:trPr>
        <w:tc>
          <w:tcPr>
            <w:tcW w:w="4340" w:type="dxa"/>
            <w:vAlign w:val="bottom"/>
          </w:tcPr>
          <w:p>
            <w:pPr>
              <w:spacing w:after="0"/>
              <w:rPr>
                <w:sz w:val="7"/>
                <w:szCs w:val="7"/>
                <w:color w:val="auto"/>
              </w:rPr>
            </w:pPr>
          </w:p>
        </w:tc>
        <w:tc>
          <w:tcPr>
            <w:tcW w:w="2060" w:type="dxa"/>
            <w:vAlign w:val="bottom"/>
            <w:vMerge w:val="continue"/>
          </w:tcPr>
          <w:p>
            <w:pPr>
              <w:spacing w:after="0"/>
              <w:rPr>
                <w:sz w:val="7"/>
                <w:szCs w:val="7"/>
                <w:color w:val="auto"/>
              </w:rPr>
            </w:pPr>
          </w:p>
        </w:tc>
        <w:tc>
          <w:tcPr>
            <w:tcW w:w="2400" w:type="dxa"/>
            <w:vAlign w:val="bottom"/>
          </w:tcPr>
          <w:p>
            <w:pPr>
              <w:spacing w:after="0"/>
              <w:rPr>
                <w:sz w:val="7"/>
                <w:szCs w:val="7"/>
                <w:color w:val="auto"/>
              </w:rPr>
            </w:pPr>
          </w:p>
        </w:tc>
        <w:tc>
          <w:tcPr>
            <w:tcW w:w="2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7"/>
        </w:trPr>
        <w:tc>
          <w:tcPr>
            <w:tcW w:w="4340" w:type="dxa"/>
            <w:vAlign w:val="bottom"/>
            <w:tcBorders>
              <w:bottom w:val="single" w:sz="8" w:color="C0C0C0"/>
            </w:tcBorders>
          </w:tcPr>
          <w:p>
            <w:pPr>
              <w:spacing w:after="0"/>
              <w:rPr>
                <w:sz w:val="24"/>
                <w:szCs w:val="24"/>
                <w:color w:val="auto"/>
              </w:rPr>
            </w:pPr>
          </w:p>
        </w:tc>
        <w:tc>
          <w:tcPr>
            <w:tcW w:w="2060" w:type="dxa"/>
            <w:vAlign w:val="bottom"/>
            <w:tcBorders>
              <w:bottom w:val="single" w:sz="8" w:color="C0C0C0"/>
            </w:tcBorders>
          </w:tcPr>
          <w:p>
            <w:pPr>
              <w:spacing w:after="0"/>
              <w:rPr>
                <w:sz w:val="24"/>
                <w:szCs w:val="24"/>
                <w:color w:val="auto"/>
              </w:rPr>
            </w:pPr>
          </w:p>
        </w:tc>
        <w:tc>
          <w:tcPr>
            <w:tcW w:w="2400" w:type="dxa"/>
            <w:vAlign w:val="bottom"/>
            <w:tcBorders>
              <w:bottom w:val="single" w:sz="8" w:color="C0C0C0"/>
            </w:tcBorders>
          </w:tcPr>
          <w:p>
            <w:pPr>
              <w:spacing w:after="0"/>
              <w:rPr>
                <w:sz w:val="24"/>
                <w:szCs w:val="24"/>
                <w:color w:val="auto"/>
              </w:rPr>
            </w:pPr>
          </w:p>
        </w:tc>
        <w:tc>
          <w:tcPr>
            <w:tcW w:w="262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5613400</wp:posOffset>
            </wp:positionH>
            <wp:positionV relativeFrom="paragraph">
              <wp:posOffset>-334010</wp:posOffset>
            </wp:positionV>
            <wp:extent cx="1286510" cy="8572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1286510" cy="8572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Back to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32"/>
          <w:szCs w:val="32"/>
          <w:color w:val="1C90D3"/>
        </w:rPr>
        <w:t>2015 Compensation Elements</w:t>
      </w: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color w:val="auto"/>
        </w:rPr>
        <w:t>In 2015, the compensation provided to our senior leaders was guided by six general principles:</w:t>
      </w:r>
    </w:p>
    <w:p>
      <w:pPr>
        <w:spacing w:after="0" w:line="174" w:lineRule="exact"/>
        <w:rPr>
          <w:sz w:val="20"/>
          <w:szCs w:val="20"/>
          <w:color w:val="auto"/>
        </w:rPr>
      </w:pPr>
    </w:p>
    <w:p>
      <w:pPr>
        <w:ind w:left="180" w:right="120" w:hanging="172"/>
        <w:spacing w:after="0" w:line="286" w:lineRule="auto"/>
        <w:tabs>
          <w:tab w:leader="none" w:pos="180" w:val="left"/>
        </w:tabs>
        <w:numPr>
          <w:ilvl w:val="0"/>
          <w:numId w:val="42"/>
        </w:numPr>
        <w:rPr>
          <w:rFonts w:ascii="Arial" w:cs="Arial" w:eastAsia="Arial" w:hAnsi="Arial"/>
          <w:sz w:val="16"/>
          <w:szCs w:val="16"/>
          <w:color w:val="08228B"/>
        </w:rPr>
      </w:pPr>
      <w:r>
        <w:rPr>
          <w:rFonts w:ascii="Arial" w:cs="Arial" w:eastAsia="Arial" w:hAnsi="Arial"/>
          <w:sz w:val="16"/>
          <w:szCs w:val="16"/>
          <w:b w:val="1"/>
          <w:bCs w:val="1"/>
          <w:color w:val="08228B"/>
        </w:rPr>
        <w:t xml:space="preserve">Investor Return </w:t>
      </w:r>
      <w:r>
        <w:rPr>
          <w:rFonts w:ascii="Arial" w:cs="Arial" w:eastAsia="Arial" w:hAnsi="Arial"/>
          <w:sz w:val="16"/>
          <w:szCs w:val="16"/>
          <w:color w:val="000000"/>
        </w:rPr>
        <w:t>– Compensation should be directly linked to the long-term interests of our shareholders, and our executives should be exposed to the</w:t>
      </w:r>
      <w:r>
        <w:rPr>
          <w:rFonts w:ascii="Arial" w:cs="Arial" w:eastAsia="Arial" w:hAnsi="Arial"/>
          <w:sz w:val="16"/>
          <w:szCs w:val="16"/>
          <w:b w:val="1"/>
          <w:bCs w:val="1"/>
          <w:color w:val="08228B"/>
        </w:rPr>
        <w:t xml:space="preserve"> </w:t>
      </w:r>
      <w:r>
        <w:rPr>
          <w:rFonts w:ascii="Arial" w:cs="Arial" w:eastAsia="Arial" w:hAnsi="Arial"/>
          <w:sz w:val="16"/>
          <w:szCs w:val="16"/>
          <w:color w:val="000000"/>
        </w:rPr>
        <w:t>market performance of common stock as are our investors;</w:t>
      </w:r>
    </w:p>
    <w:p>
      <w:pPr>
        <w:spacing w:after="0" w:line="128" w:lineRule="exact"/>
        <w:rPr>
          <w:rFonts w:ascii="Arial" w:cs="Arial" w:eastAsia="Arial" w:hAnsi="Arial"/>
          <w:sz w:val="16"/>
          <w:szCs w:val="16"/>
          <w:color w:val="08228B"/>
        </w:rPr>
      </w:pPr>
    </w:p>
    <w:p>
      <w:pPr>
        <w:ind w:left="180" w:hanging="172"/>
        <w:spacing w:after="0"/>
        <w:tabs>
          <w:tab w:leader="none" w:pos="180" w:val="left"/>
        </w:tabs>
        <w:numPr>
          <w:ilvl w:val="0"/>
          <w:numId w:val="42"/>
        </w:numPr>
        <w:rPr>
          <w:rFonts w:ascii="Arial" w:cs="Arial" w:eastAsia="Arial" w:hAnsi="Arial"/>
          <w:sz w:val="16"/>
          <w:szCs w:val="16"/>
          <w:color w:val="08228B"/>
        </w:rPr>
      </w:pPr>
      <w:r>
        <w:rPr>
          <w:rFonts w:ascii="Arial" w:cs="Arial" w:eastAsia="Arial" w:hAnsi="Arial"/>
          <w:sz w:val="16"/>
          <w:szCs w:val="16"/>
          <w:b w:val="1"/>
          <w:bCs w:val="1"/>
          <w:color w:val="08228B"/>
        </w:rPr>
        <w:t xml:space="preserve">Performance-Based Compensation </w:t>
      </w:r>
      <w:r>
        <w:rPr>
          <w:rFonts w:ascii="Arial" w:cs="Arial" w:eastAsia="Arial" w:hAnsi="Arial"/>
          <w:sz w:val="16"/>
          <w:szCs w:val="16"/>
          <w:color w:val="000000"/>
        </w:rPr>
        <w:t>– A substantial portion of total compensation should be performance-based over a relevant performance period;</w:t>
      </w:r>
    </w:p>
    <w:p>
      <w:pPr>
        <w:spacing w:after="0" w:line="194" w:lineRule="exact"/>
        <w:rPr>
          <w:rFonts w:ascii="Arial" w:cs="Arial" w:eastAsia="Arial" w:hAnsi="Arial"/>
          <w:sz w:val="16"/>
          <w:szCs w:val="16"/>
          <w:color w:val="08228B"/>
        </w:rPr>
      </w:pPr>
    </w:p>
    <w:p>
      <w:pPr>
        <w:ind w:left="180" w:right="140" w:hanging="172"/>
        <w:spacing w:after="0" w:line="286" w:lineRule="auto"/>
        <w:tabs>
          <w:tab w:leader="none" w:pos="180" w:val="left"/>
        </w:tabs>
        <w:numPr>
          <w:ilvl w:val="0"/>
          <w:numId w:val="42"/>
        </w:numPr>
        <w:rPr>
          <w:rFonts w:ascii="Arial" w:cs="Arial" w:eastAsia="Arial" w:hAnsi="Arial"/>
          <w:sz w:val="16"/>
          <w:szCs w:val="16"/>
          <w:color w:val="08228B"/>
        </w:rPr>
      </w:pPr>
      <w:r>
        <w:rPr>
          <w:rFonts w:ascii="Arial" w:cs="Arial" w:eastAsia="Arial" w:hAnsi="Arial"/>
          <w:sz w:val="16"/>
          <w:szCs w:val="16"/>
          <w:b w:val="1"/>
          <w:bCs w:val="1"/>
          <w:color w:val="08228B"/>
        </w:rPr>
        <w:t xml:space="preserve">No Incentives to Take Excessive Risk </w:t>
      </w:r>
      <w:r>
        <w:rPr>
          <w:rFonts w:ascii="Arial" w:cs="Arial" w:eastAsia="Arial" w:hAnsi="Arial"/>
          <w:sz w:val="16"/>
          <w:szCs w:val="16"/>
          <w:color w:val="000000"/>
        </w:rPr>
        <w:t>– The compensation structure should avoid incentives to take unnecessary and excessive risk (e.g., should be</w:t>
      </w:r>
      <w:r>
        <w:rPr>
          <w:rFonts w:ascii="Arial" w:cs="Arial" w:eastAsia="Arial" w:hAnsi="Arial"/>
          <w:sz w:val="16"/>
          <w:szCs w:val="16"/>
          <w:b w:val="1"/>
          <w:bCs w:val="1"/>
          <w:color w:val="08228B"/>
        </w:rPr>
        <w:t xml:space="preserve"> </w:t>
      </w:r>
      <w:r>
        <w:rPr>
          <w:rFonts w:ascii="Arial" w:cs="Arial" w:eastAsia="Arial" w:hAnsi="Arial"/>
          <w:sz w:val="16"/>
          <w:szCs w:val="16"/>
          <w:color w:val="000000"/>
        </w:rPr>
        <w:t>paid over a period of time that takes into account the potential risk over the same time period);</w:t>
      </w:r>
    </w:p>
    <w:p>
      <w:pPr>
        <w:spacing w:after="0" w:line="128" w:lineRule="exact"/>
        <w:rPr>
          <w:rFonts w:ascii="Arial" w:cs="Arial" w:eastAsia="Arial" w:hAnsi="Arial"/>
          <w:sz w:val="16"/>
          <w:szCs w:val="16"/>
          <w:color w:val="08228B"/>
        </w:rPr>
      </w:pPr>
    </w:p>
    <w:p>
      <w:pPr>
        <w:ind w:left="180" w:right="120" w:hanging="172"/>
        <w:spacing w:after="0" w:line="286" w:lineRule="auto"/>
        <w:tabs>
          <w:tab w:leader="none" w:pos="180" w:val="left"/>
        </w:tabs>
        <w:numPr>
          <w:ilvl w:val="0"/>
          <w:numId w:val="42"/>
        </w:numPr>
        <w:rPr>
          <w:rFonts w:ascii="Arial" w:cs="Arial" w:eastAsia="Arial" w:hAnsi="Arial"/>
          <w:sz w:val="16"/>
          <w:szCs w:val="16"/>
          <w:color w:val="08228B"/>
        </w:rPr>
      </w:pPr>
      <w:r>
        <w:rPr>
          <w:rFonts w:ascii="Arial" w:cs="Arial" w:eastAsia="Arial" w:hAnsi="Arial"/>
          <w:sz w:val="16"/>
          <w:szCs w:val="16"/>
          <w:b w:val="1"/>
          <w:bCs w:val="1"/>
          <w:color w:val="08228B"/>
        </w:rPr>
        <w:t xml:space="preserve">Appropriate Allocation of Compensation Components </w:t>
      </w:r>
      <w:r>
        <w:rPr>
          <w:rFonts w:ascii="Arial" w:cs="Arial" w:eastAsia="Arial" w:hAnsi="Arial"/>
          <w:sz w:val="16"/>
          <w:szCs w:val="16"/>
          <w:color w:val="000000"/>
        </w:rPr>
        <w:t>– The structure should allocate fixed and variable pay elements to form an appropriate mix of</w:t>
      </w:r>
      <w:r>
        <w:rPr>
          <w:rFonts w:ascii="Arial" w:cs="Arial" w:eastAsia="Arial" w:hAnsi="Arial"/>
          <w:sz w:val="16"/>
          <w:szCs w:val="16"/>
          <w:b w:val="1"/>
          <w:bCs w:val="1"/>
          <w:color w:val="08228B"/>
        </w:rPr>
        <w:t xml:space="preserve"> </w:t>
      </w:r>
      <w:r>
        <w:rPr>
          <w:rFonts w:ascii="Arial" w:cs="Arial" w:eastAsia="Arial" w:hAnsi="Arial"/>
          <w:sz w:val="16"/>
          <w:szCs w:val="16"/>
          <w:color w:val="000000"/>
        </w:rPr>
        <w:t>short and long-term pay elements;</w:t>
      </w:r>
    </w:p>
    <w:p>
      <w:pPr>
        <w:spacing w:after="0" w:line="128" w:lineRule="exact"/>
        <w:rPr>
          <w:rFonts w:ascii="Arial" w:cs="Arial" w:eastAsia="Arial" w:hAnsi="Arial"/>
          <w:sz w:val="16"/>
          <w:szCs w:val="16"/>
          <w:color w:val="08228B"/>
        </w:rPr>
      </w:pPr>
    </w:p>
    <w:p>
      <w:pPr>
        <w:ind w:left="180" w:right="120" w:hanging="172"/>
        <w:spacing w:after="0" w:line="286" w:lineRule="auto"/>
        <w:tabs>
          <w:tab w:leader="none" w:pos="180" w:val="left"/>
        </w:tabs>
        <w:numPr>
          <w:ilvl w:val="0"/>
          <w:numId w:val="42"/>
        </w:numPr>
        <w:rPr>
          <w:rFonts w:ascii="Arial" w:cs="Arial" w:eastAsia="Arial" w:hAnsi="Arial"/>
          <w:sz w:val="16"/>
          <w:szCs w:val="16"/>
          <w:color w:val="08228B"/>
        </w:rPr>
      </w:pPr>
      <w:r>
        <w:rPr>
          <w:rFonts w:ascii="Arial" w:cs="Arial" w:eastAsia="Arial" w:hAnsi="Arial"/>
          <w:sz w:val="16"/>
          <w:szCs w:val="16"/>
          <w:b w:val="1"/>
          <w:bCs w:val="1"/>
          <w:color w:val="08228B"/>
        </w:rPr>
        <w:t xml:space="preserve">Comparable Structures and Payments </w:t>
      </w:r>
      <w:r>
        <w:rPr>
          <w:rFonts w:ascii="Arial" w:cs="Arial" w:eastAsia="Arial" w:hAnsi="Arial"/>
          <w:sz w:val="16"/>
          <w:szCs w:val="16"/>
          <w:color w:val="000000"/>
        </w:rPr>
        <w:t>– Compensation structures and amounts should be competitive with those paid to persons in comparable</w:t>
      </w:r>
      <w:r>
        <w:rPr>
          <w:rFonts w:ascii="Arial" w:cs="Arial" w:eastAsia="Arial" w:hAnsi="Arial"/>
          <w:sz w:val="16"/>
          <w:szCs w:val="16"/>
          <w:b w:val="1"/>
          <w:bCs w:val="1"/>
          <w:color w:val="08228B"/>
        </w:rPr>
        <w:t xml:space="preserve"> </w:t>
      </w:r>
      <w:r>
        <w:rPr>
          <w:rFonts w:ascii="Arial" w:cs="Arial" w:eastAsia="Arial" w:hAnsi="Arial"/>
          <w:sz w:val="16"/>
          <w:szCs w:val="16"/>
          <w:color w:val="000000"/>
        </w:rPr>
        <w:t>positions at other, similar companies; and</w:t>
      </w:r>
    </w:p>
    <w:p>
      <w:pPr>
        <w:spacing w:after="0" w:line="128" w:lineRule="exact"/>
        <w:rPr>
          <w:rFonts w:ascii="Arial" w:cs="Arial" w:eastAsia="Arial" w:hAnsi="Arial"/>
          <w:sz w:val="16"/>
          <w:szCs w:val="16"/>
          <w:color w:val="08228B"/>
        </w:rPr>
      </w:pPr>
    </w:p>
    <w:p>
      <w:pPr>
        <w:ind w:left="180" w:hanging="172"/>
        <w:spacing w:after="0"/>
        <w:tabs>
          <w:tab w:leader="none" w:pos="180" w:val="left"/>
        </w:tabs>
        <w:numPr>
          <w:ilvl w:val="0"/>
          <w:numId w:val="42"/>
        </w:numPr>
        <w:rPr>
          <w:rFonts w:ascii="Arial" w:cs="Arial" w:eastAsia="Arial" w:hAnsi="Arial"/>
          <w:sz w:val="16"/>
          <w:szCs w:val="16"/>
          <w:color w:val="08228B"/>
        </w:rPr>
      </w:pPr>
      <w:r>
        <w:rPr>
          <w:rFonts w:ascii="Arial" w:cs="Arial" w:eastAsia="Arial" w:hAnsi="Arial"/>
          <w:sz w:val="16"/>
          <w:szCs w:val="16"/>
          <w:b w:val="1"/>
          <w:bCs w:val="1"/>
          <w:color w:val="08228B"/>
        </w:rPr>
        <w:t xml:space="preserve">Employee Contribution </w:t>
      </w:r>
      <w:r>
        <w:rPr>
          <w:rFonts w:ascii="Arial" w:cs="Arial" w:eastAsia="Arial" w:hAnsi="Arial"/>
          <w:sz w:val="16"/>
          <w:szCs w:val="16"/>
          <w:color w:val="000000"/>
        </w:rPr>
        <w:t>– Compensation should reflect the individual’s performance and contributions.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Each NEO’s 2015 compensation structure included the following pay elements:</w:t>
      </w:r>
    </w:p>
    <w:p>
      <w:pPr>
        <w:spacing w:after="0" w:line="188" w:lineRule="exact"/>
        <w:rPr>
          <w:sz w:val="20"/>
          <w:szCs w:val="20"/>
          <w:color w:val="auto"/>
        </w:rPr>
      </w:pPr>
    </w:p>
    <w:p>
      <w:pPr>
        <w:ind w:left="180" w:right="120" w:hanging="172"/>
        <w:spacing w:after="0" w:line="286" w:lineRule="auto"/>
        <w:tabs>
          <w:tab w:leader="none" w:pos="180" w:val="left"/>
        </w:tabs>
        <w:numPr>
          <w:ilvl w:val="0"/>
          <w:numId w:val="43"/>
        </w:numPr>
        <w:rPr>
          <w:rFonts w:ascii="Arial" w:cs="Arial" w:eastAsia="Arial" w:hAnsi="Arial"/>
          <w:sz w:val="16"/>
          <w:szCs w:val="16"/>
          <w:color w:val="08228B"/>
        </w:rPr>
      </w:pPr>
      <w:r>
        <w:rPr>
          <w:rFonts w:ascii="Arial" w:cs="Arial" w:eastAsia="Arial" w:hAnsi="Arial"/>
          <w:sz w:val="16"/>
          <w:szCs w:val="16"/>
          <w:b w:val="1"/>
          <w:bCs w:val="1"/>
          <w:color w:val="08228B"/>
        </w:rPr>
        <w:t xml:space="preserve">Base Salary </w:t>
      </w:r>
      <w:r>
        <w:rPr>
          <w:rFonts w:ascii="Arial" w:cs="Arial" w:eastAsia="Arial" w:hAnsi="Arial"/>
          <w:sz w:val="16"/>
          <w:szCs w:val="16"/>
          <w:color w:val="000000"/>
        </w:rPr>
        <w:t>– NEOs are paid a market-competitive base salary that reflects each NEO’s contribution, background, tenure, as well as the knowledge and</w:t>
      </w:r>
      <w:r>
        <w:rPr>
          <w:rFonts w:ascii="Arial" w:cs="Arial" w:eastAsia="Arial" w:hAnsi="Arial"/>
          <w:sz w:val="16"/>
          <w:szCs w:val="16"/>
          <w:b w:val="1"/>
          <w:bCs w:val="1"/>
          <w:color w:val="08228B"/>
        </w:rPr>
        <w:t xml:space="preserve"> </w:t>
      </w:r>
      <w:r>
        <w:rPr>
          <w:rFonts w:ascii="Arial" w:cs="Arial" w:eastAsia="Arial" w:hAnsi="Arial"/>
          <w:sz w:val="16"/>
          <w:szCs w:val="16"/>
          <w:color w:val="000000"/>
        </w:rPr>
        <w:t>skills he or she brings to the role;</w:t>
      </w:r>
    </w:p>
    <w:p>
      <w:pPr>
        <w:spacing w:after="0" w:line="128" w:lineRule="exact"/>
        <w:rPr>
          <w:rFonts w:ascii="Arial" w:cs="Arial" w:eastAsia="Arial" w:hAnsi="Arial"/>
          <w:sz w:val="16"/>
          <w:szCs w:val="16"/>
          <w:color w:val="08228B"/>
        </w:rPr>
      </w:pPr>
    </w:p>
    <w:p>
      <w:pPr>
        <w:jc w:val="both"/>
        <w:ind w:left="180" w:right="120" w:hanging="172"/>
        <w:spacing w:after="0" w:line="266" w:lineRule="auto"/>
        <w:tabs>
          <w:tab w:leader="none" w:pos="180" w:val="left"/>
        </w:tabs>
        <w:numPr>
          <w:ilvl w:val="0"/>
          <w:numId w:val="43"/>
        </w:numPr>
        <w:rPr>
          <w:rFonts w:ascii="Arial" w:cs="Arial" w:eastAsia="Arial" w:hAnsi="Arial"/>
          <w:sz w:val="16"/>
          <w:szCs w:val="16"/>
          <w:color w:val="08228B"/>
        </w:rPr>
      </w:pPr>
      <w:r>
        <w:rPr>
          <w:rFonts w:ascii="Arial" w:cs="Arial" w:eastAsia="Arial" w:hAnsi="Arial"/>
          <w:sz w:val="16"/>
          <w:szCs w:val="16"/>
          <w:b w:val="1"/>
          <w:bCs w:val="1"/>
          <w:color w:val="08228B"/>
        </w:rPr>
        <w:t xml:space="preserve">STIP </w:t>
      </w:r>
      <w:r>
        <w:rPr>
          <w:rFonts w:ascii="Arial" w:cs="Arial" w:eastAsia="Arial" w:hAnsi="Arial"/>
          <w:sz w:val="16"/>
          <w:szCs w:val="16"/>
          <w:color w:val="000000"/>
        </w:rPr>
        <w:t>– The STIP is an annual cash incentive plan. The STIP rewards each NEO based on the achievement of annual Company financial and operational</w:t>
      </w:r>
      <w:r>
        <w:rPr>
          <w:rFonts w:ascii="Arial" w:cs="Arial" w:eastAsia="Arial" w:hAnsi="Arial"/>
          <w:sz w:val="16"/>
          <w:szCs w:val="16"/>
          <w:b w:val="1"/>
          <w:bCs w:val="1"/>
          <w:color w:val="08228B"/>
        </w:rPr>
        <w:t xml:space="preserve"> </w:t>
      </w:r>
      <w:r>
        <w:rPr>
          <w:rFonts w:ascii="Arial" w:cs="Arial" w:eastAsia="Arial" w:hAnsi="Arial"/>
          <w:sz w:val="16"/>
          <w:szCs w:val="16"/>
          <w:color w:val="000000"/>
        </w:rPr>
        <w:t>performance goals and individual performance. The potential Company payout ranges from 0 to 200 percent of target, based on actual Company performance;</w:t>
      </w:r>
    </w:p>
    <w:p>
      <w:pPr>
        <w:spacing w:after="0" w:line="144" w:lineRule="exact"/>
        <w:rPr>
          <w:rFonts w:ascii="Arial" w:cs="Arial" w:eastAsia="Arial" w:hAnsi="Arial"/>
          <w:sz w:val="16"/>
          <w:szCs w:val="16"/>
          <w:color w:val="08228B"/>
        </w:rPr>
      </w:pPr>
    </w:p>
    <w:p>
      <w:pPr>
        <w:jc w:val="both"/>
        <w:ind w:left="180" w:right="120" w:hanging="172"/>
        <w:spacing w:after="0" w:line="266" w:lineRule="auto"/>
        <w:tabs>
          <w:tab w:leader="none" w:pos="180" w:val="left"/>
        </w:tabs>
        <w:numPr>
          <w:ilvl w:val="0"/>
          <w:numId w:val="43"/>
        </w:numPr>
        <w:rPr>
          <w:rFonts w:ascii="Arial" w:cs="Arial" w:eastAsia="Arial" w:hAnsi="Arial"/>
          <w:sz w:val="16"/>
          <w:szCs w:val="16"/>
          <w:color w:val="08228B"/>
        </w:rPr>
      </w:pPr>
      <w:r>
        <w:rPr>
          <w:rFonts w:ascii="Arial" w:cs="Arial" w:eastAsia="Arial" w:hAnsi="Arial"/>
          <w:sz w:val="16"/>
          <w:szCs w:val="16"/>
          <w:b w:val="1"/>
          <w:bCs w:val="1"/>
          <w:color w:val="08228B"/>
        </w:rPr>
        <w:t xml:space="preserve">PSUs </w:t>
      </w:r>
      <w:r>
        <w:rPr>
          <w:rFonts w:ascii="Arial" w:cs="Arial" w:eastAsia="Arial" w:hAnsi="Arial"/>
          <w:sz w:val="16"/>
          <w:szCs w:val="16"/>
          <w:color w:val="000000"/>
        </w:rPr>
        <w:t>– PSUs are equity awards designed to align each NEO’s interests with the long-term interests of the Company and its shareholders. PSUs can be</w:t>
      </w:r>
      <w:r>
        <w:rPr>
          <w:rFonts w:ascii="Arial" w:cs="Arial" w:eastAsia="Arial" w:hAnsi="Arial"/>
          <w:sz w:val="16"/>
          <w:szCs w:val="16"/>
          <w:b w:val="1"/>
          <w:bCs w:val="1"/>
          <w:color w:val="08228B"/>
        </w:rPr>
        <w:t xml:space="preserve"> </w:t>
      </w:r>
      <w:r>
        <w:rPr>
          <w:rFonts w:ascii="Arial" w:cs="Arial" w:eastAsia="Arial" w:hAnsi="Arial"/>
          <w:sz w:val="16"/>
          <w:szCs w:val="16"/>
          <w:color w:val="000000"/>
        </w:rPr>
        <w:t>earned at a level from 0 to 200 percent of target, based on the achievement of Company performance against ROIC and Global Market Share targets over the three-year performance period beginning January 1, 2015; and</w:t>
      </w:r>
    </w:p>
    <w:p>
      <w:pPr>
        <w:spacing w:after="0" w:line="144" w:lineRule="exact"/>
        <w:rPr>
          <w:rFonts w:ascii="Arial" w:cs="Arial" w:eastAsia="Arial" w:hAnsi="Arial"/>
          <w:sz w:val="16"/>
          <w:szCs w:val="16"/>
          <w:color w:val="08228B"/>
        </w:rPr>
      </w:pPr>
    </w:p>
    <w:p>
      <w:pPr>
        <w:ind w:left="180" w:right="120" w:hanging="172"/>
        <w:spacing w:after="0" w:line="286" w:lineRule="auto"/>
        <w:tabs>
          <w:tab w:leader="none" w:pos="180" w:val="left"/>
        </w:tabs>
        <w:numPr>
          <w:ilvl w:val="0"/>
          <w:numId w:val="43"/>
        </w:numPr>
        <w:rPr>
          <w:rFonts w:ascii="Arial" w:cs="Arial" w:eastAsia="Arial" w:hAnsi="Arial"/>
          <w:sz w:val="16"/>
          <w:szCs w:val="16"/>
          <w:color w:val="08228B"/>
        </w:rPr>
      </w:pPr>
      <w:r>
        <w:rPr>
          <w:rFonts w:ascii="Arial" w:cs="Arial" w:eastAsia="Arial" w:hAnsi="Arial"/>
          <w:sz w:val="16"/>
          <w:szCs w:val="16"/>
          <w:b w:val="1"/>
          <w:bCs w:val="1"/>
          <w:color w:val="08228B"/>
        </w:rPr>
        <w:t xml:space="preserve">RSUs </w:t>
      </w:r>
      <w:r>
        <w:rPr>
          <w:rFonts w:ascii="Arial" w:cs="Arial" w:eastAsia="Arial" w:hAnsi="Arial"/>
          <w:sz w:val="16"/>
          <w:szCs w:val="16"/>
          <w:color w:val="000000"/>
        </w:rPr>
        <w:t>– RSUs are time-based awards vesting ratably over a three-year period. RSUs align the interests of NEOs with shareholders and help to retain top</w:t>
      </w:r>
      <w:r>
        <w:rPr>
          <w:rFonts w:ascii="Arial" w:cs="Arial" w:eastAsia="Arial" w:hAnsi="Arial"/>
          <w:sz w:val="16"/>
          <w:szCs w:val="16"/>
          <w:b w:val="1"/>
          <w:bCs w:val="1"/>
          <w:color w:val="08228B"/>
        </w:rPr>
        <w:t xml:space="preserve"> </w:t>
      </w:r>
      <w:r>
        <w:rPr>
          <w:rFonts w:ascii="Arial" w:cs="Arial" w:eastAsia="Arial" w:hAnsi="Arial"/>
          <w:sz w:val="16"/>
          <w:szCs w:val="16"/>
          <w:color w:val="000000"/>
        </w:rPr>
        <w:t>talent.</w:t>
      </w:r>
    </w:p>
    <w:p>
      <w:pPr>
        <w:spacing w:after="0" w:line="270"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25"/>
          <w:szCs w:val="25"/>
          <w:color w:val="08228B"/>
        </w:rPr>
      </w:pPr>
      <w:r>
        <w:rPr>
          <w:rFonts w:ascii="Arial" w:cs="Arial" w:eastAsia="Arial" w:hAnsi="Arial"/>
          <w:sz w:val="25"/>
          <w:szCs w:val="25"/>
          <w:color w:val="auto"/>
        </w:rPr>
        <w:t>Perquisites, Benefits, and Other Compensation</w:t>
      </w:r>
    </w:p>
    <w:p>
      <w:pPr>
        <w:spacing w:after="0" w:line="199"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We provide perquisites, benefits, and other compensation to our NEOs consistent with market practices. The following perquisites, benefits, and other compensation were provided to NEOs in 2015:</w:t>
      </w:r>
    </w:p>
    <w:p>
      <w:pPr>
        <w:spacing w:after="0" w:line="149" w:lineRule="exact"/>
        <w:rPr>
          <w:sz w:val="20"/>
          <w:szCs w:val="20"/>
          <w:color w:val="auto"/>
        </w:rPr>
      </w:pPr>
    </w:p>
    <w:p>
      <w:pPr>
        <w:jc w:val="both"/>
        <w:ind w:left="180" w:hanging="172"/>
        <w:spacing w:after="0" w:line="256" w:lineRule="auto"/>
        <w:tabs>
          <w:tab w:leader="none" w:pos="180" w:val="left"/>
        </w:tabs>
        <w:numPr>
          <w:ilvl w:val="0"/>
          <w:numId w:val="45"/>
        </w:numPr>
        <w:rPr>
          <w:rFonts w:ascii="Arial" w:cs="Arial" w:eastAsia="Arial" w:hAnsi="Arial"/>
          <w:sz w:val="16"/>
          <w:szCs w:val="16"/>
          <w:color w:val="08228B"/>
        </w:rPr>
      </w:pPr>
      <w:r>
        <w:rPr>
          <w:rFonts w:ascii="Arial" w:cs="Arial" w:eastAsia="Arial" w:hAnsi="Arial"/>
          <w:sz w:val="16"/>
          <w:szCs w:val="16"/>
          <w:b w:val="1"/>
          <w:bCs w:val="1"/>
          <w:color w:val="08228B"/>
        </w:rPr>
        <w:t xml:space="preserve">Personal Air Travel </w:t>
      </w:r>
      <w:r>
        <w:rPr>
          <w:rFonts w:ascii="Arial" w:cs="Arial" w:eastAsia="Arial" w:hAnsi="Arial"/>
          <w:sz w:val="16"/>
          <w:szCs w:val="16"/>
          <w:color w:val="000000"/>
        </w:rPr>
        <w:t>– Ms. Barra is prohibited by Company policy from commercial air travel due to security-related reasons identified by an independent</w:t>
      </w:r>
      <w:r>
        <w:rPr>
          <w:rFonts w:ascii="Arial" w:cs="Arial" w:eastAsia="Arial" w:hAnsi="Arial"/>
          <w:sz w:val="16"/>
          <w:szCs w:val="16"/>
          <w:b w:val="1"/>
          <w:bCs w:val="1"/>
          <w:color w:val="08228B"/>
        </w:rPr>
        <w:t xml:space="preserve"> </w:t>
      </w:r>
      <w:r>
        <w:rPr>
          <w:rFonts w:ascii="Arial" w:cs="Arial" w:eastAsia="Arial" w:hAnsi="Arial"/>
          <w:sz w:val="16"/>
          <w:szCs w:val="16"/>
          <w:color w:val="000000"/>
        </w:rPr>
        <w:t>third-party security consultant. As a result, the Company pays the costs associated with the use of chartered or Company-owned aircraft for both business and personal use. Ms. Barra is permitted guests for personal travel and incurs imputed income for all passengers, including, herself at the U.S. Internal Revenue Service (the “IRS”) Standard Industry Fair Level rates. Other NEOs may travel on chartered or Company-owned aircraft in limited circumstances with prior approval from the CEO or the Senior Vice President Global Human Resources, and also incur imputed income for any personal travel.</w:t>
      </w:r>
    </w:p>
    <w:p>
      <w:pPr>
        <w:spacing w:after="0" w:line="153" w:lineRule="exact"/>
        <w:rPr>
          <w:rFonts w:ascii="Arial" w:cs="Arial" w:eastAsia="Arial" w:hAnsi="Arial"/>
          <w:sz w:val="16"/>
          <w:szCs w:val="16"/>
          <w:color w:val="08228B"/>
        </w:rPr>
      </w:pPr>
    </w:p>
    <w:p>
      <w:pPr>
        <w:ind w:left="180" w:right="140" w:hanging="172"/>
        <w:spacing w:after="0" w:line="286" w:lineRule="auto"/>
        <w:tabs>
          <w:tab w:leader="none" w:pos="180" w:val="left"/>
        </w:tabs>
        <w:numPr>
          <w:ilvl w:val="0"/>
          <w:numId w:val="45"/>
        </w:numPr>
        <w:rPr>
          <w:rFonts w:ascii="Arial" w:cs="Arial" w:eastAsia="Arial" w:hAnsi="Arial"/>
          <w:sz w:val="16"/>
          <w:szCs w:val="16"/>
          <w:color w:val="08228B"/>
        </w:rPr>
      </w:pPr>
      <w:r>
        <w:rPr>
          <w:rFonts w:ascii="Arial" w:cs="Arial" w:eastAsia="Arial" w:hAnsi="Arial"/>
          <w:sz w:val="16"/>
          <w:szCs w:val="16"/>
          <w:b w:val="1"/>
          <w:bCs w:val="1"/>
          <w:color w:val="08228B"/>
        </w:rPr>
        <w:t xml:space="preserve">Company Vehicle Programs </w:t>
      </w:r>
      <w:r>
        <w:rPr>
          <w:rFonts w:ascii="Arial" w:cs="Arial" w:eastAsia="Arial" w:hAnsi="Arial"/>
          <w:sz w:val="16"/>
          <w:szCs w:val="16"/>
          <w:color w:val="000000"/>
        </w:rPr>
        <w:t>– NEOs are eligible to participate in the Executive Company Vehicle Program and are allowed to use evaluation vehicles on</w:t>
      </w:r>
      <w:r>
        <w:rPr>
          <w:rFonts w:ascii="Arial" w:cs="Arial" w:eastAsia="Arial" w:hAnsi="Arial"/>
          <w:sz w:val="16"/>
          <w:szCs w:val="16"/>
          <w:b w:val="1"/>
          <w:bCs w:val="1"/>
          <w:color w:val="08228B"/>
        </w:rPr>
        <w:t xml:space="preserve"> </w:t>
      </w:r>
      <w:r>
        <w:rPr>
          <w:rFonts w:ascii="Arial" w:cs="Arial" w:eastAsia="Arial" w:hAnsi="Arial"/>
          <w:sz w:val="16"/>
          <w:szCs w:val="16"/>
          <w:color w:val="000000"/>
        </w:rPr>
        <w:t>which they give feedback. Additionally, NEOs are eligible to use driver services provided by the Company and in accordance with Company policies.</w:t>
      </w:r>
    </w:p>
    <w:p>
      <w:pPr>
        <w:spacing w:after="0" w:line="142" w:lineRule="exact"/>
        <w:rPr>
          <w:rFonts w:ascii="Arial" w:cs="Arial" w:eastAsia="Arial" w:hAnsi="Arial"/>
          <w:sz w:val="16"/>
          <w:szCs w:val="16"/>
          <w:color w:val="08228B"/>
        </w:rPr>
      </w:pPr>
    </w:p>
    <w:p>
      <w:pPr>
        <w:ind w:left="180" w:right="120" w:hanging="172"/>
        <w:spacing w:after="0" w:line="286" w:lineRule="auto"/>
        <w:tabs>
          <w:tab w:leader="none" w:pos="180" w:val="left"/>
        </w:tabs>
        <w:numPr>
          <w:ilvl w:val="0"/>
          <w:numId w:val="45"/>
        </w:numPr>
        <w:rPr>
          <w:rFonts w:ascii="Arial" w:cs="Arial" w:eastAsia="Arial" w:hAnsi="Arial"/>
          <w:sz w:val="16"/>
          <w:szCs w:val="16"/>
          <w:color w:val="08228B"/>
        </w:rPr>
      </w:pPr>
      <w:r>
        <w:rPr>
          <w:rFonts w:ascii="Arial" w:cs="Arial" w:eastAsia="Arial" w:hAnsi="Arial"/>
          <w:sz w:val="16"/>
          <w:szCs w:val="16"/>
          <w:b w:val="1"/>
          <w:bCs w:val="1"/>
          <w:color w:val="08228B"/>
        </w:rPr>
        <w:t xml:space="preserve">Security </w:t>
      </w:r>
      <w:r>
        <w:rPr>
          <w:rFonts w:ascii="Arial" w:cs="Arial" w:eastAsia="Arial" w:hAnsi="Arial"/>
          <w:sz w:val="16"/>
          <w:szCs w:val="16"/>
          <w:color w:val="000000"/>
        </w:rPr>
        <w:t>– NEOs may receive security services, including home security systems and monitoring, for specific security-related reasons identified by</w:t>
      </w:r>
      <w:r>
        <w:rPr>
          <w:rFonts w:ascii="Arial" w:cs="Arial" w:eastAsia="Arial" w:hAnsi="Arial"/>
          <w:sz w:val="16"/>
          <w:szCs w:val="16"/>
          <w:b w:val="1"/>
          <w:bCs w:val="1"/>
          <w:color w:val="08228B"/>
        </w:rPr>
        <w:t xml:space="preserve"> </w:t>
      </w:r>
      <w:r>
        <w:rPr>
          <w:rFonts w:ascii="Arial" w:cs="Arial" w:eastAsia="Arial" w:hAnsi="Arial"/>
          <w:sz w:val="16"/>
          <w:szCs w:val="16"/>
          <w:color w:val="000000"/>
        </w:rPr>
        <w:t>independent third-party security consultants.</w:t>
      </w:r>
    </w:p>
    <w:p>
      <w:pPr>
        <w:spacing w:after="0" w:line="142" w:lineRule="exact"/>
        <w:rPr>
          <w:rFonts w:ascii="Arial" w:cs="Arial" w:eastAsia="Arial" w:hAnsi="Arial"/>
          <w:sz w:val="16"/>
          <w:szCs w:val="16"/>
          <w:color w:val="08228B"/>
        </w:rPr>
      </w:pPr>
    </w:p>
    <w:p>
      <w:pPr>
        <w:ind w:left="180" w:hanging="172"/>
        <w:spacing w:after="0"/>
        <w:tabs>
          <w:tab w:leader="none" w:pos="180" w:val="left"/>
        </w:tabs>
        <w:numPr>
          <w:ilvl w:val="0"/>
          <w:numId w:val="45"/>
        </w:numPr>
        <w:rPr>
          <w:rFonts w:ascii="Arial" w:cs="Arial" w:eastAsia="Arial" w:hAnsi="Arial"/>
          <w:sz w:val="16"/>
          <w:szCs w:val="16"/>
          <w:color w:val="08228B"/>
        </w:rPr>
      </w:pPr>
      <w:r>
        <w:rPr>
          <w:rFonts w:ascii="Arial" w:cs="Arial" w:eastAsia="Arial" w:hAnsi="Arial"/>
          <w:sz w:val="16"/>
          <w:szCs w:val="16"/>
          <w:b w:val="1"/>
          <w:bCs w:val="1"/>
          <w:color w:val="08228B"/>
        </w:rPr>
        <w:t xml:space="preserve">Financial Counseling </w:t>
      </w:r>
      <w:r>
        <w:rPr>
          <w:rFonts w:ascii="Arial" w:cs="Arial" w:eastAsia="Arial" w:hAnsi="Arial"/>
          <w:sz w:val="16"/>
          <w:szCs w:val="16"/>
          <w:color w:val="000000"/>
        </w:rPr>
        <w:t>– NEOs are eligible to receive financial counseling, estate planning, and tax preparation services through approved providers.</w:t>
      </w:r>
    </w:p>
    <w:p>
      <w:pPr>
        <w:spacing w:after="0" w:line="207" w:lineRule="exact"/>
        <w:rPr>
          <w:rFonts w:ascii="Arial" w:cs="Arial" w:eastAsia="Arial" w:hAnsi="Arial"/>
          <w:sz w:val="16"/>
          <w:szCs w:val="16"/>
          <w:color w:val="08228B"/>
        </w:rPr>
      </w:pPr>
    </w:p>
    <w:p>
      <w:pPr>
        <w:ind w:left="180" w:hanging="172"/>
        <w:spacing w:after="0"/>
        <w:tabs>
          <w:tab w:leader="none" w:pos="180" w:val="left"/>
        </w:tabs>
        <w:numPr>
          <w:ilvl w:val="0"/>
          <w:numId w:val="45"/>
        </w:numPr>
        <w:rPr>
          <w:rFonts w:ascii="Arial" w:cs="Arial" w:eastAsia="Arial" w:hAnsi="Arial"/>
          <w:sz w:val="16"/>
          <w:szCs w:val="16"/>
          <w:color w:val="08228B"/>
        </w:rPr>
      </w:pPr>
      <w:r>
        <w:rPr>
          <w:rFonts w:ascii="Arial" w:cs="Arial" w:eastAsia="Arial" w:hAnsi="Arial"/>
          <w:sz w:val="16"/>
          <w:szCs w:val="16"/>
          <w:b w:val="1"/>
          <w:bCs w:val="1"/>
          <w:color w:val="08228B"/>
        </w:rPr>
        <w:t xml:space="preserve">Executive Physicals </w:t>
      </w:r>
      <w:r>
        <w:rPr>
          <w:rFonts w:ascii="Arial" w:cs="Arial" w:eastAsia="Arial" w:hAnsi="Arial"/>
          <w:sz w:val="16"/>
          <w:szCs w:val="16"/>
          <w:color w:val="000000"/>
        </w:rPr>
        <w:t>– NEOs are eligible to receive executive physicals with approved providers.</w:t>
      </w:r>
    </w:p>
    <w:p>
      <w:pPr>
        <w:spacing w:after="0" w:line="335" w:lineRule="exact"/>
        <w:rPr>
          <w:sz w:val="20"/>
          <w:szCs w:val="20"/>
          <w:color w:val="auto"/>
        </w:rPr>
      </w:pPr>
    </w:p>
    <w:p>
      <w:pPr>
        <w:ind w:left="460" w:hanging="452"/>
        <w:spacing w:after="0"/>
        <w:tabs>
          <w:tab w:leader="none" w:pos="460" w:val="left"/>
        </w:tabs>
        <w:numPr>
          <w:ilvl w:val="0"/>
          <w:numId w:val="46"/>
        </w:numPr>
        <w:rPr>
          <w:rFonts w:ascii="Arial" w:cs="Arial" w:eastAsia="Arial" w:hAnsi="Arial"/>
          <w:sz w:val="25"/>
          <w:szCs w:val="25"/>
          <w:color w:val="08228B"/>
        </w:rPr>
      </w:pPr>
      <w:r>
        <w:rPr>
          <w:rFonts w:ascii="Arial" w:cs="Arial" w:eastAsia="Arial" w:hAnsi="Arial"/>
          <w:sz w:val="25"/>
          <w:szCs w:val="25"/>
          <w:color w:val="auto"/>
        </w:rPr>
        <w:t>Driving Stockholder Value Option Grant (One-Time Award)</w:t>
      </w:r>
    </w:p>
    <w:p>
      <w:pPr>
        <w:spacing w:after="0" w:line="19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On July 28, 2015, the Compensation Committee authorized the DSV Option Grant providing a one-time stock option award to senior leaders in exchange for agreeing to non-compete and non-solicitation terms with the Company. The award is described in full on page 45 and vests over a period of 4.6 years, with 40 percent featuring time-based vesting and 60 percent featuring performance-based vesting.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13"/>
        </w:trPr>
        <w:tc>
          <w:tcPr>
            <w:tcW w:w="4340" w:type="dxa"/>
            <w:vAlign w:val="bottom"/>
            <w:tcBorders>
              <w:bottom w:val="single" w:sz="8" w:color="08228B"/>
            </w:tcBorders>
          </w:tcPr>
          <w:p>
            <w:pPr>
              <w:spacing w:after="0"/>
              <w:rPr>
                <w:sz w:val="9"/>
                <w:szCs w:val="9"/>
                <w:color w:val="auto"/>
              </w:rPr>
            </w:pPr>
          </w:p>
        </w:tc>
        <w:tc>
          <w:tcPr>
            <w:tcW w:w="2060" w:type="dxa"/>
            <w:vAlign w:val="bottom"/>
            <w:vMerge w:val="restart"/>
          </w:tcPr>
          <w:p>
            <w:pPr>
              <w:ind w:left="60"/>
              <w:spacing w:after="0"/>
              <w:rPr>
                <w:sz w:val="20"/>
                <w:szCs w:val="20"/>
                <w:color w:val="auto"/>
              </w:rPr>
            </w:pPr>
            <w:r>
              <w:rPr>
                <w:rFonts w:ascii="Arial" w:cs="Arial" w:eastAsia="Arial" w:hAnsi="Arial"/>
                <w:sz w:val="16"/>
                <w:szCs w:val="16"/>
                <w:b w:val="1"/>
                <w:bCs w:val="1"/>
                <w:color w:val="1C90D3"/>
              </w:rPr>
              <w:t xml:space="preserve">2016 </w:t>
            </w:r>
            <w:r>
              <w:rPr>
                <w:rFonts w:ascii="Arial" w:cs="Arial" w:eastAsia="Arial" w:hAnsi="Arial"/>
                <w:sz w:val="16"/>
                <w:szCs w:val="16"/>
                <w:color w:val="08228B"/>
              </w:rPr>
              <w:t>PROXY STATEMENT</w:t>
            </w:r>
          </w:p>
        </w:tc>
        <w:tc>
          <w:tcPr>
            <w:tcW w:w="2400" w:type="dxa"/>
            <w:vAlign w:val="bottom"/>
            <w:tcBorders>
              <w:bottom w:val="single" w:sz="8" w:color="08228B"/>
            </w:tcBorders>
          </w:tcPr>
          <w:p>
            <w:pPr>
              <w:spacing w:after="0"/>
              <w:rPr>
                <w:sz w:val="9"/>
                <w:szCs w:val="9"/>
                <w:color w:val="auto"/>
              </w:rPr>
            </w:pPr>
          </w:p>
        </w:tc>
        <w:tc>
          <w:tcPr>
            <w:tcW w:w="2620" w:type="dxa"/>
            <w:vAlign w:val="bottom"/>
            <w:vMerge w:val="restart"/>
          </w:tcPr>
          <w:p>
            <w:pPr>
              <w:jc w:val="right"/>
              <w:ind w:right="39"/>
              <w:spacing w:after="0"/>
              <w:rPr>
                <w:sz w:val="20"/>
                <w:szCs w:val="20"/>
                <w:color w:val="auto"/>
              </w:rPr>
            </w:pPr>
            <w:r>
              <w:rPr>
                <w:rFonts w:ascii="Arial" w:cs="Arial" w:eastAsia="Arial" w:hAnsi="Arial"/>
                <w:sz w:val="16"/>
                <w:szCs w:val="16"/>
                <w:color w:val="08228B"/>
              </w:rPr>
              <w:t>41</w:t>
            </w:r>
          </w:p>
        </w:tc>
        <w:tc>
          <w:tcPr>
            <w:tcW w:w="0" w:type="dxa"/>
            <w:vAlign w:val="bottom"/>
          </w:tcPr>
          <w:p>
            <w:pPr>
              <w:spacing w:after="0"/>
              <w:rPr>
                <w:sz w:val="1"/>
                <w:szCs w:val="1"/>
                <w:color w:val="auto"/>
              </w:rPr>
            </w:pPr>
          </w:p>
        </w:tc>
      </w:tr>
      <w:tr>
        <w:trPr>
          <w:trHeight w:val="82"/>
        </w:trPr>
        <w:tc>
          <w:tcPr>
            <w:tcW w:w="4340" w:type="dxa"/>
            <w:vAlign w:val="bottom"/>
          </w:tcPr>
          <w:p>
            <w:pPr>
              <w:spacing w:after="0"/>
              <w:rPr>
                <w:sz w:val="7"/>
                <w:szCs w:val="7"/>
                <w:color w:val="auto"/>
              </w:rPr>
            </w:pPr>
          </w:p>
        </w:tc>
        <w:tc>
          <w:tcPr>
            <w:tcW w:w="2060" w:type="dxa"/>
            <w:vAlign w:val="bottom"/>
            <w:vMerge w:val="continue"/>
          </w:tcPr>
          <w:p>
            <w:pPr>
              <w:spacing w:after="0"/>
              <w:rPr>
                <w:sz w:val="7"/>
                <w:szCs w:val="7"/>
                <w:color w:val="auto"/>
              </w:rPr>
            </w:pPr>
          </w:p>
        </w:tc>
        <w:tc>
          <w:tcPr>
            <w:tcW w:w="2400" w:type="dxa"/>
            <w:vAlign w:val="bottom"/>
          </w:tcPr>
          <w:p>
            <w:pPr>
              <w:spacing w:after="0"/>
              <w:rPr>
                <w:sz w:val="7"/>
                <w:szCs w:val="7"/>
                <w:color w:val="auto"/>
              </w:rPr>
            </w:pPr>
          </w:p>
        </w:tc>
        <w:tc>
          <w:tcPr>
            <w:tcW w:w="2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7"/>
        </w:trPr>
        <w:tc>
          <w:tcPr>
            <w:tcW w:w="4340" w:type="dxa"/>
            <w:vAlign w:val="bottom"/>
            <w:tcBorders>
              <w:bottom w:val="single" w:sz="8" w:color="C0C0C0"/>
            </w:tcBorders>
          </w:tcPr>
          <w:p>
            <w:pPr>
              <w:spacing w:after="0"/>
              <w:rPr>
                <w:sz w:val="24"/>
                <w:szCs w:val="24"/>
                <w:color w:val="auto"/>
              </w:rPr>
            </w:pPr>
          </w:p>
        </w:tc>
        <w:tc>
          <w:tcPr>
            <w:tcW w:w="2060" w:type="dxa"/>
            <w:vAlign w:val="bottom"/>
            <w:tcBorders>
              <w:bottom w:val="single" w:sz="8" w:color="C0C0C0"/>
            </w:tcBorders>
          </w:tcPr>
          <w:p>
            <w:pPr>
              <w:spacing w:after="0"/>
              <w:rPr>
                <w:sz w:val="24"/>
                <w:szCs w:val="24"/>
                <w:color w:val="auto"/>
              </w:rPr>
            </w:pPr>
          </w:p>
        </w:tc>
        <w:tc>
          <w:tcPr>
            <w:tcW w:w="2400" w:type="dxa"/>
            <w:vAlign w:val="bottom"/>
            <w:tcBorders>
              <w:bottom w:val="single" w:sz="8" w:color="C0C0C0"/>
            </w:tcBorders>
          </w:tcPr>
          <w:p>
            <w:pPr>
              <w:spacing w:after="0"/>
              <w:rPr>
                <w:sz w:val="24"/>
                <w:szCs w:val="24"/>
                <w:color w:val="auto"/>
              </w:rPr>
            </w:pPr>
          </w:p>
        </w:tc>
        <w:tc>
          <w:tcPr>
            <w:tcW w:w="262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5613400</wp:posOffset>
            </wp:positionH>
            <wp:positionV relativeFrom="paragraph">
              <wp:posOffset>-334010</wp:posOffset>
            </wp:positionV>
            <wp:extent cx="1286510" cy="8572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1286510" cy="8572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Back to Contents</w:t>
        </w:r>
      </w:hyperlink>
    </w:p>
    <w:p>
      <w:pPr>
        <w:spacing w:after="0" w:line="196" w:lineRule="exact"/>
        <w:rPr>
          <w:sz w:val="20"/>
          <w:szCs w:val="20"/>
          <w:color w:val="auto"/>
        </w:rPr>
      </w:pPr>
    </w:p>
    <w:p>
      <w:pPr>
        <w:ind w:left="500" w:hanging="492"/>
        <w:spacing w:after="0"/>
        <w:tabs>
          <w:tab w:leader="none" w:pos="500" w:val="left"/>
        </w:tabs>
        <w:numPr>
          <w:ilvl w:val="0"/>
          <w:numId w:val="47"/>
        </w:numPr>
        <w:rPr>
          <w:rFonts w:ascii="Arial" w:cs="Arial" w:eastAsia="Arial" w:hAnsi="Arial"/>
          <w:sz w:val="25"/>
          <w:szCs w:val="25"/>
          <w:color w:val="08228B"/>
        </w:rPr>
      </w:pPr>
      <w:r>
        <w:rPr>
          <w:rFonts w:ascii="Arial" w:cs="Arial" w:eastAsia="Arial" w:hAnsi="Arial"/>
          <w:sz w:val="25"/>
          <w:szCs w:val="25"/>
          <w:color w:val="auto"/>
        </w:rPr>
        <w:t>2015 Target Compensation</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Our target total direct compensation for each NEO in 2015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69150" cy="1714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160" w:type="dxa"/>
            <w:vAlign w:val="bottom"/>
          </w:tcPr>
          <w:p>
            <w:pPr>
              <w:spacing w:after="0"/>
              <w:rPr>
                <w:sz w:val="19"/>
                <w:szCs w:val="19"/>
                <w:color w:val="auto"/>
              </w:rPr>
            </w:pPr>
          </w:p>
        </w:tc>
        <w:tc>
          <w:tcPr>
            <w:tcW w:w="1680" w:type="dxa"/>
            <w:vAlign w:val="bottom"/>
          </w:tcPr>
          <w:p>
            <w:pPr>
              <w:jc w:val="right"/>
              <w:ind w:right="119"/>
              <w:spacing w:after="0"/>
              <w:rPr>
                <w:sz w:val="20"/>
                <w:szCs w:val="20"/>
                <w:color w:val="auto"/>
              </w:rPr>
            </w:pPr>
            <w:r>
              <w:rPr>
                <w:rFonts w:ascii="Arial" w:cs="Arial" w:eastAsia="Arial" w:hAnsi="Arial"/>
                <w:sz w:val="16"/>
                <w:szCs w:val="16"/>
                <w:b w:val="1"/>
                <w:bCs w:val="1"/>
                <w:color w:val="1C90D3"/>
              </w:rPr>
              <w:t>Annual Base</w:t>
            </w:r>
          </w:p>
        </w:tc>
        <w:tc>
          <w:tcPr>
            <w:tcW w:w="1180" w:type="dxa"/>
            <w:vAlign w:val="bottom"/>
          </w:tcPr>
          <w:p>
            <w:pPr>
              <w:spacing w:after="0"/>
              <w:rPr>
                <w:sz w:val="19"/>
                <w:szCs w:val="19"/>
                <w:color w:val="auto"/>
              </w:rPr>
            </w:pPr>
          </w:p>
        </w:tc>
        <w:tc>
          <w:tcPr>
            <w:tcW w:w="1800" w:type="dxa"/>
            <w:vAlign w:val="bottom"/>
          </w:tcPr>
          <w:p>
            <w:pPr>
              <w:jc w:val="right"/>
              <w:ind w:right="139"/>
              <w:spacing w:after="0"/>
              <w:rPr>
                <w:sz w:val="20"/>
                <w:szCs w:val="20"/>
                <w:color w:val="auto"/>
              </w:rPr>
            </w:pPr>
            <w:r>
              <w:rPr>
                <w:rFonts w:ascii="Arial" w:cs="Arial" w:eastAsia="Arial" w:hAnsi="Arial"/>
                <w:sz w:val="16"/>
                <w:szCs w:val="16"/>
                <w:b w:val="1"/>
                <w:bCs w:val="1"/>
                <w:color w:val="1C90D3"/>
              </w:rPr>
              <w:t>Target Total Cash</w:t>
            </w:r>
          </w:p>
        </w:tc>
        <w:tc>
          <w:tcPr>
            <w:tcW w:w="1580" w:type="dxa"/>
            <w:vAlign w:val="bottom"/>
            <w:tcBorders>
              <w:bottom w:val="single" w:sz="8" w:color="1C90D3"/>
            </w:tcBorders>
          </w:tcPr>
          <w:p>
            <w:pPr>
              <w:jc w:val="right"/>
              <w:ind w:right="99"/>
              <w:spacing w:after="0"/>
              <w:rPr>
                <w:sz w:val="20"/>
                <w:szCs w:val="20"/>
                <w:color w:val="auto"/>
              </w:rPr>
            </w:pPr>
            <w:r>
              <w:rPr>
                <w:rFonts w:ascii="Arial" w:cs="Arial" w:eastAsia="Arial" w:hAnsi="Arial"/>
                <w:sz w:val="16"/>
                <w:szCs w:val="16"/>
                <w:b w:val="1"/>
                <w:bCs w:val="1"/>
                <w:color w:val="1C90D3"/>
              </w:rPr>
              <w:t>LTIP</w:t>
            </w:r>
          </w:p>
        </w:tc>
        <w:tc>
          <w:tcPr>
            <w:tcW w:w="880" w:type="dxa"/>
            <w:vAlign w:val="bottom"/>
            <w:tcBorders>
              <w:bottom w:val="single" w:sz="8" w:color="1C90D3"/>
            </w:tcBorders>
          </w:tcPr>
          <w:p>
            <w:pPr>
              <w:spacing w:after="0"/>
              <w:rPr>
                <w:sz w:val="19"/>
                <w:szCs w:val="19"/>
                <w:color w:val="auto"/>
              </w:rPr>
            </w:pPr>
          </w:p>
        </w:tc>
        <w:tc>
          <w:tcPr>
            <w:tcW w:w="2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6"/>
                <w:szCs w:val="16"/>
                <w:b w:val="1"/>
                <w:bCs w:val="1"/>
                <w:color w:val="1C90D3"/>
              </w:rPr>
              <w:t>Target Total Direct</w:t>
            </w:r>
          </w:p>
        </w:tc>
      </w:tr>
      <w:tr>
        <w:trPr>
          <w:trHeight w:val="171"/>
        </w:trPr>
        <w:tc>
          <w:tcPr>
            <w:tcW w:w="2160" w:type="dxa"/>
            <w:vAlign w:val="bottom"/>
          </w:tcPr>
          <w:p>
            <w:pPr>
              <w:spacing w:after="0"/>
              <w:rPr>
                <w:sz w:val="14"/>
                <w:szCs w:val="14"/>
                <w:color w:val="auto"/>
              </w:rPr>
            </w:pPr>
          </w:p>
        </w:tc>
        <w:tc>
          <w:tcPr>
            <w:tcW w:w="1680" w:type="dxa"/>
            <w:vAlign w:val="bottom"/>
          </w:tcPr>
          <w:p>
            <w:pPr>
              <w:jc w:val="right"/>
              <w:ind w:right="119"/>
              <w:spacing w:after="0" w:line="171" w:lineRule="exact"/>
              <w:rPr>
                <w:sz w:val="20"/>
                <w:szCs w:val="20"/>
                <w:color w:val="auto"/>
              </w:rPr>
            </w:pPr>
            <w:r>
              <w:rPr>
                <w:rFonts w:ascii="Arial" w:cs="Arial" w:eastAsia="Arial" w:hAnsi="Arial"/>
                <w:sz w:val="16"/>
                <w:szCs w:val="16"/>
                <w:b w:val="1"/>
                <w:bCs w:val="1"/>
                <w:color w:val="1C90D3"/>
              </w:rPr>
              <w:t>Salary</w:t>
            </w:r>
          </w:p>
        </w:tc>
        <w:tc>
          <w:tcPr>
            <w:tcW w:w="1180" w:type="dxa"/>
            <w:vAlign w:val="bottom"/>
          </w:tcPr>
          <w:p>
            <w:pPr>
              <w:jc w:val="right"/>
              <w:ind w:right="159"/>
              <w:spacing w:after="0" w:line="171" w:lineRule="exact"/>
              <w:rPr>
                <w:sz w:val="20"/>
                <w:szCs w:val="20"/>
                <w:color w:val="auto"/>
              </w:rPr>
            </w:pPr>
            <w:r>
              <w:rPr>
                <w:rFonts w:ascii="Arial" w:cs="Arial" w:eastAsia="Arial" w:hAnsi="Arial"/>
                <w:sz w:val="16"/>
                <w:szCs w:val="16"/>
                <w:b w:val="1"/>
                <w:bCs w:val="1"/>
                <w:color w:val="1C90D3"/>
              </w:rPr>
              <w:t>STIP</w:t>
            </w:r>
          </w:p>
        </w:tc>
        <w:tc>
          <w:tcPr>
            <w:tcW w:w="1800" w:type="dxa"/>
            <w:vAlign w:val="bottom"/>
          </w:tcPr>
          <w:p>
            <w:pPr>
              <w:jc w:val="right"/>
              <w:ind w:right="139"/>
              <w:spacing w:after="0" w:line="171" w:lineRule="exact"/>
              <w:rPr>
                <w:sz w:val="20"/>
                <w:szCs w:val="20"/>
                <w:color w:val="auto"/>
              </w:rPr>
            </w:pPr>
            <w:r>
              <w:rPr>
                <w:rFonts w:ascii="Arial" w:cs="Arial" w:eastAsia="Arial" w:hAnsi="Arial"/>
                <w:sz w:val="16"/>
                <w:szCs w:val="16"/>
                <w:b w:val="1"/>
                <w:bCs w:val="1"/>
                <w:color w:val="1C90D3"/>
              </w:rPr>
              <w:t>Compensation</w:t>
            </w:r>
          </w:p>
        </w:tc>
        <w:tc>
          <w:tcPr>
            <w:tcW w:w="1580" w:type="dxa"/>
            <w:vAlign w:val="bottom"/>
          </w:tcPr>
          <w:p>
            <w:pPr>
              <w:jc w:val="right"/>
              <w:ind w:right="379"/>
              <w:spacing w:after="0" w:line="171" w:lineRule="exact"/>
              <w:rPr>
                <w:sz w:val="20"/>
                <w:szCs w:val="20"/>
                <w:color w:val="auto"/>
              </w:rPr>
            </w:pPr>
            <w:r>
              <w:rPr>
                <w:rFonts w:ascii="Arial" w:cs="Arial" w:eastAsia="Arial" w:hAnsi="Arial"/>
                <w:sz w:val="16"/>
                <w:szCs w:val="16"/>
                <w:b w:val="1"/>
                <w:bCs w:val="1"/>
                <w:color w:val="1C90D3"/>
              </w:rPr>
              <w:t>PSUs</w:t>
            </w:r>
          </w:p>
        </w:tc>
        <w:tc>
          <w:tcPr>
            <w:tcW w:w="880" w:type="dxa"/>
            <w:vAlign w:val="bottom"/>
          </w:tcPr>
          <w:p>
            <w:pPr>
              <w:jc w:val="right"/>
              <w:spacing w:after="0" w:line="171" w:lineRule="exact"/>
              <w:rPr>
                <w:sz w:val="20"/>
                <w:szCs w:val="20"/>
                <w:color w:val="auto"/>
              </w:rPr>
            </w:pPr>
            <w:r>
              <w:rPr>
                <w:rFonts w:ascii="Arial" w:cs="Arial" w:eastAsia="Arial" w:hAnsi="Arial"/>
                <w:sz w:val="16"/>
                <w:szCs w:val="16"/>
                <w:b w:val="1"/>
                <w:bCs w:val="1"/>
                <w:color w:val="1C90D3"/>
              </w:rPr>
              <w:t>RSUs</w:t>
            </w:r>
          </w:p>
        </w:tc>
        <w:tc>
          <w:tcPr>
            <w:tcW w:w="280" w:type="dxa"/>
            <w:vAlign w:val="bottom"/>
          </w:tcPr>
          <w:p>
            <w:pPr>
              <w:spacing w:after="0"/>
              <w:rPr>
                <w:sz w:val="14"/>
                <w:szCs w:val="14"/>
                <w:color w:val="auto"/>
              </w:rPr>
            </w:pPr>
          </w:p>
        </w:tc>
        <w:tc>
          <w:tcPr>
            <w:tcW w:w="1740" w:type="dxa"/>
            <w:vAlign w:val="bottom"/>
          </w:tcPr>
          <w:p>
            <w:pPr>
              <w:jc w:val="right"/>
              <w:spacing w:after="0" w:line="171" w:lineRule="exact"/>
              <w:rPr>
                <w:sz w:val="20"/>
                <w:szCs w:val="20"/>
                <w:color w:val="auto"/>
              </w:rPr>
            </w:pPr>
            <w:r>
              <w:rPr>
                <w:rFonts w:ascii="Arial" w:cs="Arial" w:eastAsia="Arial" w:hAnsi="Arial"/>
                <w:sz w:val="16"/>
                <w:szCs w:val="16"/>
                <w:b w:val="1"/>
                <w:bCs w:val="1"/>
                <w:color w:val="1C90D3"/>
              </w:rPr>
              <w:t>Compensation</w:t>
            </w:r>
          </w:p>
        </w:tc>
      </w:tr>
      <w:tr>
        <w:trPr>
          <w:trHeight w:val="241"/>
        </w:trPr>
        <w:tc>
          <w:tcPr>
            <w:tcW w:w="2160" w:type="dxa"/>
            <w:vAlign w:val="bottom"/>
            <w:tcBorders>
              <w:bottom w:val="single" w:sz="8" w:color="1C90D3"/>
            </w:tcBorders>
          </w:tcPr>
          <w:p>
            <w:pPr>
              <w:ind w:left="60"/>
              <w:spacing w:after="0"/>
              <w:rPr>
                <w:sz w:val="20"/>
                <w:szCs w:val="20"/>
                <w:color w:val="auto"/>
              </w:rPr>
            </w:pPr>
            <w:r>
              <w:rPr>
                <w:rFonts w:ascii="Arial" w:cs="Arial" w:eastAsia="Arial" w:hAnsi="Arial"/>
                <w:sz w:val="16"/>
                <w:szCs w:val="16"/>
                <w:b w:val="1"/>
                <w:bCs w:val="1"/>
                <w:color w:val="1C90D3"/>
              </w:rPr>
              <w:t>Name</w:t>
            </w:r>
          </w:p>
        </w:tc>
        <w:tc>
          <w:tcPr>
            <w:tcW w:w="1680" w:type="dxa"/>
            <w:vAlign w:val="bottom"/>
            <w:tcBorders>
              <w:bottom w:val="single" w:sz="8" w:color="1C90D3"/>
            </w:tcBorders>
          </w:tcPr>
          <w:p>
            <w:pPr>
              <w:jc w:val="right"/>
              <w:ind w:right="119"/>
              <w:spacing w:after="0"/>
              <w:rPr>
                <w:sz w:val="20"/>
                <w:szCs w:val="20"/>
                <w:color w:val="auto"/>
              </w:rPr>
            </w:pPr>
            <w:r>
              <w:rPr>
                <w:rFonts w:ascii="Arial" w:cs="Arial" w:eastAsia="Arial" w:hAnsi="Arial"/>
                <w:sz w:val="16"/>
                <w:szCs w:val="16"/>
                <w:b w:val="1"/>
                <w:bCs w:val="1"/>
                <w:color w:val="1C90D3"/>
              </w:rPr>
              <w:t>($)</w:t>
            </w:r>
          </w:p>
        </w:tc>
        <w:tc>
          <w:tcPr>
            <w:tcW w:w="1180" w:type="dxa"/>
            <w:vAlign w:val="bottom"/>
            <w:tcBorders>
              <w:bottom w:val="single" w:sz="8" w:color="1C90D3"/>
            </w:tcBorders>
          </w:tcPr>
          <w:p>
            <w:pPr>
              <w:jc w:val="right"/>
              <w:ind w:right="159"/>
              <w:spacing w:after="0"/>
              <w:rPr>
                <w:sz w:val="20"/>
                <w:szCs w:val="20"/>
                <w:color w:val="auto"/>
              </w:rPr>
            </w:pPr>
            <w:r>
              <w:rPr>
                <w:rFonts w:ascii="Arial" w:cs="Arial" w:eastAsia="Arial" w:hAnsi="Arial"/>
                <w:sz w:val="16"/>
                <w:szCs w:val="16"/>
                <w:b w:val="1"/>
                <w:bCs w:val="1"/>
                <w:color w:val="1C90D3"/>
              </w:rPr>
              <w:t>($)</w:t>
            </w:r>
          </w:p>
        </w:tc>
        <w:tc>
          <w:tcPr>
            <w:tcW w:w="1800" w:type="dxa"/>
            <w:vAlign w:val="bottom"/>
            <w:tcBorders>
              <w:bottom w:val="single" w:sz="8" w:color="1C90D3"/>
            </w:tcBorders>
          </w:tcPr>
          <w:p>
            <w:pPr>
              <w:jc w:val="right"/>
              <w:ind w:right="139"/>
              <w:spacing w:after="0"/>
              <w:rPr>
                <w:sz w:val="20"/>
                <w:szCs w:val="20"/>
                <w:color w:val="auto"/>
              </w:rPr>
            </w:pPr>
            <w:r>
              <w:rPr>
                <w:rFonts w:ascii="Arial" w:cs="Arial" w:eastAsia="Arial" w:hAnsi="Arial"/>
                <w:sz w:val="16"/>
                <w:szCs w:val="16"/>
                <w:b w:val="1"/>
                <w:bCs w:val="1"/>
                <w:color w:val="1C90D3"/>
              </w:rPr>
              <w:t>($)</w:t>
            </w:r>
          </w:p>
        </w:tc>
        <w:tc>
          <w:tcPr>
            <w:tcW w:w="1580" w:type="dxa"/>
            <w:vAlign w:val="bottom"/>
            <w:tcBorders>
              <w:bottom w:val="single" w:sz="8" w:color="1C90D3"/>
            </w:tcBorders>
          </w:tcPr>
          <w:p>
            <w:pPr>
              <w:jc w:val="right"/>
              <w:ind w:right="379"/>
              <w:spacing w:after="0"/>
              <w:rPr>
                <w:sz w:val="20"/>
                <w:szCs w:val="20"/>
                <w:color w:val="auto"/>
              </w:rPr>
            </w:pPr>
            <w:r>
              <w:rPr>
                <w:rFonts w:ascii="Arial" w:cs="Arial" w:eastAsia="Arial" w:hAnsi="Arial"/>
                <w:sz w:val="16"/>
                <w:szCs w:val="16"/>
                <w:b w:val="1"/>
                <w:bCs w:val="1"/>
                <w:color w:val="1C90D3"/>
              </w:rPr>
              <w:t>($)</w:t>
            </w:r>
          </w:p>
        </w:tc>
        <w:tc>
          <w:tcPr>
            <w:tcW w:w="1160" w:type="dxa"/>
            <w:vAlign w:val="bottom"/>
            <w:tcBorders>
              <w:bottom w:val="single" w:sz="8" w:color="1C90D3"/>
            </w:tcBorders>
            <w:gridSpan w:val="2"/>
          </w:tcPr>
          <w:p>
            <w:pPr>
              <w:jc w:val="right"/>
              <w:ind w:right="280"/>
              <w:spacing w:after="0"/>
              <w:rPr>
                <w:sz w:val="20"/>
                <w:szCs w:val="20"/>
                <w:color w:val="auto"/>
              </w:rPr>
            </w:pPr>
            <w:r>
              <w:rPr>
                <w:rFonts w:ascii="Arial" w:cs="Arial" w:eastAsia="Arial" w:hAnsi="Arial"/>
                <w:sz w:val="16"/>
                <w:szCs w:val="16"/>
                <w:b w:val="1"/>
                <w:bCs w:val="1"/>
                <w:color w:val="1C90D3"/>
              </w:rPr>
              <w:t>($)</w:t>
            </w:r>
          </w:p>
        </w:tc>
        <w:tc>
          <w:tcPr>
            <w:tcW w:w="1740" w:type="dxa"/>
            <w:vAlign w:val="bottom"/>
            <w:tcBorders>
              <w:bottom w:val="single" w:sz="8" w:color="1C90D3"/>
            </w:tcBorders>
          </w:tcPr>
          <w:p>
            <w:pPr>
              <w:jc w:val="right"/>
              <w:spacing w:after="0"/>
              <w:rPr>
                <w:sz w:val="20"/>
                <w:szCs w:val="20"/>
                <w:color w:val="auto"/>
              </w:rPr>
            </w:pPr>
            <w:r>
              <w:rPr>
                <w:rFonts w:ascii="Arial" w:cs="Arial" w:eastAsia="Arial" w:hAnsi="Arial"/>
                <w:sz w:val="16"/>
                <w:szCs w:val="16"/>
                <w:b w:val="1"/>
                <w:bCs w:val="1"/>
                <w:color w:val="1C90D3"/>
              </w:rPr>
              <w:t>($)</w:t>
            </w:r>
          </w:p>
        </w:tc>
      </w:tr>
      <w:tr>
        <w:trPr>
          <w:trHeight w:val="237"/>
        </w:trPr>
        <w:tc>
          <w:tcPr>
            <w:tcW w:w="216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Mary T. Barra</w:t>
            </w:r>
          </w:p>
        </w:tc>
        <w:tc>
          <w:tcPr>
            <w:tcW w:w="16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1,750,000</w:t>
            </w:r>
          </w:p>
        </w:tc>
        <w:tc>
          <w:tcPr>
            <w:tcW w:w="11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3,062,500</w:t>
            </w:r>
          </w:p>
        </w:tc>
        <w:tc>
          <w:tcPr>
            <w:tcW w:w="18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4,812,500</w:t>
            </w:r>
          </w:p>
        </w:tc>
        <w:tc>
          <w:tcPr>
            <w:tcW w:w="15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9,000,000</w:t>
            </w:r>
          </w:p>
        </w:tc>
        <w:tc>
          <w:tcPr>
            <w:tcW w:w="116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6"/>
                <w:szCs w:val="16"/>
                <w:color w:val="auto"/>
              </w:rPr>
              <w:t>3,000,000</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16,812,500</w:t>
            </w:r>
          </w:p>
        </w:tc>
      </w:tr>
      <w:tr>
        <w:trPr>
          <w:trHeight w:val="237"/>
        </w:trPr>
        <w:tc>
          <w:tcPr>
            <w:tcW w:w="216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Charles K. Stevens, III</w:t>
            </w:r>
          </w:p>
        </w:tc>
        <w:tc>
          <w:tcPr>
            <w:tcW w:w="16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1,000,000</w:t>
            </w:r>
          </w:p>
        </w:tc>
        <w:tc>
          <w:tcPr>
            <w:tcW w:w="11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1,250,000</w:t>
            </w:r>
          </w:p>
        </w:tc>
        <w:tc>
          <w:tcPr>
            <w:tcW w:w="18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2,250,000</w:t>
            </w:r>
          </w:p>
        </w:tc>
        <w:tc>
          <w:tcPr>
            <w:tcW w:w="15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2,156,250</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718,750</w:t>
            </w:r>
          </w:p>
        </w:tc>
        <w:tc>
          <w:tcPr>
            <w:tcW w:w="2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5,125,000</w:t>
            </w:r>
          </w:p>
        </w:tc>
      </w:tr>
      <w:tr>
        <w:trPr>
          <w:trHeight w:val="237"/>
        </w:trPr>
        <w:tc>
          <w:tcPr>
            <w:tcW w:w="216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Daniel Ammann</w:t>
            </w:r>
          </w:p>
        </w:tc>
        <w:tc>
          <w:tcPr>
            <w:tcW w:w="16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1,200,000</w:t>
            </w:r>
          </w:p>
        </w:tc>
        <w:tc>
          <w:tcPr>
            <w:tcW w:w="11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1,500,000</w:t>
            </w:r>
          </w:p>
        </w:tc>
        <w:tc>
          <w:tcPr>
            <w:tcW w:w="18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2,700,000</w:t>
            </w:r>
          </w:p>
        </w:tc>
        <w:tc>
          <w:tcPr>
            <w:tcW w:w="15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3, 375,000</w:t>
            </w:r>
          </w:p>
        </w:tc>
        <w:tc>
          <w:tcPr>
            <w:tcW w:w="116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6"/>
                <w:szCs w:val="16"/>
                <w:color w:val="auto"/>
              </w:rPr>
              <w:t>1,125,000</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7,200,000</w:t>
            </w:r>
          </w:p>
        </w:tc>
      </w:tr>
      <w:tr>
        <w:trPr>
          <w:trHeight w:val="237"/>
        </w:trPr>
        <w:tc>
          <w:tcPr>
            <w:tcW w:w="216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Mark L. Reuss</w:t>
            </w:r>
          </w:p>
        </w:tc>
        <w:tc>
          <w:tcPr>
            <w:tcW w:w="16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1,100,000</w:t>
            </w:r>
          </w:p>
        </w:tc>
        <w:tc>
          <w:tcPr>
            <w:tcW w:w="11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1,375,000</w:t>
            </w:r>
          </w:p>
        </w:tc>
        <w:tc>
          <w:tcPr>
            <w:tcW w:w="18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2,475,000</w:t>
            </w:r>
          </w:p>
        </w:tc>
        <w:tc>
          <w:tcPr>
            <w:tcW w:w="15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2,868,750</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956,250</w:t>
            </w:r>
          </w:p>
        </w:tc>
        <w:tc>
          <w:tcPr>
            <w:tcW w:w="2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6,300,000</w:t>
            </w:r>
          </w:p>
        </w:tc>
      </w:tr>
      <w:tr>
        <w:trPr>
          <w:trHeight w:val="250"/>
        </w:trPr>
        <w:tc>
          <w:tcPr>
            <w:tcW w:w="2160" w:type="dxa"/>
            <w:vAlign w:val="bottom"/>
            <w:tcBorders>
              <w:bottom w:val="single" w:sz="8" w:color="08228B"/>
            </w:tcBorders>
          </w:tcPr>
          <w:p>
            <w:pPr>
              <w:ind w:left="60"/>
              <w:spacing w:after="0"/>
              <w:rPr>
                <w:sz w:val="20"/>
                <w:szCs w:val="20"/>
                <w:color w:val="auto"/>
              </w:rPr>
            </w:pPr>
            <w:r>
              <w:rPr>
                <w:rFonts w:ascii="Arial" w:cs="Arial" w:eastAsia="Arial" w:hAnsi="Arial"/>
                <w:sz w:val="16"/>
                <w:szCs w:val="16"/>
                <w:color w:val="auto"/>
              </w:rPr>
              <w:t>Craig B. Glidden</w:t>
            </w:r>
          </w:p>
        </w:tc>
        <w:tc>
          <w:tcPr>
            <w:tcW w:w="1680" w:type="dxa"/>
            <w:vAlign w:val="bottom"/>
            <w:tcBorders>
              <w:bottom w:val="single" w:sz="8" w:color="08228B"/>
            </w:tcBorders>
          </w:tcPr>
          <w:p>
            <w:pPr>
              <w:jc w:val="right"/>
              <w:ind w:right="119"/>
              <w:spacing w:after="0"/>
              <w:rPr>
                <w:sz w:val="20"/>
                <w:szCs w:val="20"/>
                <w:color w:val="auto"/>
              </w:rPr>
            </w:pPr>
            <w:r>
              <w:rPr>
                <w:rFonts w:ascii="Arial" w:cs="Arial" w:eastAsia="Arial" w:hAnsi="Arial"/>
                <w:sz w:val="16"/>
                <w:szCs w:val="16"/>
                <w:color w:val="auto"/>
              </w:rPr>
              <w:t>700,000</w:t>
            </w:r>
          </w:p>
        </w:tc>
        <w:tc>
          <w:tcPr>
            <w:tcW w:w="1180" w:type="dxa"/>
            <w:vAlign w:val="bottom"/>
            <w:tcBorders>
              <w:bottom w:val="single" w:sz="8" w:color="08228B"/>
            </w:tcBorders>
          </w:tcPr>
          <w:p>
            <w:pPr>
              <w:jc w:val="right"/>
              <w:ind w:right="159"/>
              <w:spacing w:after="0"/>
              <w:rPr>
                <w:sz w:val="20"/>
                <w:szCs w:val="20"/>
                <w:color w:val="auto"/>
              </w:rPr>
            </w:pPr>
            <w:r>
              <w:rPr>
                <w:rFonts w:ascii="Arial" w:cs="Arial" w:eastAsia="Arial" w:hAnsi="Arial"/>
                <w:sz w:val="16"/>
                <w:szCs w:val="16"/>
                <w:color w:val="auto"/>
              </w:rPr>
              <w:t>875,000</w:t>
            </w:r>
          </w:p>
        </w:tc>
        <w:tc>
          <w:tcPr>
            <w:tcW w:w="1800" w:type="dxa"/>
            <w:vAlign w:val="bottom"/>
            <w:tcBorders>
              <w:bottom w:val="single" w:sz="8" w:color="08228B"/>
            </w:tcBorders>
          </w:tcPr>
          <w:p>
            <w:pPr>
              <w:jc w:val="right"/>
              <w:ind w:right="139"/>
              <w:spacing w:after="0"/>
              <w:rPr>
                <w:sz w:val="20"/>
                <w:szCs w:val="20"/>
                <w:color w:val="auto"/>
              </w:rPr>
            </w:pPr>
            <w:r>
              <w:rPr>
                <w:rFonts w:ascii="Arial" w:cs="Arial" w:eastAsia="Arial" w:hAnsi="Arial"/>
                <w:sz w:val="16"/>
                <w:szCs w:val="16"/>
                <w:b w:val="1"/>
                <w:bCs w:val="1"/>
                <w:color w:val="auto"/>
              </w:rPr>
              <w:t>1,575,000</w:t>
            </w:r>
          </w:p>
        </w:tc>
        <w:tc>
          <w:tcPr>
            <w:tcW w:w="1580" w:type="dxa"/>
            <w:vAlign w:val="bottom"/>
            <w:tcBorders>
              <w:bottom w:val="single" w:sz="8" w:color="08228B"/>
            </w:tcBorders>
          </w:tcPr>
          <w:p>
            <w:pPr>
              <w:jc w:val="right"/>
              <w:ind w:right="379"/>
              <w:spacing w:after="0"/>
              <w:rPr>
                <w:sz w:val="20"/>
                <w:szCs w:val="20"/>
                <w:color w:val="auto"/>
              </w:rPr>
            </w:pPr>
            <w:r>
              <w:rPr>
                <w:rFonts w:ascii="Arial" w:cs="Arial" w:eastAsia="Arial" w:hAnsi="Arial"/>
                <w:sz w:val="16"/>
                <w:szCs w:val="16"/>
                <w:color w:val="auto"/>
              </w:rPr>
              <w:t>1,443,750</w:t>
            </w:r>
          </w:p>
        </w:tc>
        <w:tc>
          <w:tcPr>
            <w:tcW w:w="880" w:type="dxa"/>
            <w:vAlign w:val="bottom"/>
            <w:tcBorders>
              <w:bottom w:val="single" w:sz="8" w:color="08228B"/>
            </w:tcBorders>
          </w:tcPr>
          <w:p>
            <w:pPr>
              <w:jc w:val="right"/>
              <w:spacing w:after="0"/>
              <w:rPr>
                <w:sz w:val="20"/>
                <w:szCs w:val="20"/>
                <w:color w:val="auto"/>
              </w:rPr>
            </w:pPr>
            <w:r>
              <w:rPr>
                <w:rFonts w:ascii="Arial" w:cs="Arial" w:eastAsia="Arial" w:hAnsi="Arial"/>
                <w:sz w:val="16"/>
                <w:szCs w:val="16"/>
                <w:color w:val="auto"/>
              </w:rPr>
              <w:t>481,250</w:t>
            </w:r>
          </w:p>
        </w:tc>
        <w:tc>
          <w:tcPr>
            <w:tcW w:w="280" w:type="dxa"/>
            <w:vAlign w:val="bottom"/>
            <w:tcBorders>
              <w:bottom w:val="single" w:sz="8" w:color="08228B"/>
            </w:tcBorders>
          </w:tcPr>
          <w:p>
            <w:pPr>
              <w:spacing w:after="0"/>
              <w:rPr>
                <w:sz w:val="21"/>
                <w:szCs w:val="21"/>
                <w:color w:val="auto"/>
              </w:rPr>
            </w:pPr>
          </w:p>
        </w:tc>
        <w:tc>
          <w:tcPr>
            <w:tcW w:w="1740" w:type="dxa"/>
            <w:vAlign w:val="bottom"/>
            <w:tcBorders>
              <w:bottom w:val="single" w:sz="8" w:color="08228B"/>
            </w:tcBorders>
          </w:tcPr>
          <w:p>
            <w:pPr>
              <w:jc w:val="right"/>
              <w:spacing w:after="0"/>
              <w:rPr>
                <w:sz w:val="20"/>
                <w:szCs w:val="20"/>
                <w:color w:val="auto"/>
              </w:rPr>
            </w:pPr>
            <w:r>
              <w:rPr>
                <w:rFonts w:ascii="Arial" w:cs="Arial" w:eastAsia="Arial" w:hAnsi="Arial"/>
                <w:sz w:val="16"/>
                <w:szCs w:val="16"/>
                <w:b w:val="1"/>
                <w:bCs w:val="1"/>
                <w:color w:val="auto"/>
              </w:rPr>
              <w:t>3,500,000</w:t>
            </w:r>
          </w:p>
        </w:tc>
      </w:tr>
    </w:tbl>
    <w:p>
      <w:pPr>
        <w:spacing w:after="0" w:line="312" w:lineRule="exact"/>
        <w:rPr>
          <w:sz w:val="20"/>
          <w:szCs w:val="20"/>
          <w:color w:val="auto"/>
        </w:rPr>
      </w:pPr>
    </w:p>
    <w:p>
      <w:pPr>
        <w:ind w:left="500" w:hanging="492"/>
        <w:spacing w:after="0"/>
        <w:tabs>
          <w:tab w:leader="none" w:pos="500" w:val="left"/>
        </w:tabs>
        <w:numPr>
          <w:ilvl w:val="0"/>
          <w:numId w:val="48"/>
        </w:numPr>
        <w:rPr>
          <w:rFonts w:ascii="Arial" w:cs="Arial" w:eastAsia="Arial" w:hAnsi="Arial"/>
          <w:sz w:val="25"/>
          <w:szCs w:val="25"/>
          <w:color w:val="08228B"/>
        </w:rPr>
      </w:pPr>
      <w:r>
        <w:rPr>
          <w:rFonts w:ascii="Arial" w:cs="Arial" w:eastAsia="Arial" w:hAnsi="Arial"/>
          <w:sz w:val="25"/>
          <w:szCs w:val="25"/>
          <w:color w:val="auto"/>
        </w:rPr>
        <w:t>CEO Realized Compensation</w:t>
      </w:r>
    </w:p>
    <w:p>
      <w:pPr>
        <w:spacing w:after="0" w:line="199"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Realized compensation provides a more accurate view of the compensation Ms. Barra actually received. The table to the right shows realized compensation for fiscal years 2013, 2014, and 2015. Realized compensation includes actual salary earned, actual STIP payments, and equity awards that vested during each year.</w:t>
      </w:r>
    </w:p>
    <w:p>
      <w:pPr>
        <w:spacing w:after="0" w:line="36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2015, Ms. Barra’s realized compensation was $7.3 million. For year-end 2013, Ms. Barra was Executive Vice President, Global Product Development, Purchasing and Supply Chain. On January 15, 2014, the Board of Directors elected Ms. Barra to the position of CEO. On January 4, 2016, Ms. Barra was elected to the additional role of Chairman of the Board of Directors.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REALIZED COMPENSATION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100330</wp:posOffset>
            </wp:positionV>
            <wp:extent cx="1724025" cy="195516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1724025" cy="1955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32"/>
          <w:szCs w:val="32"/>
          <w:color w:val="1C90D3"/>
        </w:rPr>
        <w:t>Performance Measures for 2015</w:t>
      </w:r>
    </w:p>
    <w:p>
      <w:pPr>
        <w:spacing w:after="0" w:line="319" w:lineRule="exact"/>
        <w:rPr>
          <w:sz w:val="20"/>
          <w:szCs w:val="20"/>
          <w:color w:val="auto"/>
        </w:rPr>
      </w:pPr>
    </w:p>
    <w:p>
      <w:pPr>
        <w:ind w:left="500" w:hanging="492"/>
        <w:spacing w:after="0"/>
        <w:tabs>
          <w:tab w:leader="none" w:pos="500" w:val="left"/>
        </w:tabs>
        <w:numPr>
          <w:ilvl w:val="0"/>
          <w:numId w:val="49"/>
        </w:numPr>
        <w:rPr>
          <w:rFonts w:ascii="Arial" w:cs="Arial" w:eastAsia="Arial" w:hAnsi="Arial"/>
          <w:sz w:val="25"/>
          <w:szCs w:val="25"/>
          <w:color w:val="08228B"/>
        </w:rPr>
      </w:pPr>
      <w:r>
        <w:rPr>
          <w:rFonts w:ascii="Arial" w:cs="Arial" w:eastAsia="Arial" w:hAnsi="Arial"/>
          <w:sz w:val="25"/>
          <w:szCs w:val="25"/>
          <w:color w:val="auto"/>
        </w:rPr>
        <w:t>How We Set Performance Targets</w:t>
      </w:r>
    </w:p>
    <w:p>
      <w:pPr>
        <w:spacing w:after="0" w:line="19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Annually, the Compensation Committee approves the performance measures for the STIP and LTIP. The Compensation Committee reviews recommendations from management, receives input from the Compensation Committee consultant, evaluates the annual budget and mid-term business plan, and reviews prior-year performance to set value-creating goals tied to long-term shareholder value.</w:t>
      </w:r>
    </w:p>
    <w:p>
      <w:pPr>
        <w:spacing w:after="0" w:line="296" w:lineRule="exact"/>
        <w:rPr>
          <w:sz w:val="20"/>
          <w:szCs w:val="20"/>
          <w:color w:val="auto"/>
        </w:rPr>
      </w:pPr>
    </w:p>
    <w:p>
      <w:pPr>
        <w:ind w:left="500" w:hanging="492"/>
        <w:spacing w:after="0"/>
        <w:tabs>
          <w:tab w:leader="none" w:pos="500" w:val="left"/>
        </w:tabs>
        <w:numPr>
          <w:ilvl w:val="0"/>
          <w:numId w:val="50"/>
        </w:numPr>
        <w:rPr>
          <w:rFonts w:ascii="Arial" w:cs="Arial" w:eastAsia="Arial" w:hAnsi="Arial"/>
          <w:sz w:val="25"/>
          <w:szCs w:val="25"/>
          <w:color w:val="08228B"/>
        </w:rPr>
      </w:pPr>
      <w:r>
        <w:rPr>
          <w:rFonts w:ascii="Arial" w:cs="Arial" w:eastAsia="Arial" w:hAnsi="Arial"/>
          <w:sz w:val="25"/>
          <w:szCs w:val="25"/>
          <w:color w:val="auto"/>
        </w:rPr>
        <w:t>2015 STIP Performance Measures for NEOs</w:t>
      </w:r>
    </w:p>
    <w:p>
      <w:pPr>
        <w:spacing w:after="0" w:line="19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STIP aligns with our plans to create the world’s most valued automotive company and increasing shareholder value. The STIP rewards NEOs for performance linked to the Company’s achievement of annual financial goals, operational performance goals, and individual performance. The STIP is an annual cash incentive award intended to be deductible under U.S. Internal Revenue Code (“IRC”) Section 162(m) and is funded for each covered NEO once the Company achieves the threshold of positive EBIT-Adjusted.</w:t>
      </w:r>
    </w:p>
    <w:p>
      <w:pPr>
        <w:spacing w:after="0" w:line="176"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The Compensation Committee annually reviews and approves the goals to assess the difficulty in level of achievement and overall linkage to shareholders through the achievement of the business plan and strategic objectives.</w:t>
      </w:r>
    </w:p>
    <w:p>
      <w:pPr>
        <w:spacing w:after="0" w:line="16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Actual STIP awards, if any, are determined following the completion of the plan year by adjusting each NEO’s target incentive award opportunity to reflect the achievement against the performance measures displayed below. Awards can be further adjusted following a final assessment of individual performance. The table below describes each STIP performance measure, its weighting, its target, and the behaviors each measure drives to make GM the world’s most valued automotive company:</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13"/>
        </w:trPr>
        <w:tc>
          <w:tcPr>
            <w:tcW w:w="4340" w:type="dxa"/>
            <w:vAlign w:val="bottom"/>
            <w:tcBorders>
              <w:bottom w:val="single" w:sz="8" w:color="08228B"/>
            </w:tcBorders>
          </w:tcPr>
          <w:p>
            <w:pPr>
              <w:spacing w:after="0"/>
              <w:rPr>
                <w:sz w:val="9"/>
                <w:szCs w:val="9"/>
                <w:color w:val="auto"/>
              </w:rPr>
            </w:pPr>
          </w:p>
        </w:tc>
        <w:tc>
          <w:tcPr>
            <w:tcW w:w="2060" w:type="dxa"/>
            <w:vAlign w:val="bottom"/>
            <w:vMerge w:val="restart"/>
          </w:tcPr>
          <w:p>
            <w:pPr>
              <w:ind w:left="60"/>
              <w:spacing w:after="0"/>
              <w:rPr>
                <w:sz w:val="20"/>
                <w:szCs w:val="20"/>
                <w:color w:val="auto"/>
              </w:rPr>
            </w:pPr>
            <w:r>
              <w:rPr>
                <w:rFonts w:ascii="Arial" w:cs="Arial" w:eastAsia="Arial" w:hAnsi="Arial"/>
                <w:sz w:val="16"/>
                <w:szCs w:val="16"/>
                <w:b w:val="1"/>
                <w:bCs w:val="1"/>
                <w:color w:val="1C90D3"/>
              </w:rPr>
              <w:t xml:space="preserve">2016 </w:t>
            </w:r>
            <w:r>
              <w:rPr>
                <w:rFonts w:ascii="Arial" w:cs="Arial" w:eastAsia="Arial" w:hAnsi="Arial"/>
                <w:sz w:val="16"/>
                <w:szCs w:val="16"/>
                <w:color w:val="08228B"/>
              </w:rPr>
              <w:t>PROXY STATEMENT</w:t>
            </w:r>
          </w:p>
        </w:tc>
        <w:tc>
          <w:tcPr>
            <w:tcW w:w="2400" w:type="dxa"/>
            <w:vAlign w:val="bottom"/>
            <w:tcBorders>
              <w:bottom w:val="single" w:sz="8" w:color="08228B"/>
            </w:tcBorders>
          </w:tcPr>
          <w:p>
            <w:pPr>
              <w:spacing w:after="0"/>
              <w:rPr>
                <w:sz w:val="9"/>
                <w:szCs w:val="9"/>
                <w:color w:val="auto"/>
              </w:rPr>
            </w:pPr>
          </w:p>
        </w:tc>
        <w:tc>
          <w:tcPr>
            <w:tcW w:w="2620" w:type="dxa"/>
            <w:vAlign w:val="bottom"/>
            <w:vMerge w:val="restart"/>
          </w:tcPr>
          <w:p>
            <w:pPr>
              <w:jc w:val="right"/>
              <w:ind w:right="39"/>
              <w:spacing w:after="0"/>
              <w:rPr>
                <w:sz w:val="20"/>
                <w:szCs w:val="20"/>
                <w:color w:val="auto"/>
              </w:rPr>
            </w:pPr>
            <w:r>
              <w:rPr>
                <w:rFonts w:ascii="Arial" w:cs="Arial" w:eastAsia="Arial" w:hAnsi="Arial"/>
                <w:sz w:val="16"/>
                <w:szCs w:val="16"/>
                <w:color w:val="08228B"/>
              </w:rPr>
              <w:t>42</w:t>
            </w:r>
          </w:p>
        </w:tc>
        <w:tc>
          <w:tcPr>
            <w:tcW w:w="0" w:type="dxa"/>
            <w:vAlign w:val="bottom"/>
          </w:tcPr>
          <w:p>
            <w:pPr>
              <w:spacing w:after="0"/>
              <w:rPr>
                <w:sz w:val="1"/>
                <w:szCs w:val="1"/>
                <w:color w:val="auto"/>
              </w:rPr>
            </w:pPr>
          </w:p>
        </w:tc>
      </w:tr>
      <w:tr>
        <w:trPr>
          <w:trHeight w:val="82"/>
        </w:trPr>
        <w:tc>
          <w:tcPr>
            <w:tcW w:w="4340" w:type="dxa"/>
            <w:vAlign w:val="bottom"/>
          </w:tcPr>
          <w:p>
            <w:pPr>
              <w:spacing w:after="0"/>
              <w:rPr>
                <w:sz w:val="7"/>
                <w:szCs w:val="7"/>
                <w:color w:val="auto"/>
              </w:rPr>
            </w:pPr>
          </w:p>
        </w:tc>
        <w:tc>
          <w:tcPr>
            <w:tcW w:w="2060" w:type="dxa"/>
            <w:vAlign w:val="bottom"/>
            <w:vMerge w:val="continue"/>
          </w:tcPr>
          <w:p>
            <w:pPr>
              <w:spacing w:after="0"/>
              <w:rPr>
                <w:sz w:val="7"/>
                <w:szCs w:val="7"/>
                <w:color w:val="auto"/>
              </w:rPr>
            </w:pPr>
          </w:p>
        </w:tc>
        <w:tc>
          <w:tcPr>
            <w:tcW w:w="2400" w:type="dxa"/>
            <w:vAlign w:val="bottom"/>
          </w:tcPr>
          <w:p>
            <w:pPr>
              <w:spacing w:after="0"/>
              <w:rPr>
                <w:sz w:val="7"/>
                <w:szCs w:val="7"/>
                <w:color w:val="auto"/>
              </w:rPr>
            </w:pPr>
          </w:p>
        </w:tc>
        <w:tc>
          <w:tcPr>
            <w:tcW w:w="2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7"/>
        </w:trPr>
        <w:tc>
          <w:tcPr>
            <w:tcW w:w="4340" w:type="dxa"/>
            <w:vAlign w:val="bottom"/>
            <w:tcBorders>
              <w:bottom w:val="single" w:sz="8" w:color="C0C0C0"/>
            </w:tcBorders>
          </w:tcPr>
          <w:p>
            <w:pPr>
              <w:spacing w:after="0"/>
              <w:rPr>
                <w:sz w:val="24"/>
                <w:szCs w:val="24"/>
                <w:color w:val="auto"/>
              </w:rPr>
            </w:pPr>
          </w:p>
        </w:tc>
        <w:tc>
          <w:tcPr>
            <w:tcW w:w="2060" w:type="dxa"/>
            <w:vAlign w:val="bottom"/>
            <w:tcBorders>
              <w:bottom w:val="single" w:sz="8" w:color="C0C0C0"/>
            </w:tcBorders>
          </w:tcPr>
          <w:p>
            <w:pPr>
              <w:spacing w:after="0"/>
              <w:rPr>
                <w:sz w:val="24"/>
                <w:szCs w:val="24"/>
                <w:color w:val="auto"/>
              </w:rPr>
            </w:pPr>
          </w:p>
        </w:tc>
        <w:tc>
          <w:tcPr>
            <w:tcW w:w="2400" w:type="dxa"/>
            <w:vAlign w:val="bottom"/>
            <w:tcBorders>
              <w:bottom w:val="single" w:sz="8" w:color="C0C0C0"/>
            </w:tcBorders>
          </w:tcPr>
          <w:p>
            <w:pPr>
              <w:spacing w:after="0"/>
              <w:rPr>
                <w:sz w:val="24"/>
                <w:szCs w:val="24"/>
                <w:color w:val="auto"/>
              </w:rPr>
            </w:pPr>
          </w:p>
        </w:tc>
        <w:tc>
          <w:tcPr>
            <w:tcW w:w="262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5613400</wp:posOffset>
            </wp:positionH>
            <wp:positionV relativeFrom="paragraph">
              <wp:posOffset>-334010</wp:posOffset>
            </wp:positionV>
            <wp:extent cx="1286510" cy="8572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1286510" cy="85725"/>
                    </a:xfrm>
                    <a:prstGeom prst="rect">
                      <a:avLst/>
                    </a:prstGeom>
                    <a:noFill/>
                  </pic:spPr>
                </pic:pic>
              </a:graphicData>
            </a:graphic>
          </wp:anchor>
        </w:drawing>
      </w:r>
    </w:p>
    <w:p>
      <w:pPr>
        <w:sectPr>
          <w:pgSz w:w="11900" w:h="16838" w:orient="portrait"/>
          <w:cols w:equalWidth="0" w:num="1">
            <w:col w:w="11420"/>
          </w:cols>
          <w:pgMar w:left="240" w:top="225" w:right="239" w:bottom="1008"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69150" cy="1714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200" w:type="dxa"/>
            <w:vAlign w:val="bottom"/>
            <w:tcBorders>
              <w:bottom w:val="single" w:sz="8" w:color="1C90D3"/>
            </w:tcBorders>
          </w:tcPr>
          <w:p>
            <w:pPr>
              <w:ind w:left="60"/>
              <w:spacing w:after="0"/>
              <w:rPr>
                <w:sz w:val="20"/>
                <w:szCs w:val="20"/>
                <w:color w:val="auto"/>
              </w:rPr>
            </w:pPr>
            <w:r>
              <w:rPr>
                <w:rFonts w:ascii="Arial" w:cs="Arial" w:eastAsia="Arial" w:hAnsi="Arial"/>
                <w:sz w:val="16"/>
                <w:szCs w:val="16"/>
                <w:b w:val="1"/>
                <w:bCs w:val="1"/>
                <w:color w:val="1C90D3"/>
              </w:rPr>
              <w:t>STIP Measure</w:t>
            </w:r>
          </w:p>
        </w:tc>
        <w:tc>
          <w:tcPr>
            <w:tcW w:w="1500" w:type="dxa"/>
            <w:vAlign w:val="bottom"/>
            <w:tcBorders>
              <w:bottom w:val="single" w:sz="8" w:color="1C90D3"/>
            </w:tcBorders>
          </w:tcPr>
          <w:p>
            <w:pPr>
              <w:jc w:val="center"/>
              <w:ind w:left="279"/>
              <w:spacing w:after="0"/>
              <w:rPr>
                <w:sz w:val="20"/>
                <w:szCs w:val="20"/>
                <w:color w:val="auto"/>
              </w:rPr>
            </w:pPr>
            <w:r>
              <w:rPr>
                <w:rFonts w:ascii="Arial" w:cs="Arial" w:eastAsia="Arial" w:hAnsi="Arial"/>
                <w:sz w:val="16"/>
                <w:szCs w:val="16"/>
                <w:b w:val="1"/>
                <w:bCs w:val="1"/>
                <w:color w:val="1C90D3"/>
              </w:rPr>
              <w:t>Weight</w:t>
            </w:r>
          </w:p>
        </w:tc>
        <w:tc>
          <w:tcPr>
            <w:tcW w:w="580" w:type="dxa"/>
            <w:vAlign w:val="bottom"/>
            <w:tcBorders>
              <w:bottom w:val="single" w:sz="8" w:color="1C90D3"/>
            </w:tcBorders>
          </w:tcPr>
          <w:p>
            <w:pPr>
              <w:spacing w:after="0"/>
              <w:rPr>
                <w:sz w:val="20"/>
                <w:szCs w:val="20"/>
                <w:color w:val="auto"/>
              </w:rPr>
            </w:pPr>
          </w:p>
        </w:tc>
        <w:tc>
          <w:tcPr>
            <w:tcW w:w="860" w:type="dxa"/>
            <w:vAlign w:val="bottom"/>
            <w:tcBorders>
              <w:bottom w:val="single" w:sz="8" w:color="1C90D3"/>
            </w:tcBorders>
          </w:tcPr>
          <w:p>
            <w:pPr>
              <w:jc w:val="right"/>
              <w:ind w:right="79"/>
              <w:spacing w:after="0"/>
              <w:rPr>
                <w:sz w:val="20"/>
                <w:szCs w:val="20"/>
                <w:color w:val="auto"/>
              </w:rPr>
            </w:pPr>
            <w:r>
              <w:rPr>
                <w:rFonts w:ascii="Arial" w:cs="Arial" w:eastAsia="Arial" w:hAnsi="Arial"/>
                <w:sz w:val="16"/>
                <w:szCs w:val="16"/>
                <w:b w:val="1"/>
                <w:bCs w:val="1"/>
                <w:color w:val="1C90D3"/>
              </w:rPr>
              <w:t>Target</w:t>
            </w:r>
          </w:p>
        </w:tc>
        <w:tc>
          <w:tcPr>
            <w:tcW w:w="6160" w:type="dxa"/>
            <w:vAlign w:val="bottom"/>
            <w:tcBorders>
              <w:bottom w:val="single" w:sz="8" w:color="1C90D3"/>
            </w:tcBorders>
          </w:tcPr>
          <w:p>
            <w:pPr>
              <w:ind w:left="180"/>
              <w:spacing w:after="0"/>
              <w:rPr>
                <w:sz w:val="20"/>
                <w:szCs w:val="20"/>
                <w:color w:val="auto"/>
              </w:rPr>
            </w:pPr>
            <w:r>
              <w:rPr>
                <w:rFonts w:ascii="Arial" w:cs="Arial" w:eastAsia="Arial" w:hAnsi="Arial"/>
                <w:sz w:val="16"/>
                <w:szCs w:val="16"/>
                <w:b w:val="1"/>
                <w:bCs w:val="1"/>
                <w:color w:val="1C90D3"/>
              </w:rPr>
              <w:t>Leadership Behaviors</w:t>
            </w:r>
          </w:p>
        </w:tc>
      </w:tr>
      <w:tr>
        <w:trPr>
          <w:trHeight w:val="237"/>
        </w:trPr>
        <w:tc>
          <w:tcPr>
            <w:tcW w:w="220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EBIT-Adjusted</w:t>
            </w:r>
          </w:p>
        </w:tc>
        <w:tc>
          <w:tcPr>
            <w:tcW w:w="1500" w:type="dxa"/>
            <w:vAlign w:val="bottom"/>
            <w:tcBorders>
              <w:bottom w:val="single" w:sz="8" w:color="auto"/>
            </w:tcBorders>
          </w:tcPr>
          <w:p>
            <w:pPr>
              <w:jc w:val="center"/>
              <w:ind w:left="299"/>
              <w:spacing w:after="0"/>
              <w:rPr>
                <w:sz w:val="20"/>
                <w:szCs w:val="20"/>
                <w:color w:val="auto"/>
              </w:rPr>
            </w:pPr>
            <w:r>
              <w:rPr>
                <w:rFonts w:ascii="Arial" w:cs="Arial" w:eastAsia="Arial" w:hAnsi="Arial"/>
                <w:sz w:val="16"/>
                <w:szCs w:val="16"/>
                <w:color w:val="auto"/>
                <w:w w:val="99"/>
              </w:rPr>
              <w:t>25%</w:t>
            </w:r>
          </w:p>
        </w:tc>
        <w:tc>
          <w:tcPr>
            <w:tcW w:w="5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10.3B</w:t>
            </w:r>
          </w:p>
        </w:tc>
        <w:tc>
          <w:tcPr>
            <w:tcW w:w="616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Focus on operating profit and driving strong profitability</w:t>
            </w:r>
          </w:p>
        </w:tc>
      </w:tr>
      <w:tr>
        <w:trPr>
          <w:trHeight w:val="284"/>
        </w:trPr>
        <w:tc>
          <w:tcPr>
            <w:tcW w:w="2200" w:type="dxa"/>
            <w:vAlign w:val="bottom"/>
            <w:tcBorders>
              <w:bottom w:val="single" w:sz="8" w:color="auto"/>
            </w:tcBorders>
          </w:tcPr>
          <w:p>
            <w:pPr>
              <w:ind w:left="60"/>
              <w:spacing w:after="0" w:line="284" w:lineRule="exact"/>
              <w:rPr>
                <w:sz w:val="20"/>
                <w:szCs w:val="20"/>
                <w:color w:val="auto"/>
              </w:rPr>
            </w:pPr>
            <w:r>
              <w:rPr>
                <w:rFonts w:ascii="Arial" w:cs="Arial" w:eastAsia="Arial" w:hAnsi="Arial"/>
                <w:sz w:val="16"/>
                <w:szCs w:val="16"/>
                <w:color w:val="auto"/>
              </w:rPr>
              <w:t>Adjusted AFCF</w:t>
            </w:r>
            <w:r>
              <w:rPr>
                <w:rFonts w:ascii="Arial" w:cs="Arial" w:eastAsia="Arial" w:hAnsi="Arial"/>
                <w:sz w:val="27"/>
                <w:szCs w:val="27"/>
                <w:color w:val="auto"/>
                <w:vertAlign w:val="superscript"/>
              </w:rPr>
              <w:t>(1)</w:t>
            </w:r>
          </w:p>
        </w:tc>
        <w:tc>
          <w:tcPr>
            <w:tcW w:w="1500" w:type="dxa"/>
            <w:vAlign w:val="bottom"/>
            <w:tcBorders>
              <w:bottom w:val="single" w:sz="8" w:color="auto"/>
            </w:tcBorders>
          </w:tcPr>
          <w:p>
            <w:pPr>
              <w:jc w:val="center"/>
              <w:ind w:left="299"/>
              <w:spacing w:after="0"/>
              <w:rPr>
                <w:sz w:val="20"/>
                <w:szCs w:val="20"/>
                <w:color w:val="auto"/>
              </w:rPr>
            </w:pPr>
            <w:r>
              <w:rPr>
                <w:rFonts w:ascii="Arial" w:cs="Arial" w:eastAsia="Arial" w:hAnsi="Arial"/>
                <w:sz w:val="16"/>
                <w:szCs w:val="16"/>
                <w:color w:val="auto"/>
                <w:w w:val="99"/>
              </w:rPr>
              <w:t>25%</w:t>
            </w:r>
          </w:p>
        </w:tc>
        <w:tc>
          <w:tcPr>
            <w:tcW w:w="5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3.8B</w:t>
            </w:r>
          </w:p>
        </w:tc>
        <w:tc>
          <w:tcPr>
            <w:tcW w:w="616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Focus on driving strong cash flow in the business</w:t>
            </w:r>
          </w:p>
        </w:tc>
      </w:tr>
      <w:tr>
        <w:trPr>
          <w:trHeight w:val="230"/>
        </w:trPr>
        <w:tc>
          <w:tcPr>
            <w:tcW w:w="220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Global Market Share</w:t>
            </w:r>
          </w:p>
        </w:tc>
        <w:tc>
          <w:tcPr>
            <w:tcW w:w="1500" w:type="dxa"/>
            <w:vAlign w:val="bottom"/>
            <w:tcBorders>
              <w:bottom w:val="single" w:sz="8" w:color="auto"/>
            </w:tcBorders>
          </w:tcPr>
          <w:p>
            <w:pPr>
              <w:jc w:val="center"/>
              <w:ind w:left="299"/>
              <w:spacing w:after="0"/>
              <w:rPr>
                <w:sz w:val="20"/>
                <w:szCs w:val="20"/>
                <w:color w:val="auto"/>
              </w:rPr>
            </w:pPr>
            <w:r>
              <w:rPr>
                <w:rFonts w:ascii="Arial" w:cs="Arial" w:eastAsia="Arial" w:hAnsi="Arial"/>
                <w:sz w:val="16"/>
                <w:szCs w:val="16"/>
                <w:color w:val="auto"/>
                <w:w w:val="99"/>
              </w:rPr>
              <w:t>25%</w:t>
            </w:r>
          </w:p>
        </w:tc>
        <w:tc>
          <w:tcPr>
            <w:tcW w:w="5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11.7%</w:t>
            </w:r>
          </w:p>
        </w:tc>
        <w:tc>
          <w:tcPr>
            <w:tcW w:w="616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Focus on continuing to grow in the global marketplace</w:t>
            </w:r>
          </w:p>
        </w:tc>
      </w:tr>
      <w:tr>
        <w:trPr>
          <w:trHeight w:val="250"/>
        </w:trPr>
        <w:tc>
          <w:tcPr>
            <w:tcW w:w="2200" w:type="dxa"/>
            <w:vAlign w:val="bottom"/>
            <w:tcBorders>
              <w:bottom w:val="single" w:sz="8" w:color="08228B"/>
            </w:tcBorders>
          </w:tcPr>
          <w:p>
            <w:pPr>
              <w:ind w:left="60"/>
              <w:spacing w:after="0"/>
              <w:rPr>
                <w:sz w:val="20"/>
                <w:szCs w:val="20"/>
                <w:color w:val="auto"/>
              </w:rPr>
            </w:pPr>
            <w:r>
              <w:rPr>
                <w:rFonts w:ascii="Arial" w:cs="Arial" w:eastAsia="Arial" w:hAnsi="Arial"/>
                <w:sz w:val="16"/>
                <w:szCs w:val="16"/>
                <w:color w:val="auto"/>
              </w:rPr>
              <w:t>Global Quality</w:t>
            </w:r>
          </w:p>
        </w:tc>
        <w:tc>
          <w:tcPr>
            <w:tcW w:w="1500" w:type="dxa"/>
            <w:vAlign w:val="bottom"/>
            <w:tcBorders>
              <w:bottom w:val="single" w:sz="8" w:color="08228B"/>
            </w:tcBorders>
          </w:tcPr>
          <w:p>
            <w:pPr>
              <w:jc w:val="center"/>
              <w:ind w:left="299"/>
              <w:spacing w:after="0"/>
              <w:rPr>
                <w:sz w:val="20"/>
                <w:szCs w:val="20"/>
                <w:color w:val="auto"/>
              </w:rPr>
            </w:pPr>
            <w:r>
              <w:rPr>
                <w:rFonts w:ascii="Arial" w:cs="Arial" w:eastAsia="Arial" w:hAnsi="Arial"/>
                <w:sz w:val="16"/>
                <w:szCs w:val="16"/>
                <w:color w:val="auto"/>
                <w:w w:val="99"/>
              </w:rPr>
              <w:t>25%</w:t>
            </w:r>
          </w:p>
        </w:tc>
        <w:tc>
          <w:tcPr>
            <w:tcW w:w="580" w:type="dxa"/>
            <w:vAlign w:val="bottom"/>
            <w:tcBorders>
              <w:bottom w:val="single" w:sz="8" w:color="08228B"/>
            </w:tcBorders>
          </w:tcPr>
          <w:p>
            <w:pPr>
              <w:spacing w:after="0"/>
              <w:rPr>
                <w:sz w:val="21"/>
                <w:szCs w:val="21"/>
                <w:color w:val="auto"/>
              </w:rPr>
            </w:pPr>
          </w:p>
        </w:tc>
        <w:tc>
          <w:tcPr>
            <w:tcW w:w="860" w:type="dxa"/>
            <w:vAlign w:val="bottom"/>
            <w:tcBorders>
              <w:bottom w:val="single" w:sz="8" w:color="08228B"/>
            </w:tcBorders>
          </w:tcPr>
          <w:p>
            <w:pPr>
              <w:jc w:val="right"/>
              <w:ind w:right="79"/>
              <w:spacing w:after="0"/>
              <w:rPr>
                <w:sz w:val="20"/>
                <w:szCs w:val="20"/>
                <w:color w:val="auto"/>
              </w:rPr>
            </w:pPr>
            <w:r>
              <w:rPr>
                <w:rFonts w:ascii="Arial" w:cs="Arial" w:eastAsia="Arial" w:hAnsi="Arial"/>
                <w:sz w:val="16"/>
                <w:szCs w:val="16"/>
                <w:color w:val="auto"/>
              </w:rPr>
              <w:t>(2)</w:t>
            </w:r>
          </w:p>
        </w:tc>
        <w:tc>
          <w:tcPr>
            <w:tcW w:w="6160" w:type="dxa"/>
            <w:vAlign w:val="bottom"/>
            <w:tcBorders>
              <w:bottom w:val="single" w:sz="8" w:color="08228B"/>
            </w:tcBorders>
          </w:tcPr>
          <w:p>
            <w:pPr>
              <w:ind w:left="180"/>
              <w:spacing w:after="0"/>
              <w:rPr>
                <w:sz w:val="20"/>
                <w:szCs w:val="20"/>
                <w:color w:val="auto"/>
              </w:rPr>
            </w:pPr>
            <w:r>
              <w:rPr>
                <w:rFonts w:ascii="Arial" w:cs="Arial" w:eastAsia="Arial" w:hAnsi="Arial"/>
                <w:sz w:val="16"/>
                <w:szCs w:val="16"/>
                <w:color w:val="auto"/>
              </w:rPr>
              <w:t>Focus on developing and marketing the highest-quality products</w:t>
            </w:r>
          </w:p>
        </w:tc>
      </w:tr>
    </w:tbl>
    <w:p>
      <w:pPr>
        <w:spacing w:after="0" w:line="58" w:lineRule="exact"/>
        <w:rPr>
          <w:sz w:val="20"/>
          <w:szCs w:val="20"/>
          <w:color w:val="auto"/>
        </w:rPr>
      </w:pPr>
    </w:p>
    <w:p>
      <w:pPr>
        <w:ind w:left="340" w:hanging="332"/>
        <w:spacing w:after="0"/>
        <w:tabs>
          <w:tab w:leader="none" w:pos="340" w:val="left"/>
        </w:tabs>
        <w:numPr>
          <w:ilvl w:val="0"/>
          <w:numId w:val="51"/>
        </w:numPr>
        <w:rPr>
          <w:rFonts w:ascii="Arial" w:cs="Arial" w:eastAsia="Arial" w:hAnsi="Arial"/>
          <w:sz w:val="14"/>
          <w:szCs w:val="14"/>
          <w:i w:val="1"/>
          <w:iCs w:val="1"/>
          <w:color w:val="auto"/>
        </w:rPr>
      </w:pPr>
      <w:r>
        <w:rPr>
          <w:rFonts w:ascii="Arial" w:cs="Arial" w:eastAsia="Arial" w:hAnsi="Arial"/>
          <w:sz w:val="14"/>
          <w:szCs w:val="14"/>
          <w:i w:val="1"/>
          <w:iCs w:val="1"/>
          <w:color w:val="auto"/>
        </w:rPr>
        <w:t>Adjusted AFCF for incentive purposes excludes payments related to certain recall-related expenses attributable to 2014.</w:t>
      </w:r>
    </w:p>
    <w:p>
      <w:pPr>
        <w:spacing w:after="0" w:line="68" w:lineRule="exact"/>
        <w:rPr>
          <w:rFonts w:ascii="Arial" w:cs="Arial" w:eastAsia="Arial" w:hAnsi="Arial"/>
          <w:sz w:val="14"/>
          <w:szCs w:val="14"/>
          <w:i w:val="1"/>
          <w:iCs w:val="1"/>
          <w:color w:val="auto"/>
        </w:rPr>
      </w:pPr>
    </w:p>
    <w:p>
      <w:pPr>
        <w:ind w:left="340" w:right="120" w:hanging="332"/>
        <w:spacing w:after="0" w:line="279" w:lineRule="auto"/>
        <w:tabs>
          <w:tab w:leader="none" w:pos="340" w:val="left"/>
        </w:tabs>
        <w:numPr>
          <w:ilvl w:val="0"/>
          <w:numId w:val="51"/>
        </w:numPr>
        <w:rPr>
          <w:rFonts w:ascii="Arial" w:cs="Arial" w:eastAsia="Arial" w:hAnsi="Arial"/>
          <w:sz w:val="14"/>
          <w:szCs w:val="14"/>
          <w:i w:val="1"/>
          <w:iCs w:val="1"/>
          <w:color w:val="auto"/>
        </w:rPr>
      </w:pPr>
      <w:r>
        <w:rPr>
          <w:rFonts w:ascii="Arial" w:cs="Arial" w:eastAsia="Arial" w:hAnsi="Arial"/>
          <w:sz w:val="14"/>
          <w:szCs w:val="14"/>
          <w:i w:val="1"/>
          <w:iCs w:val="1"/>
          <w:color w:val="auto"/>
        </w:rPr>
        <w:t>Global Quality is based on performance against the following measures: Loyalty (10% Weight), 12 Months-In-Service Warranty Frequency (10% Weight), and Policy &amp; Warranty Expense (5% Weight).</w:t>
      </w:r>
    </w:p>
    <w:p>
      <w:pPr>
        <w:spacing w:after="0" w:line="123"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The potential payouts for each performance measure range from 0 to 200 percent of target, based on actual Company performance with the threshold performance level being 50 percent of each STIP measure. The STIP calculation and the STIP targets for the 2015 performance period for each NEO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1361440</wp:posOffset>
            </wp:positionV>
            <wp:extent cx="7169150" cy="1714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169150" cy="17145"/>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109855</wp:posOffset>
            </wp:positionV>
            <wp:extent cx="5797550" cy="113220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5797550" cy="1132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96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620" w:type="dxa"/>
            <w:vAlign w:val="bottom"/>
          </w:tcPr>
          <w:p>
            <w:pPr>
              <w:jc w:val="right"/>
              <w:ind w:right="99"/>
              <w:spacing w:after="0"/>
              <w:rPr>
                <w:sz w:val="20"/>
                <w:szCs w:val="20"/>
                <w:color w:val="auto"/>
              </w:rPr>
            </w:pPr>
            <w:r>
              <w:rPr>
                <w:rFonts w:ascii="Arial" w:cs="Arial" w:eastAsia="Arial" w:hAnsi="Arial"/>
                <w:sz w:val="16"/>
                <w:szCs w:val="16"/>
                <w:b w:val="1"/>
                <w:bCs w:val="1"/>
                <w:color w:val="1C90D3"/>
              </w:rPr>
              <w:t>Target as % of</w:t>
            </w:r>
          </w:p>
        </w:tc>
        <w:tc>
          <w:tcPr>
            <w:tcW w:w="4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41"/>
        </w:trPr>
        <w:tc>
          <w:tcPr>
            <w:tcW w:w="3960" w:type="dxa"/>
            <w:vAlign w:val="bottom"/>
            <w:tcBorders>
              <w:bottom w:val="single" w:sz="8" w:color="1C90D3"/>
            </w:tcBorders>
          </w:tcPr>
          <w:p>
            <w:pPr>
              <w:ind w:left="60"/>
              <w:spacing w:after="0"/>
              <w:rPr>
                <w:sz w:val="20"/>
                <w:szCs w:val="20"/>
                <w:color w:val="auto"/>
              </w:rPr>
            </w:pPr>
            <w:r>
              <w:rPr>
                <w:rFonts w:ascii="Arial" w:cs="Arial" w:eastAsia="Arial" w:hAnsi="Arial"/>
                <w:sz w:val="16"/>
                <w:szCs w:val="16"/>
                <w:b w:val="1"/>
                <w:bCs w:val="1"/>
                <w:color w:val="1C90D3"/>
              </w:rPr>
              <w:t>Name</w:t>
            </w:r>
          </w:p>
        </w:tc>
        <w:tc>
          <w:tcPr>
            <w:tcW w:w="2600" w:type="dxa"/>
            <w:vAlign w:val="bottom"/>
            <w:tcBorders>
              <w:bottom w:val="single" w:sz="8" w:color="1C90D3"/>
            </w:tcBorders>
          </w:tcPr>
          <w:p>
            <w:pPr>
              <w:spacing w:after="0"/>
              <w:rPr>
                <w:sz w:val="20"/>
                <w:szCs w:val="20"/>
                <w:color w:val="auto"/>
              </w:rPr>
            </w:pPr>
          </w:p>
        </w:tc>
        <w:tc>
          <w:tcPr>
            <w:tcW w:w="1500" w:type="dxa"/>
            <w:vAlign w:val="bottom"/>
            <w:tcBorders>
              <w:bottom w:val="single" w:sz="8" w:color="1C90D3"/>
            </w:tcBorders>
          </w:tcPr>
          <w:p>
            <w:pPr>
              <w:jc w:val="right"/>
              <w:ind w:right="279"/>
              <w:spacing w:after="0"/>
              <w:rPr>
                <w:sz w:val="20"/>
                <w:szCs w:val="20"/>
                <w:color w:val="auto"/>
              </w:rPr>
            </w:pPr>
            <w:r>
              <w:rPr>
                <w:rFonts w:ascii="Arial" w:cs="Arial" w:eastAsia="Arial" w:hAnsi="Arial"/>
                <w:sz w:val="16"/>
                <w:szCs w:val="16"/>
                <w:b w:val="1"/>
                <w:bCs w:val="1"/>
                <w:color w:val="1C90D3"/>
              </w:rPr>
              <w:t>Base Salary</w:t>
            </w:r>
          </w:p>
        </w:tc>
        <w:tc>
          <w:tcPr>
            <w:tcW w:w="1620" w:type="dxa"/>
            <w:vAlign w:val="bottom"/>
            <w:tcBorders>
              <w:bottom w:val="single" w:sz="8" w:color="1C90D3"/>
            </w:tcBorders>
          </w:tcPr>
          <w:p>
            <w:pPr>
              <w:jc w:val="right"/>
              <w:ind w:right="99"/>
              <w:spacing w:after="0"/>
              <w:rPr>
                <w:sz w:val="20"/>
                <w:szCs w:val="20"/>
                <w:color w:val="auto"/>
              </w:rPr>
            </w:pPr>
            <w:r>
              <w:rPr>
                <w:rFonts w:ascii="Arial" w:cs="Arial" w:eastAsia="Arial" w:hAnsi="Arial"/>
                <w:sz w:val="16"/>
                <w:szCs w:val="16"/>
                <w:b w:val="1"/>
                <w:bCs w:val="1"/>
                <w:color w:val="1C90D3"/>
              </w:rPr>
              <w:t>Salary</w:t>
            </w:r>
          </w:p>
        </w:tc>
        <w:tc>
          <w:tcPr>
            <w:tcW w:w="460" w:type="dxa"/>
            <w:vAlign w:val="bottom"/>
            <w:tcBorders>
              <w:bottom w:val="single" w:sz="8" w:color="1C90D3"/>
            </w:tcBorders>
          </w:tcPr>
          <w:p>
            <w:pPr>
              <w:spacing w:after="0"/>
              <w:rPr>
                <w:sz w:val="20"/>
                <w:szCs w:val="20"/>
                <w:color w:val="auto"/>
              </w:rPr>
            </w:pPr>
          </w:p>
        </w:tc>
        <w:tc>
          <w:tcPr>
            <w:tcW w:w="1160" w:type="dxa"/>
            <w:vAlign w:val="bottom"/>
            <w:tcBorders>
              <w:bottom w:val="single" w:sz="8" w:color="1C90D3"/>
            </w:tcBorders>
          </w:tcPr>
          <w:p>
            <w:pPr>
              <w:jc w:val="right"/>
              <w:spacing w:after="0"/>
              <w:rPr>
                <w:sz w:val="20"/>
                <w:szCs w:val="20"/>
                <w:color w:val="auto"/>
              </w:rPr>
            </w:pPr>
            <w:r>
              <w:rPr>
                <w:rFonts w:ascii="Arial" w:cs="Arial" w:eastAsia="Arial" w:hAnsi="Arial"/>
                <w:sz w:val="16"/>
                <w:szCs w:val="16"/>
                <w:b w:val="1"/>
                <w:bCs w:val="1"/>
                <w:color w:val="1C90D3"/>
              </w:rPr>
              <w:t>Target STIP</w:t>
            </w:r>
          </w:p>
        </w:tc>
      </w:tr>
      <w:tr>
        <w:trPr>
          <w:trHeight w:val="237"/>
        </w:trPr>
        <w:tc>
          <w:tcPr>
            <w:tcW w:w="396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Mary T. Barra</w:t>
            </w:r>
          </w:p>
        </w:tc>
        <w:tc>
          <w:tcPr>
            <w:tcW w:w="26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1,750,000</w:t>
            </w:r>
          </w:p>
        </w:tc>
        <w:tc>
          <w:tcPr>
            <w:tcW w:w="16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175%</w:t>
            </w:r>
          </w:p>
        </w:tc>
        <w:tc>
          <w:tcPr>
            <w:tcW w:w="4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3,062,500</w:t>
            </w:r>
          </w:p>
        </w:tc>
      </w:tr>
      <w:tr>
        <w:trPr>
          <w:trHeight w:val="237"/>
        </w:trPr>
        <w:tc>
          <w:tcPr>
            <w:tcW w:w="396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Charles K. Stevens, III</w:t>
            </w:r>
          </w:p>
        </w:tc>
        <w:tc>
          <w:tcPr>
            <w:tcW w:w="26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1,000,000</w:t>
            </w:r>
          </w:p>
        </w:tc>
        <w:tc>
          <w:tcPr>
            <w:tcW w:w="16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125%</w:t>
            </w:r>
          </w:p>
        </w:tc>
        <w:tc>
          <w:tcPr>
            <w:tcW w:w="4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1,250,000</w:t>
            </w:r>
          </w:p>
        </w:tc>
      </w:tr>
      <w:tr>
        <w:trPr>
          <w:trHeight w:val="237"/>
        </w:trPr>
        <w:tc>
          <w:tcPr>
            <w:tcW w:w="396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Daniel Ammann</w:t>
            </w:r>
          </w:p>
        </w:tc>
        <w:tc>
          <w:tcPr>
            <w:tcW w:w="26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1,200,000</w:t>
            </w:r>
          </w:p>
        </w:tc>
        <w:tc>
          <w:tcPr>
            <w:tcW w:w="16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125%</w:t>
            </w:r>
          </w:p>
        </w:tc>
        <w:tc>
          <w:tcPr>
            <w:tcW w:w="4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1,500,000</w:t>
            </w:r>
          </w:p>
        </w:tc>
      </w:tr>
      <w:tr>
        <w:trPr>
          <w:trHeight w:val="237"/>
        </w:trPr>
        <w:tc>
          <w:tcPr>
            <w:tcW w:w="396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Mark L. Reuss</w:t>
            </w:r>
          </w:p>
        </w:tc>
        <w:tc>
          <w:tcPr>
            <w:tcW w:w="26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1,100,000</w:t>
            </w:r>
          </w:p>
        </w:tc>
        <w:tc>
          <w:tcPr>
            <w:tcW w:w="16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125%</w:t>
            </w:r>
          </w:p>
        </w:tc>
        <w:tc>
          <w:tcPr>
            <w:tcW w:w="4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1,375,000</w:t>
            </w:r>
          </w:p>
        </w:tc>
      </w:tr>
      <w:tr>
        <w:trPr>
          <w:trHeight w:val="250"/>
        </w:trPr>
        <w:tc>
          <w:tcPr>
            <w:tcW w:w="3960" w:type="dxa"/>
            <w:vAlign w:val="bottom"/>
            <w:tcBorders>
              <w:bottom w:val="single" w:sz="8" w:color="08228B"/>
            </w:tcBorders>
          </w:tcPr>
          <w:p>
            <w:pPr>
              <w:ind w:left="60"/>
              <w:spacing w:after="0"/>
              <w:rPr>
                <w:sz w:val="20"/>
                <w:szCs w:val="20"/>
                <w:color w:val="auto"/>
              </w:rPr>
            </w:pPr>
            <w:r>
              <w:rPr>
                <w:rFonts w:ascii="Arial" w:cs="Arial" w:eastAsia="Arial" w:hAnsi="Arial"/>
                <w:sz w:val="16"/>
                <w:szCs w:val="16"/>
                <w:color w:val="auto"/>
              </w:rPr>
              <w:t>Craig B. Glidden</w:t>
            </w:r>
          </w:p>
        </w:tc>
        <w:tc>
          <w:tcPr>
            <w:tcW w:w="2600" w:type="dxa"/>
            <w:vAlign w:val="bottom"/>
            <w:tcBorders>
              <w:bottom w:val="single" w:sz="8" w:color="08228B"/>
            </w:tcBorders>
          </w:tcPr>
          <w:p>
            <w:pPr>
              <w:jc w:val="right"/>
              <w:ind w:right="15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08228B"/>
            </w:tcBorders>
          </w:tcPr>
          <w:p>
            <w:pPr>
              <w:jc w:val="right"/>
              <w:ind w:right="279"/>
              <w:spacing w:after="0"/>
              <w:rPr>
                <w:sz w:val="20"/>
                <w:szCs w:val="20"/>
                <w:color w:val="auto"/>
              </w:rPr>
            </w:pPr>
            <w:r>
              <w:rPr>
                <w:rFonts w:ascii="Arial" w:cs="Arial" w:eastAsia="Arial" w:hAnsi="Arial"/>
                <w:sz w:val="16"/>
                <w:szCs w:val="16"/>
                <w:color w:val="auto"/>
              </w:rPr>
              <w:t>700,000</w:t>
            </w:r>
          </w:p>
        </w:tc>
        <w:tc>
          <w:tcPr>
            <w:tcW w:w="1620" w:type="dxa"/>
            <w:vAlign w:val="bottom"/>
            <w:tcBorders>
              <w:bottom w:val="single" w:sz="8" w:color="08228B"/>
            </w:tcBorders>
          </w:tcPr>
          <w:p>
            <w:pPr>
              <w:jc w:val="right"/>
              <w:ind w:right="99"/>
              <w:spacing w:after="0"/>
              <w:rPr>
                <w:sz w:val="20"/>
                <w:szCs w:val="20"/>
                <w:color w:val="auto"/>
              </w:rPr>
            </w:pPr>
            <w:r>
              <w:rPr>
                <w:rFonts w:ascii="Arial" w:cs="Arial" w:eastAsia="Arial" w:hAnsi="Arial"/>
                <w:sz w:val="16"/>
                <w:szCs w:val="16"/>
                <w:color w:val="auto"/>
              </w:rPr>
              <w:t>125%</w:t>
            </w:r>
          </w:p>
        </w:tc>
        <w:tc>
          <w:tcPr>
            <w:tcW w:w="460" w:type="dxa"/>
            <w:vAlign w:val="bottom"/>
            <w:tcBorders>
              <w:bottom w:val="single" w:sz="8" w:color="08228B"/>
            </w:tcBorders>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08228B"/>
            </w:tcBorders>
          </w:tcPr>
          <w:p>
            <w:pPr>
              <w:jc w:val="right"/>
              <w:spacing w:after="0"/>
              <w:rPr>
                <w:sz w:val="20"/>
                <w:szCs w:val="20"/>
                <w:color w:val="auto"/>
              </w:rPr>
            </w:pPr>
            <w:r>
              <w:rPr>
                <w:rFonts w:ascii="Arial" w:cs="Arial" w:eastAsia="Arial" w:hAnsi="Arial"/>
                <w:sz w:val="16"/>
                <w:szCs w:val="16"/>
                <w:color w:val="auto"/>
              </w:rPr>
              <w:t>875,000</w:t>
            </w:r>
          </w:p>
        </w:tc>
      </w:tr>
    </w:tbl>
    <w:p>
      <w:pPr>
        <w:spacing w:after="0" w:line="312" w:lineRule="exact"/>
        <w:rPr>
          <w:sz w:val="20"/>
          <w:szCs w:val="20"/>
          <w:color w:val="auto"/>
        </w:rPr>
      </w:pPr>
    </w:p>
    <w:p>
      <w:pPr>
        <w:ind w:left="500" w:hanging="492"/>
        <w:spacing w:after="0"/>
        <w:tabs>
          <w:tab w:leader="none" w:pos="500" w:val="left"/>
        </w:tabs>
        <w:numPr>
          <w:ilvl w:val="0"/>
          <w:numId w:val="52"/>
        </w:numPr>
        <w:rPr>
          <w:rFonts w:ascii="Arial" w:cs="Arial" w:eastAsia="Arial" w:hAnsi="Arial"/>
          <w:sz w:val="25"/>
          <w:szCs w:val="25"/>
          <w:color w:val="08228B"/>
        </w:rPr>
      </w:pPr>
      <w:r>
        <w:rPr>
          <w:rFonts w:ascii="Arial" w:cs="Arial" w:eastAsia="Arial" w:hAnsi="Arial"/>
          <w:sz w:val="25"/>
          <w:szCs w:val="25"/>
          <w:color w:val="auto"/>
        </w:rPr>
        <w:t>2015–2017 LTIP Performance Measures for NEOs</w:t>
      </w:r>
    </w:p>
    <w:p>
      <w:pPr>
        <w:spacing w:after="0" w:line="19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Grants under the LTIP are intended to link the financial interests of NEOs with the long-term interests of shareholders. The structure for NEOs included 75 percent PSUs and 25 percent RSUs. PSUs cliff-vest following the three-year performance period, and RSUs vest ratably over three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1986280</wp:posOffset>
            </wp:positionH>
            <wp:positionV relativeFrom="paragraph">
              <wp:posOffset>106045</wp:posOffset>
            </wp:positionV>
            <wp:extent cx="3249930" cy="162941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3249930" cy="1629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2015–2017 PSUs are awarded based on performance against the following Company measures: ROIC and Global Market Share over the three-year performance period. The PSU performance measures were chosen to promote both efficient use of capital and long-term growth to create value for the shareholders. The following table shows the PSU performance measures and the leadership behaviors that each drives to make GM the world’s most valued automotive company:</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13"/>
        </w:trPr>
        <w:tc>
          <w:tcPr>
            <w:tcW w:w="4340" w:type="dxa"/>
            <w:vAlign w:val="bottom"/>
            <w:tcBorders>
              <w:bottom w:val="single" w:sz="8" w:color="08228B"/>
            </w:tcBorders>
          </w:tcPr>
          <w:p>
            <w:pPr>
              <w:spacing w:after="0"/>
              <w:rPr>
                <w:sz w:val="9"/>
                <w:szCs w:val="9"/>
                <w:color w:val="auto"/>
              </w:rPr>
            </w:pPr>
          </w:p>
        </w:tc>
        <w:tc>
          <w:tcPr>
            <w:tcW w:w="2060" w:type="dxa"/>
            <w:vAlign w:val="bottom"/>
            <w:vMerge w:val="restart"/>
          </w:tcPr>
          <w:p>
            <w:pPr>
              <w:ind w:left="60"/>
              <w:spacing w:after="0"/>
              <w:rPr>
                <w:sz w:val="20"/>
                <w:szCs w:val="20"/>
                <w:color w:val="auto"/>
              </w:rPr>
            </w:pPr>
            <w:r>
              <w:rPr>
                <w:rFonts w:ascii="Arial" w:cs="Arial" w:eastAsia="Arial" w:hAnsi="Arial"/>
                <w:sz w:val="16"/>
                <w:szCs w:val="16"/>
                <w:b w:val="1"/>
                <w:bCs w:val="1"/>
                <w:color w:val="1C90D3"/>
              </w:rPr>
              <w:t xml:space="preserve">2016 </w:t>
            </w:r>
            <w:r>
              <w:rPr>
                <w:rFonts w:ascii="Arial" w:cs="Arial" w:eastAsia="Arial" w:hAnsi="Arial"/>
                <w:sz w:val="16"/>
                <w:szCs w:val="16"/>
                <w:color w:val="08228B"/>
              </w:rPr>
              <w:t>PROXY STATEMENT</w:t>
            </w:r>
          </w:p>
        </w:tc>
        <w:tc>
          <w:tcPr>
            <w:tcW w:w="2400" w:type="dxa"/>
            <w:vAlign w:val="bottom"/>
            <w:tcBorders>
              <w:bottom w:val="single" w:sz="8" w:color="08228B"/>
            </w:tcBorders>
          </w:tcPr>
          <w:p>
            <w:pPr>
              <w:spacing w:after="0"/>
              <w:rPr>
                <w:sz w:val="9"/>
                <w:szCs w:val="9"/>
                <w:color w:val="auto"/>
              </w:rPr>
            </w:pPr>
          </w:p>
        </w:tc>
        <w:tc>
          <w:tcPr>
            <w:tcW w:w="2620" w:type="dxa"/>
            <w:vAlign w:val="bottom"/>
            <w:vMerge w:val="restart"/>
          </w:tcPr>
          <w:p>
            <w:pPr>
              <w:jc w:val="right"/>
              <w:ind w:right="39"/>
              <w:spacing w:after="0"/>
              <w:rPr>
                <w:sz w:val="20"/>
                <w:szCs w:val="20"/>
                <w:color w:val="auto"/>
              </w:rPr>
            </w:pPr>
            <w:r>
              <w:rPr>
                <w:rFonts w:ascii="Arial" w:cs="Arial" w:eastAsia="Arial" w:hAnsi="Arial"/>
                <w:sz w:val="16"/>
                <w:szCs w:val="16"/>
                <w:color w:val="08228B"/>
              </w:rPr>
              <w:t>43</w:t>
            </w:r>
          </w:p>
        </w:tc>
        <w:tc>
          <w:tcPr>
            <w:tcW w:w="0" w:type="dxa"/>
            <w:vAlign w:val="bottom"/>
          </w:tcPr>
          <w:p>
            <w:pPr>
              <w:spacing w:after="0"/>
              <w:rPr>
                <w:sz w:val="1"/>
                <w:szCs w:val="1"/>
                <w:color w:val="auto"/>
              </w:rPr>
            </w:pPr>
          </w:p>
        </w:tc>
      </w:tr>
      <w:tr>
        <w:trPr>
          <w:trHeight w:val="82"/>
        </w:trPr>
        <w:tc>
          <w:tcPr>
            <w:tcW w:w="4340" w:type="dxa"/>
            <w:vAlign w:val="bottom"/>
          </w:tcPr>
          <w:p>
            <w:pPr>
              <w:spacing w:after="0"/>
              <w:rPr>
                <w:sz w:val="7"/>
                <w:szCs w:val="7"/>
                <w:color w:val="auto"/>
              </w:rPr>
            </w:pPr>
          </w:p>
        </w:tc>
        <w:tc>
          <w:tcPr>
            <w:tcW w:w="2060" w:type="dxa"/>
            <w:vAlign w:val="bottom"/>
            <w:vMerge w:val="continue"/>
          </w:tcPr>
          <w:p>
            <w:pPr>
              <w:spacing w:after="0"/>
              <w:rPr>
                <w:sz w:val="7"/>
                <w:szCs w:val="7"/>
                <w:color w:val="auto"/>
              </w:rPr>
            </w:pPr>
          </w:p>
        </w:tc>
        <w:tc>
          <w:tcPr>
            <w:tcW w:w="2400" w:type="dxa"/>
            <w:vAlign w:val="bottom"/>
          </w:tcPr>
          <w:p>
            <w:pPr>
              <w:spacing w:after="0"/>
              <w:rPr>
                <w:sz w:val="7"/>
                <w:szCs w:val="7"/>
                <w:color w:val="auto"/>
              </w:rPr>
            </w:pPr>
          </w:p>
        </w:tc>
        <w:tc>
          <w:tcPr>
            <w:tcW w:w="2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7"/>
        </w:trPr>
        <w:tc>
          <w:tcPr>
            <w:tcW w:w="4340" w:type="dxa"/>
            <w:vAlign w:val="bottom"/>
            <w:tcBorders>
              <w:bottom w:val="single" w:sz="8" w:color="C0C0C0"/>
            </w:tcBorders>
          </w:tcPr>
          <w:p>
            <w:pPr>
              <w:spacing w:after="0"/>
              <w:rPr>
                <w:sz w:val="24"/>
                <w:szCs w:val="24"/>
                <w:color w:val="auto"/>
              </w:rPr>
            </w:pPr>
          </w:p>
        </w:tc>
        <w:tc>
          <w:tcPr>
            <w:tcW w:w="2060" w:type="dxa"/>
            <w:vAlign w:val="bottom"/>
            <w:tcBorders>
              <w:bottom w:val="single" w:sz="8" w:color="C0C0C0"/>
            </w:tcBorders>
          </w:tcPr>
          <w:p>
            <w:pPr>
              <w:spacing w:after="0"/>
              <w:rPr>
                <w:sz w:val="24"/>
                <w:szCs w:val="24"/>
                <w:color w:val="auto"/>
              </w:rPr>
            </w:pPr>
          </w:p>
        </w:tc>
        <w:tc>
          <w:tcPr>
            <w:tcW w:w="2400" w:type="dxa"/>
            <w:vAlign w:val="bottom"/>
            <w:tcBorders>
              <w:bottom w:val="single" w:sz="8" w:color="C0C0C0"/>
            </w:tcBorders>
          </w:tcPr>
          <w:p>
            <w:pPr>
              <w:spacing w:after="0"/>
              <w:rPr>
                <w:sz w:val="24"/>
                <w:szCs w:val="24"/>
                <w:color w:val="auto"/>
              </w:rPr>
            </w:pPr>
          </w:p>
        </w:tc>
        <w:tc>
          <w:tcPr>
            <w:tcW w:w="262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5613400</wp:posOffset>
            </wp:positionH>
            <wp:positionV relativeFrom="paragraph">
              <wp:posOffset>-334010</wp:posOffset>
            </wp:positionV>
            <wp:extent cx="1286510" cy="8572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1286510" cy="8572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69150" cy="1714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600" w:type="dxa"/>
            <w:vAlign w:val="bottom"/>
            <w:tcBorders>
              <w:bottom w:val="single" w:sz="8" w:color="1C90D3"/>
            </w:tcBorders>
          </w:tcPr>
          <w:p>
            <w:pPr>
              <w:ind w:left="60"/>
              <w:spacing w:after="0"/>
              <w:rPr>
                <w:sz w:val="20"/>
                <w:szCs w:val="20"/>
                <w:color w:val="auto"/>
              </w:rPr>
            </w:pPr>
            <w:r>
              <w:rPr>
                <w:rFonts w:ascii="Arial" w:cs="Arial" w:eastAsia="Arial" w:hAnsi="Arial"/>
                <w:sz w:val="16"/>
                <w:szCs w:val="16"/>
                <w:b w:val="1"/>
                <w:bCs w:val="1"/>
                <w:color w:val="1C90D3"/>
              </w:rPr>
              <w:t>LTIP Measure</w:t>
            </w:r>
          </w:p>
        </w:tc>
        <w:tc>
          <w:tcPr>
            <w:tcW w:w="1600" w:type="dxa"/>
            <w:vAlign w:val="bottom"/>
            <w:tcBorders>
              <w:bottom w:val="single" w:sz="8" w:color="1C90D3"/>
            </w:tcBorders>
          </w:tcPr>
          <w:p>
            <w:pPr>
              <w:jc w:val="right"/>
              <w:ind w:right="439"/>
              <w:spacing w:after="0"/>
              <w:rPr>
                <w:sz w:val="20"/>
                <w:szCs w:val="20"/>
                <w:color w:val="auto"/>
              </w:rPr>
            </w:pPr>
            <w:r>
              <w:rPr>
                <w:rFonts w:ascii="Arial" w:cs="Arial" w:eastAsia="Arial" w:hAnsi="Arial"/>
                <w:sz w:val="16"/>
                <w:szCs w:val="16"/>
                <w:b w:val="1"/>
                <w:bCs w:val="1"/>
                <w:color w:val="1C90D3"/>
              </w:rPr>
              <w:t>Weight</w:t>
            </w:r>
          </w:p>
        </w:tc>
        <w:tc>
          <w:tcPr>
            <w:tcW w:w="1180" w:type="dxa"/>
            <w:vAlign w:val="bottom"/>
            <w:tcBorders>
              <w:bottom w:val="single" w:sz="8" w:color="1C90D3"/>
            </w:tcBorders>
          </w:tcPr>
          <w:p>
            <w:pPr>
              <w:jc w:val="right"/>
              <w:ind w:right="239"/>
              <w:spacing w:after="0"/>
              <w:rPr>
                <w:sz w:val="20"/>
                <w:szCs w:val="20"/>
                <w:color w:val="auto"/>
              </w:rPr>
            </w:pPr>
            <w:r>
              <w:rPr>
                <w:rFonts w:ascii="Arial" w:cs="Arial" w:eastAsia="Arial" w:hAnsi="Arial"/>
                <w:sz w:val="16"/>
                <w:szCs w:val="16"/>
                <w:b w:val="1"/>
                <w:bCs w:val="1"/>
                <w:color w:val="1C90D3"/>
              </w:rPr>
              <w:t>Target</w:t>
            </w:r>
          </w:p>
        </w:tc>
        <w:tc>
          <w:tcPr>
            <w:tcW w:w="6920" w:type="dxa"/>
            <w:vAlign w:val="bottom"/>
            <w:tcBorders>
              <w:bottom w:val="single" w:sz="8" w:color="1C90D3"/>
            </w:tcBorders>
          </w:tcPr>
          <w:p>
            <w:pPr>
              <w:ind w:left="160"/>
              <w:spacing w:after="0"/>
              <w:rPr>
                <w:sz w:val="20"/>
                <w:szCs w:val="20"/>
                <w:color w:val="auto"/>
              </w:rPr>
            </w:pPr>
            <w:r>
              <w:rPr>
                <w:rFonts w:ascii="Arial" w:cs="Arial" w:eastAsia="Arial" w:hAnsi="Arial"/>
                <w:sz w:val="16"/>
                <w:szCs w:val="16"/>
                <w:b w:val="1"/>
                <w:bCs w:val="1"/>
                <w:color w:val="1C90D3"/>
              </w:rPr>
              <w:t>Leadership Behaviors</w:t>
            </w:r>
          </w:p>
        </w:tc>
        <w:tc>
          <w:tcPr>
            <w:tcW w:w="0" w:type="dxa"/>
            <w:vAlign w:val="bottom"/>
          </w:tcPr>
          <w:p>
            <w:pPr>
              <w:spacing w:after="0"/>
              <w:rPr>
                <w:sz w:val="1"/>
                <w:szCs w:val="1"/>
                <w:color w:val="auto"/>
              </w:rPr>
            </w:pPr>
          </w:p>
        </w:tc>
      </w:tr>
      <w:tr>
        <w:trPr>
          <w:trHeight w:val="218"/>
        </w:trPr>
        <w:tc>
          <w:tcPr>
            <w:tcW w:w="1600" w:type="dxa"/>
            <w:vAlign w:val="bottom"/>
            <w:vMerge w:val="restart"/>
          </w:tcPr>
          <w:p>
            <w:pPr>
              <w:ind w:left="60"/>
              <w:spacing w:after="0"/>
              <w:rPr>
                <w:sz w:val="20"/>
                <w:szCs w:val="20"/>
                <w:color w:val="auto"/>
              </w:rPr>
            </w:pPr>
            <w:r>
              <w:rPr>
                <w:rFonts w:ascii="Arial" w:cs="Arial" w:eastAsia="Arial" w:hAnsi="Arial"/>
                <w:sz w:val="16"/>
                <w:szCs w:val="16"/>
                <w:color w:val="auto"/>
              </w:rPr>
              <w:t>ROIC</w:t>
            </w:r>
            <w:r>
              <w:rPr>
                <w:rFonts w:ascii="Arial" w:cs="Arial" w:eastAsia="Arial" w:hAnsi="Arial"/>
                <w:sz w:val="27"/>
                <w:szCs w:val="27"/>
                <w:color w:val="auto"/>
                <w:vertAlign w:val="superscript"/>
              </w:rPr>
              <w:t>(1)</w:t>
            </w:r>
          </w:p>
        </w:tc>
        <w:tc>
          <w:tcPr>
            <w:tcW w:w="16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920" w:type="dxa"/>
            <w:vAlign w:val="bottom"/>
          </w:tcPr>
          <w:p>
            <w:pPr>
              <w:ind w:left="160"/>
              <w:spacing w:after="0"/>
              <w:rPr>
                <w:sz w:val="20"/>
                <w:szCs w:val="20"/>
                <w:color w:val="auto"/>
              </w:rPr>
            </w:pPr>
            <w:r>
              <w:rPr>
                <w:rFonts w:ascii="Arial" w:cs="Arial" w:eastAsia="Arial" w:hAnsi="Arial"/>
                <w:sz w:val="16"/>
                <w:szCs w:val="16"/>
                <w:color w:val="auto"/>
              </w:rPr>
              <w:t>Focus on making sound investments that follow the disciplined capital approach of driving</w:t>
            </w:r>
          </w:p>
        </w:tc>
        <w:tc>
          <w:tcPr>
            <w:tcW w:w="0" w:type="dxa"/>
            <w:vAlign w:val="bottom"/>
          </w:tcPr>
          <w:p>
            <w:pPr>
              <w:spacing w:after="0"/>
              <w:rPr>
                <w:sz w:val="1"/>
                <w:szCs w:val="1"/>
                <w:color w:val="auto"/>
              </w:rPr>
            </w:pPr>
          </w:p>
        </w:tc>
      </w:tr>
      <w:tr>
        <w:trPr>
          <w:trHeight w:val="214"/>
        </w:trPr>
        <w:tc>
          <w:tcPr>
            <w:tcW w:w="1600" w:type="dxa"/>
            <w:vAlign w:val="bottom"/>
            <w:tcBorders>
              <w:bottom w:val="single" w:sz="8" w:color="auto"/>
            </w:tcBorders>
            <w:vMerge w:val="continue"/>
          </w:tcPr>
          <w:p>
            <w:pPr>
              <w:spacing w:after="0"/>
              <w:rPr>
                <w:sz w:val="18"/>
                <w:szCs w:val="18"/>
                <w:color w:val="auto"/>
              </w:rPr>
            </w:pPr>
          </w:p>
        </w:tc>
        <w:tc>
          <w:tcPr>
            <w:tcW w:w="16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100%</w:t>
            </w:r>
          </w:p>
        </w:tc>
        <w:tc>
          <w:tcPr>
            <w:tcW w:w="11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20%</w:t>
            </w:r>
          </w:p>
        </w:tc>
        <w:tc>
          <w:tcPr>
            <w:tcW w:w="692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20% or higher returns in world-class vehicles and leading technology</w:t>
            </w:r>
          </w:p>
        </w:tc>
        <w:tc>
          <w:tcPr>
            <w:tcW w:w="0" w:type="dxa"/>
            <w:vAlign w:val="bottom"/>
          </w:tcPr>
          <w:p>
            <w:pPr>
              <w:spacing w:after="0"/>
              <w:rPr>
                <w:sz w:val="1"/>
                <w:szCs w:val="1"/>
                <w:color w:val="auto"/>
              </w:rPr>
            </w:pPr>
          </w:p>
        </w:tc>
      </w:tr>
      <w:tr>
        <w:trPr>
          <w:trHeight w:val="209"/>
        </w:trPr>
        <w:tc>
          <w:tcPr>
            <w:tcW w:w="1600" w:type="dxa"/>
            <w:vAlign w:val="bottom"/>
          </w:tcPr>
          <w:p>
            <w:pPr>
              <w:ind w:left="60"/>
              <w:spacing w:after="0"/>
              <w:rPr>
                <w:sz w:val="20"/>
                <w:szCs w:val="20"/>
                <w:color w:val="auto"/>
              </w:rPr>
            </w:pPr>
            <w:r>
              <w:rPr>
                <w:rFonts w:ascii="Arial" w:cs="Arial" w:eastAsia="Arial" w:hAnsi="Arial"/>
                <w:sz w:val="16"/>
                <w:szCs w:val="16"/>
                <w:color w:val="auto"/>
              </w:rPr>
              <w:t>Global Market</w:t>
            </w:r>
          </w:p>
        </w:tc>
        <w:tc>
          <w:tcPr>
            <w:tcW w:w="16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1600" w:type="dxa"/>
            <w:vAlign w:val="bottom"/>
            <w:tcBorders>
              <w:bottom w:val="single" w:sz="8" w:color="08228B"/>
            </w:tcBorders>
          </w:tcPr>
          <w:p>
            <w:pPr>
              <w:ind w:left="60"/>
              <w:spacing w:after="0" w:line="257" w:lineRule="exact"/>
              <w:rPr>
                <w:sz w:val="20"/>
                <w:szCs w:val="20"/>
                <w:color w:val="auto"/>
              </w:rPr>
            </w:pPr>
            <w:r>
              <w:rPr>
                <w:rFonts w:ascii="Arial" w:cs="Arial" w:eastAsia="Arial" w:hAnsi="Arial"/>
                <w:sz w:val="16"/>
                <w:szCs w:val="16"/>
                <w:color w:val="auto"/>
              </w:rPr>
              <w:t>Share</w:t>
            </w:r>
            <w:r>
              <w:rPr>
                <w:rFonts w:ascii="Arial" w:cs="Arial" w:eastAsia="Arial" w:hAnsi="Arial"/>
                <w:sz w:val="27"/>
                <w:szCs w:val="27"/>
                <w:color w:val="auto"/>
                <w:vertAlign w:val="superscript"/>
              </w:rPr>
              <w:t>(2)</w:t>
            </w:r>
          </w:p>
        </w:tc>
        <w:tc>
          <w:tcPr>
            <w:tcW w:w="1600" w:type="dxa"/>
            <w:vAlign w:val="bottom"/>
            <w:tcBorders>
              <w:bottom w:val="single" w:sz="8" w:color="08228B"/>
            </w:tcBorders>
          </w:tcPr>
          <w:p>
            <w:pPr>
              <w:jc w:val="right"/>
              <w:ind w:right="439"/>
              <w:spacing w:after="0"/>
              <w:rPr>
                <w:sz w:val="20"/>
                <w:szCs w:val="20"/>
                <w:color w:val="auto"/>
              </w:rPr>
            </w:pPr>
            <w:r>
              <w:rPr>
                <w:rFonts w:ascii="Arial" w:cs="Arial" w:eastAsia="Arial" w:hAnsi="Arial"/>
                <w:sz w:val="16"/>
                <w:szCs w:val="16"/>
                <w:color w:val="auto"/>
              </w:rPr>
              <w:t>Modifier</w:t>
            </w:r>
          </w:p>
        </w:tc>
        <w:tc>
          <w:tcPr>
            <w:tcW w:w="1180" w:type="dxa"/>
            <w:vAlign w:val="bottom"/>
            <w:tcBorders>
              <w:bottom w:val="single" w:sz="8" w:color="08228B"/>
            </w:tcBorders>
          </w:tcPr>
          <w:p>
            <w:pPr>
              <w:jc w:val="right"/>
              <w:ind w:right="179"/>
              <w:spacing w:after="0"/>
              <w:rPr>
                <w:sz w:val="20"/>
                <w:szCs w:val="20"/>
                <w:color w:val="auto"/>
              </w:rPr>
            </w:pPr>
            <w:r>
              <w:rPr>
                <w:rFonts w:ascii="Arial" w:cs="Arial" w:eastAsia="Arial" w:hAnsi="Arial"/>
                <w:sz w:val="16"/>
                <w:szCs w:val="16"/>
                <w:color w:val="auto"/>
              </w:rPr>
              <w:t>(3)</w:t>
            </w:r>
          </w:p>
        </w:tc>
        <w:tc>
          <w:tcPr>
            <w:tcW w:w="6920" w:type="dxa"/>
            <w:vAlign w:val="bottom"/>
            <w:tcBorders>
              <w:bottom w:val="single" w:sz="8" w:color="08228B"/>
            </w:tcBorders>
          </w:tcPr>
          <w:p>
            <w:pPr>
              <w:ind w:left="160"/>
              <w:spacing w:after="0"/>
              <w:rPr>
                <w:sz w:val="20"/>
                <w:szCs w:val="20"/>
                <w:color w:val="auto"/>
              </w:rPr>
            </w:pPr>
            <w:r>
              <w:rPr>
                <w:rFonts w:ascii="Arial" w:cs="Arial" w:eastAsia="Arial" w:hAnsi="Arial"/>
                <w:sz w:val="16"/>
                <w:szCs w:val="16"/>
                <w:color w:val="auto"/>
              </w:rPr>
              <w:t>Focus on continuing to grow in the global marketplace</w:t>
            </w:r>
          </w:p>
        </w:tc>
        <w:tc>
          <w:tcPr>
            <w:tcW w:w="0" w:type="dxa"/>
            <w:vAlign w:val="bottom"/>
          </w:tcPr>
          <w:p>
            <w:pPr>
              <w:spacing w:after="0"/>
              <w:rPr>
                <w:sz w:val="1"/>
                <w:szCs w:val="1"/>
                <w:color w:val="auto"/>
              </w:rPr>
            </w:pPr>
          </w:p>
        </w:tc>
      </w:tr>
    </w:tbl>
    <w:p>
      <w:pPr>
        <w:spacing w:after="0" w:line="58" w:lineRule="exact"/>
        <w:rPr>
          <w:sz w:val="20"/>
          <w:szCs w:val="20"/>
          <w:color w:val="auto"/>
        </w:rPr>
      </w:pPr>
    </w:p>
    <w:p>
      <w:pPr>
        <w:jc w:val="both"/>
        <w:ind w:left="340" w:right="120" w:hanging="332"/>
        <w:spacing w:after="0" w:line="248" w:lineRule="auto"/>
        <w:tabs>
          <w:tab w:leader="none" w:pos="340" w:val="left"/>
        </w:tabs>
        <w:numPr>
          <w:ilvl w:val="0"/>
          <w:numId w:val="53"/>
        </w:numPr>
        <w:rPr>
          <w:rFonts w:ascii="Arial" w:cs="Arial" w:eastAsia="Arial" w:hAnsi="Arial"/>
          <w:sz w:val="14"/>
          <w:szCs w:val="14"/>
          <w:i w:val="1"/>
          <w:iCs w:val="1"/>
          <w:color w:val="auto"/>
        </w:rPr>
      </w:pPr>
      <w:r>
        <w:rPr>
          <w:rFonts w:ascii="Arial" w:cs="Arial" w:eastAsia="Arial" w:hAnsi="Arial"/>
          <w:sz w:val="14"/>
          <w:szCs w:val="14"/>
          <w:i w:val="1"/>
          <w:iCs w:val="1"/>
          <w:color w:val="auto"/>
        </w:rPr>
        <w:t>The three-year average ROIC target is 20% and performance shall be calculated using the GM average annual ROIC for calendar years 2015, 2016, and 2017, where ROIC is calculated as Total Company EBIT-Adjusted divided by Average Total Company Net Assets. EBIT-Adjusted is defined as earnings excluding interest income, interest expense, and income taxes as well as certain additional adjustments. A discussion of EBIT-Adjusted, supplemental detail of all adjustments, and a reconciliation of GM’s automotive segments’ EBIT-Adjusted and GM Financial earnings before taxes-adjusted to net income attributable to shareholders is disclosed in Item 7, Management’s Discussion and Analysis of Financial Condition and Results of Operations, in our Annual Report on Form 10-K. Net Assets will be the four-quarter average for the year, adding back average automotive debt and interest liabilities (except capital leases) and automotive net Pension and OPEB liabilities and excluding average automotive net income tax assets.</w:t>
      </w:r>
    </w:p>
    <w:p>
      <w:pPr>
        <w:spacing w:after="0" w:line="203" w:lineRule="exact"/>
        <w:rPr>
          <w:rFonts w:ascii="Arial" w:cs="Arial" w:eastAsia="Arial" w:hAnsi="Arial"/>
          <w:sz w:val="14"/>
          <w:szCs w:val="14"/>
          <w:i w:val="1"/>
          <w:iCs w:val="1"/>
          <w:color w:val="auto"/>
        </w:rPr>
      </w:pPr>
    </w:p>
    <w:p>
      <w:pPr>
        <w:ind w:left="340" w:right="140" w:hanging="332"/>
        <w:spacing w:after="0" w:line="279" w:lineRule="auto"/>
        <w:tabs>
          <w:tab w:leader="none" w:pos="340" w:val="left"/>
        </w:tabs>
        <w:numPr>
          <w:ilvl w:val="0"/>
          <w:numId w:val="53"/>
        </w:numPr>
        <w:rPr>
          <w:rFonts w:ascii="Arial" w:cs="Arial" w:eastAsia="Arial" w:hAnsi="Arial"/>
          <w:sz w:val="14"/>
          <w:szCs w:val="14"/>
          <w:i w:val="1"/>
          <w:iCs w:val="1"/>
          <w:color w:val="auto"/>
        </w:rPr>
      </w:pPr>
      <w:r>
        <w:rPr>
          <w:rFonts w:ascii="Arial" w:cs="Arial" w:eastAsia="Arial" w:hAnsi="Arial"/>
          <w:sz w:val="14"/>
          <w:szCs w:val="14"/>
          <w:i w:val="1"/>
          <w:iCs w:val="1"/>
          <w:color w:val="auto"/>
        </w:rPr>
        <w:t>The three-year average Global Market Share target range performance shall be calculated using the GM average annual global market share for calendar years 2015, 2016, and 2017 as reported by GM Global Sales Reporting and reflected in the Annual Reports on Form 10-K.</w:t>
      </w:r>
    </w:p>
    <w:p>
      <w:pPr>
        <w:spacing w:after="0" w:line="17" w:lineRule="exact"/>
        <w:rPr>
          <w:rFonts w:ascii="Arial" w:cs="Arial" w:eastAsia="Arial" w:hAnsi="Arial"/>
          <w:sz w:val="14"/>
          <w:szCs w:val="14"/>
          <w:i w:val="1"/>
          <w:iCs w:val="1"/>
          <w:color w:val="auto"/>
        </w:rPr>
      </w:pPr>
    </w:p>
    <w:p>
      <w:pPr>
        <w:ind w:left="340" w:right="120" w:hanging="332"/>
        <w:spacing w:after="0" w:line="259" w:lineRule="auto"/>
        <w:tabs>
          <w:tab w:leader="none" w:pos="340" w:val="left"/>
        </w:tabs>
        <w:numPr>
          <w:ilvl w:val="0"/>
          <w:numId w:val="53"/>
        </w:numPr>
        <w:rPr>
          <w:rFonts w:ascii="Arial" w:cs="Arial" w:eastAsia="Arial" w:hAnsi="Arial"/>
          <w:sz w:val="14"/>
          <w:szCs w:val="14"/>
          <w:i w:val="1"/>
          <w:iCs w:val="1"/>
          <w:color w:val="auto"/>
        </w:rPr>
      </w:pPr>
      <w:r>
        <w:rPr>
          <w:rFonts w:ascii="Arial" w:cs="Arial" w:eastAsia="Arial" w:hAnsi="Arial"/>
          <w:sz w:val="14"/>
          <w:szCs w:val="14"/>
          <w:i w:val="1"/>
          <w:iCs w:val="1"/>
          <w:color w:val="auto"/>
        </w:rPr>
        <w:t>The Performance Target for Global Market Share will be disclosed at the end of the three-year performance period, as future Global Market Share measures are not disclosed.</w:t>
      </w:r>
    </w:p>
    <w:p>
      <w:pPr>
        <w:spacing w:after="0" w:line="324"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PSUs, if any, vest and are awarded and delivered following the completion of the three-year performance period, January 1, 2015 –December 31, 2017, and may be awarded at a level between 0 and 200 percent of target based on actual Company results. Final PSU awards are calculated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106045</wp:posOffset>
            </wp:positionV>
            <wp:extent cx="5797550" cy="129476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5797550" cy="1294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When determining grant amounts, the Compensation Committee considers the individual responsibilities, experience, performance, and market data. The following NEOs received equity grants as part of their 2015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69150" cy="1714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317"/>
        </w:trPr>
        <w:tc>
          <w:tcPr>
            <w:tcW w:w="5000" w:type="dxa"/>
            <w:vAlign w:val="bottom"/>
          </w:tcPr>
          <w:p>
            <w:pPr>
              <w:spacing w:after="0"/>
              <w:rPr>
                <w:sz w:val="24"/>
                <w:szCs w:val="24"/>
                <w:color w:val="auto"/>
              </w:rPr>
            </w:pPr>
          </w:p>
        </w:tc>
        <w:tc>
          <w:tcPr>
            <w:tcW w:w="2580" w:type="dxa"/>
            <w:vAlign w:val="bottom"/>
            <w:gridSpan w:val="3"/>
          </w:tcPr>
          <w:p>
            <w:pPr>
              <w:jc w:val="right"/>
              <w:ind w:right="1180"/>
              <w:spacing w:after="0"/>
              <w:rPr>
                <w:sz w:val="20"/>
                <w:szCs w:val="20"/>
                <w:color w:val="auto"/>
              </w:rPr>
            </w:pPr>
            <w:r>
              <w:rPr>
                <w:rFonts w:ascii="Arial" w:cs="Arial" w:eastAsia="Arial" w:hAnsi="Arial"/>
                <w:sz w:val="16"/>
                <w:szCs w:val="16"/>
                <w:b w:val="1"/>
                <w:bCs w:val="1"/>
                <w:color w:val="1C90D3"/>
              </w:rPr>
              <w:t>PSUs</w:t>
            </w:r>
            <w:r>
              <w:rPr>
                <w:rFonts w:ascii="Arial" w:cs="Arial" w:eastAsia="Arial" w:hAnsi="Arial"/>
                <w:sz w:val="27"/>
                <w:szCs w:val="27"/>
                <w:b w:val="1"/>
                <w:bCs w:val="1"/>
                <w:color w:val="1C90D3"/>
                <w:vertAlign w:val="superscript"/>
              </w:rPr>
              <w:t>(1)</w:t>
            </w:r>
          </w:p>
        </w:tc>
        <w:tc>
          <w:tcPr>
            <w:tcW w:w="2600" w:type="dxa"/>
            <w:vAlign w:val="bottom"/>
            <w:gridSpan w:val="3"/>
          </w:tcPr>
          <w:p>
            <w:pPr>
              <w:jc w:val="right"/>
              <w:ind w:right="1180"/>
              <w:spacing w:after="0"/>
              <w:rPr>
                <w:sz w:val="20"/>
                <w:szCs w:val="20"/>
                <w:color w:val="auto"/>
              </w:rPr>
            </w:pPr>
            <w:r>
              <w:rPr>
                <w:rFonts w:ascii="Arial" w:cs="Arial" w:eastAsia="Arial" w:hAnsi="Arial"/>
                <w:sz w:val="16"/>
                <w:szCs w:val="16"/>
                <w:b w:val="1"/>
                <w:bCs w:val="1"/>
                <w:color w:val="1C90D3"/>
              </w:rPr>
              <w:t>RSUs</w:t>
            </w:r>
            <w:r>
              <w:rPr>
                <w:rFonts w:ascii="Arial" w:cs="Arial" w:eastAsia="Arial" w:hAnsi="Arial"/>
                <w:sz w:val="27"/>
                <w:szCs w:val="27"/>
                <w:b w:val="1"/>
                <w:bCs w:val="1"/>
                <w:color w:val="1C90D3"/>
                <w:vertAlign w:val="superscript"/>
              </w:rPr>
              <w:t>(2)</w:t>
            </w:r>
          </w:p>
        </w:tc>
        <w:tc>
          <w:tcPr>
            <w:tcW w:w="1120" w:type="dxa"/>
            <w:vAlign w:val="bottom"/>
          </w:tcPr>
          <w:p>
            <w:pPr>
              <w:spacing w:after="0"/>
              <w:rPr>
                <w:sz w:val="24"/>
                <w:szCs w:val="24"/>
                <w:color w:val="auto"/>
              </w:rPr>
            </w:pPr>
          </w:p>
        </w:tc>
      </w:tr>
      <w:tr>
        <w:trPr>
          <w:trHeight w:val="171"/>
        </w:trPr>
        <w:tc>
          <w:tcPr>
            <w:tcW w:w="5000" w:type="dxa"/>
            <w:vAlign w:val="bottom"/>
          </w:tcPr>
          <w:p>
            <w:pPr>
              <w:spacing w:after="0"/>
              <w:rPr>
                <w:sz w:val="14"/>
                <w:szCs w:val="14"/>
                <w:color w:val="auto"/>
              </w:rPr>
            </w:pPr>
          </w:p>
        </w:tc>
        <w:tc>
          <w:tcPr>
            <w:tcW w:w="1140" w:type="dxa"/>
            <w:vAlign w:val="bottom"/>
            <w:tcBorders>
              <w:top w:val="single" w:sz="8" w:color="1C90D3"/>
            </w:tcBorders>
          </w:tcPr>
          <w:p>
            <w:pPr>
              <w:jc w:val="right"/>
              <w:ind w:right="179"/>
              <w:spacing w:after="0" w:line="171" w:lineRule="exact"/>
              <w:rPr>
                <w:sz w:val="20"/>
                <w:szCs w:val="20"/>
                <w:color w:val="auto"/>
              </w:rPr>
            </w:pPr>
            <w:r>
              <w:rPr>
                <w:rFonts w:ascii="Arial" w:cs="Arial" w:eastAsia="Arial" w:hAnsi="Arial"/>
                <w:sz w:val="16"/>
                <w:szCs w:val="16"/>
                <w:b w:val="1"/>
                <w:bCs w:val="1"/>
                <w:color w:val="1C90D3"/>
              </w:rPr>
              <w:t>Units</w:t>
            </w:r>
          </w:p>
        </w:tc>
        <w:tc>
          <w:tcPr>
            <w:tcW w:w="1080" w:type="dxa"/>
            <w:vAlign w:val="bottom"/>
            <w:tcBorders>
              <w:top w:val="single" w:sz="8" w:color="1C90D3"/>
            </w:tcBorders>
          </w:tcPr>
          <w:p>
            <w:pPr>
              <w:jc w:val="right"/>
              <w:spacing w:after="0" w:line="171" w:lineRule="exact"/>
              <w:rPr>
                <w:sz w:val="20"/>
                <w:szCs w:val="20"/>
                <w:color w:val="auto"/>
              </w:rPr>
            </w:pPr>
            <w:r>
              <w:rPr>
                <w:rFonts w:ascii="Arial" w:cs="Arial" w:eastAsia="Arial" w:hAnsi="Arial"/>
                <w:sz w:val="16"/>
                <w:szCs w:val="16"/>
                <w:b w:val="1"/>
                <w:bCs w:val="1"/>
                <w:color w:val="1C90D3"/>
              </w:rPr>
              <w:t>% of</w:t>
            </w:r>
          </w:p>
        </w:tc>
        <w:tc>
          <w:tcPr>
            <w:tcW w:w="360" w:type="dxa"/>
            <w:vAlign w:val="bottom"/>
          </w:tcPr>
          <w:p>
            <w:pPr>
              <w:spacing w:after="0"/>
              <w:rPr>
                <w:sz w:val="14"/>
                <w:szCs w:val="14"/>
                <w:color w:val="auto"/>
              </w:rPr>
            </w:pPr>
          </w:p>
        </w:tc>
        <w:tc>
          <w:tcPr>
            <w:tcW w:w="1160" w:type="dxa"/>
            <w:vAlign w:val="bottom"/>
            <w:tcBorders>
              <w:top w:val="single" w:sz="8" w:color="1C90D3"/>
            </w:tcBorders>
          </w:tcPr>
          <w:p>
            <w:pPr>
              <w:jc w:val="right"/>
              <w:ind w:right="179"/>
              <w:spacing w:after="0" w:line="171" w:lineRule="exact"/>
              <w:rPr>
                <w:sz w:val="20"/>
                <w:szCs w:val="20"/>
                <w:color w:val="auto"/>
              </w:rPr>
            </w:pPr>
            <w:r>
              <w:rPr>
                <w:rFonts w:ascii="Arial" w:cs="Arial" w:eastAsia="Arial" w:hAnsi="Arial"/>
                <w:sz w:val="16"/>
                <w:szCs w:val="16"/>
                <w:b w:val="1"/>
                <w:bCs w:val="1"/>
                <w:color w:val="1C90D3"/>
              </w:rPr>
              <w:t>Units</w:t>
            </w:r>
          </w:p>
        </w:tc>
        <w:tc>
          <w:tcPr>
            <w:tcW w:w="1080" w:type="dxa"/>
            <w:vAlign w:val="bottom"/>
            <w:tcBorders>
              <w:top w:val="single" w:sz="8" w:color="1C90D3"/>
            </w:tcBorders>
          </w:tcPr>
          <w:p>
            <w:pPr>
              <w:jc w:val="right"/>
              <w:spacing w:after="0" w:line="171" w:lineRule="exact"/>
              <w:rPr>
                <w:sz w:val="20"/>
                <w:szCs w:val="20"/>
                <w:color w:val="auto"/>
              </w:rPr>
            </w:pPr>
            <w:r>
              <w:rPr>
                <w:rFonts w:ascii="Arial" w:cs="Arial" w:eastAsia="Arial" w:hAnsi="Arial"/>
                <w:sz w:val="16"/>
                <w:szCs w:val="16"/>
                <w:b w:val="1"/>
                <w:bCs w:val="1"/>
                <w:color w:val="1C90D3"/>
              </w:rPr>
              <w:t>% of</w:t>
            </w:r>
          </w:p>
        </w:tc>
        <w:tc>
          <w:tcPr>
            <w:tcW w:w="360" w:type="dxa"/>
            <w:vAlign w:val="bottom"/>
          </w:tcPr>
          <w:p>
            <w:pPr>
              <w:spacing w:after="0"/>
              <w:rPr>
                <w:sz w:val="14"/>
                <w:szCs w:val="14"/>
                <w:color w:val="auto"/>
              </w:rPr>
            </w:pPr>
          </w:p>
        </w:tc>
        <w:tc>
          <w:tcPr>
            <w:tcW w:w="1120" w:type="dxa"/>
            <w:vAlign w:val="bottom"/>
          </w:tcPr>
          <w:p>
            <w:pPr>
              <w:jc w:val="right"/>
              <w:spacing w:after="0" w:line="171" w:lineRule="exact"/>
              <w:rPr>
                <w:sz w:val="20"/>
                <w:szCs w:val="20"/>
                <w:color w:val="auto"/>
              </w:rPr>
            </w:pPr>
            <w:r>
              <w:rPr>
                <w:rFonts w:ascii="Arial" w:cs="Arial" w:eastAsia="Arial" w:hAnsi="Arial"/>
                <w:sz w:val="16"/>
                <w:szCs w:val="16"/>
                <w:b w:val="1"/>
                <w:bCs w:val="1"/>
                <w:color w:val="1C90D3"/>
              </w:rPr>
              <w:t>Total Units</w:t>
            </w:r>
          </w:p>
        </w:tc>
      </w:tr>
      <w:tr>
        <w:trPr>
          <w:trHeight w:val="241"/>
        </w:trPr>
        <w:tc>
          <w:tcPr>
            <w:tcW w:w="5000" w:type="dxa"/>
            <w:vAlign w:val="bottom"/>
            <w:tcBorders>
              <w:bottom w:val="single" w:sz="8" w:color="1C90D3"/>
            </w:tcBorders>
          </w:tcPr>
          <w:p>
            <w:pPr>
              <w:ind w:left="60"/>
              <w:spacing w:after="0"/>
              <w:rPr>
                <w:sz w:val="20"/>
                <w:szCs w:val="20"/>
                <w:color w:val="auto"/>
              </w:rPr>
            </w:pPr>
            <w:r>
              <w:rPr>
                <w:rFonts w:ascii="Arial" w:cs="Arial" w:eastAsia="Arial" w:hAnsi="Arial"/>
                <w:sz w:val="16"/>
                <w:szCs w:val="16"/>
                <w:b w:val="1"/>
                <w:bCs w:val="1"/>
                <w:color w:val="1C90D3"/>
              </w:rPr>
              <w:t>Name</w:t>
            </w:r>
          </w:p>
        </w:tc>
        <w:tc>
          <w:tcPr>
            <w:tcW w:w="1140" w:type="dxa"/>
            <w:vAlign w:val="bottom"/>
            <w:tcBorders>
              <w:bottom w:val="single" w:sz="8" w:color="1C90D3"/>
            </w:tcBorders>
          </w:tcPr>
          <w:p>
            <w:pPr>
              <w:jc w:val="right"/>
              <w:ind w:right="179"/>
              <w:spacing w:after="0"/>
              <w:rPr>
                <w:sz w:val="20"/>
                <w:szCs w:val="20"/>
                <w:color w:val="auto"/>
              </w:rPr>
            </w:pPr>
            <w:r>
              <w:rPr>
                <w:rFonts w:ascii="Arial" w:cs="Arial" w:eastAsia="Arial" w:hAnsi="Arial"/>
                <w:sz w:val="16"/>
                <w:szCs w:val="16"/>
                <w:b w:val="1"/>
                <w:bCs w:val="1"/>
                <w:color w:val="1C90D3"/>
              </w:rPr>
              <w:t>Granted</w:t>
            </w:r>
          </w:p>
        </w:tc>
        <w:tc>
          <w:tcPr>
            <w:tcW w:w="1440" w:type="dxa"/>
            <w:vAlign w:val="bottom"/>
            <w:tcBorders>
              <w:bottom w:val="single" w:sz="8" w:color="1C90D3"/>
            </w:tcBorders>
            <w:gridSpan w:val="2"/>
          </w:tcPr>
          <w:p>
            <w:pPr>
              <w:jc w:val="right"/>
              <w:ind w:right="360"/>
              <w:spacing w:after="0"/>
              <w:rPr>
                <w:sz w:val="20"/>
                <w:szCs w:val="20"/>
                <w:color w:val="auto"/>
              </w:rPr>
            </w:pPr>
            <w:r>
              <w:rPr>
                <w:rFonts w:ascii="Arial" w:cs="Arial" w:eastAsia="Arial" w:hAnsi="Arial"/>
                <w:sz w:val="16"/>
                <w:szCs w:val="16"/>
                <w:b w:val="1"/>
                <w:bCs w:val="1"/>
                <w:color w:val="1C90D3"/>
              </w:rPr>
              <w:t>Total Units</w:t>
            </w:r>
          </w:p>
        </w:tc>
        <w:tc>
          <w:tcPr>
            <w:tcW w:w="1160" w:type="dxa"/>
            <w:vAlign w:val="bottom"/>
            <w:tcBorders>
              <w:bottom w:val="single" w:sz="8" w:color="1C90D3"/>
            </w:tcBorders>
          </w:tcPr>
          <w:p>
            <w:pPr>
              <w:jc w:val="right"/>
              <w:ind w:right="179"/>
              <w:spacing w:after="0"/>
              <w:rPr>
                <w:sz w:val="20"/>
                <w:szCs w:val="20"/>
                <w:color w:val="auto"/>
              </w:rPr>
            </w:pPr>
            <w:r>
              <w:rPr>
                <w:rFonts w:ascii="Arial" w:cs="Arial" w:eastAsia="Arial" w:hAnsi="Arial"/>
                <w:sz w:val="16"/>
                <w:szCs w:val="16"/>
                <w:b w:val="1"/>
                <w:bCs w:val="1"/>
                <w:color w:val="1C90D3"/>
              </w:rPr>
              <w:t>Granted</w:t>
            </w:r>
          </w:p>
        </w:tc>
        <w:tc>
          <w:tcPr>
            <w:tcW w:w="1440" w:type="dxa"/>
            <w:vAlign w:val="bottom"/>
            <w:tcBorders>
              <w:bottom w:val="single" w:sz="8" w:color="1C90D3"/>
            </w:tcBorders>
            <w:gridSpan w:val="2"/>
          </w:tcPr>
          <w:p>
            <w:pPr>
              <w:jc w:val="right"/>
              <w:ind w:right="360"/>
              <w:spacing w:after="0"/>
              <w:rPr>
                <w:sz w:val="20"/>
                <w:szCs w:val="20"/>
                <w:color w:val="auto"/>
              </w:rPr>
            </w:pPr>
            <w:r>
              <w:rPr>
                <w:rFonts w:ascii="Arial" w:cs="Arial" w:eastAsia="Arial" w:hAnsi="Arial"/>
                <w:sz w:val="16"/>
                <w:szCs w:val="16"/>
                <w:b w:val="1"/>
                <w:bCs w:val="1"/>
                <w:color w:val="1C90D3"/>
              </w:rPr>
              <w:t>Total Units</w:t>
            </w:r>
          </w:p>
        </w:tc>
        <w:tc>
          <w:tcPr>
            <w:tcW w:w="1120" w:type="dxa"/>
            <w:vAlign w:val="bottom"/>
            <w:tcBorders>
              <w:bottom w:val="single" w:sz="8" w:color="1C90D3"/>
            </w:tcBorders>
          </w:tcPr>
          <w:p>
            <w:pPr>
              <w:jc w:val="right"/>
              <w:spacing w:after="0"/>
              <w:rPr>
                <w:sz w:val="20"/>
                <w:szCs w:val="20"/>
                <w:color w:val="auto"/>
              </w:rPr>
            </w:pPr>
            <w:r>
              <w:rPr>
                <w:rFonts w:ascii="Arial" w:cs="Arial" w:eastAsia="Arial" w:hAnsi="Arial"/>
                <w:sz w:val="16"/>
                <w:szCs w:val="16"/>
                <w:b w:val="1"/>
                <w:bCs w:val="1"/>
                <w:color w:val="1C90D3"/>
              </w:rPr>
              <w:t>Granted</w:t>
            </w:r>
          </w:p>
        </w:tc>
      </w:tr>
      <w:tr>
        <w:trPr>
          <w:trHeight w:val="237"/>
        </w:trPr>
        <w:tc>
          <w:tcPr>
            <w:tcW w:w="500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Mary T. Barra</w:t>
            </w:r>
          </w:p>
        </w:tc>
        <w:tc>
          <w:tcPr>
            <w:tcW w:w="11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238, 917</w:t>
            </w:r>
          </w:p>
        </w:tc>
        <w:tc>
          <w:tcPr>
            <w:tcW w:w="14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6"/>
                <w:szCs w:val="16"/>
                <w:color w:val="auto"/>
              </w:rPr>
              <w:t>75%</w:t>
            </w:r>
          </w:p>
        </w:tc>
        <w:tc>
          <w:tcPr>
            <w:tcW w:w="11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79,639</w:t>
            </w:r>
          </w:p>
        </w:tc>
        <w:tc>
          <w:tcPr>
            <w:tcW w:w="14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6"/>
                <w:szCs w:val="16"/>
                <w:color w:val="auto"/>
              </w:rPr>
              <w:t>25%</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318,556</w:t>
            </w:r>
          </w:p>
        </w:tc>
      </w:tr>
      <w:tr>
        <w:trPr>
          <w:trHeight w:val="237"/>
        </w:trPr>
        <w:tc>
          <w:tcPr>
            <w:tcW w:w="500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Charles K. Stevens, III</w:t>
            </w:r>
          </w:p>
        </w:tc>
        <w:tc>
          <w:tcPr>
            <w:tcW w:w="11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57,241</w:t>
            </w:r>
          </w:p>
        </w:tc>
        <w:tc>
          <w:tcPr>
            <w:tcW w:w="14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6"/>
                <w:szCs w:val="16"/>
                <w:color w:val="auto"/>
              </w:rPr>
              <w:t>75%</w:t>
            </w:r>
          </w:p>
        </w:tc>
        <w:tc>
          <w:tcPr>
            <w:tcW w:w="11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19,081</w:t>
            </w:r>
          </w:p>
        </w:tc>
        <w:tc>
          <w:tcPr>
            <w:tcW w:w="14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6"/>
                <w:szCs w:val="16"/>
                <w:color w:val="auto"/>
              </w:rPr>
              <w:t>25%</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76,322</w:t>
            </w:r>
          </w:p>
        </w:tc>
      </w:tr>
      <w:tr>
        <w:trPr>
          <w:trHeight w:val="237"/>
        </w:trPr>
        <w:tc>
          <w:tcPr>
            <w:tcW w:w="500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Daniel Ammann</w:t>
            </w:r>
          </w:p>
        </w:tc>
        <w:tc>
          <w:tcPr>
            <w:tcW w:w="11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89,594</w:t>
            </w:r>
          </w:p>
        </w:tc>
        <w:tc>
          <w:tcPr>
            <w:tcW w:w="14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6"/>
                <w:szCs w:val="16"/>
                <w:color w:val="auto"/>
              </w:rPr>
              <w:t>75%</w:t>
            </w:r>
          </w:p>
        </w:tc>
        <w:tc>
          <w:tcPr>
            <w:tcW w:w="11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29,865</w:t>
            </w:r>
          </w:p>
        </w:tc>
        <w:tc>
          <w:tcPr>
            <w:tcW w:w="14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6"/>
                <w:szCs w:val="16"/>
                <w:color w:val="auto"/>
              </w:rPr>
              <w:t>25%</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119,459</w:t>
            </w:r>
          </w:p>
        </w:tc>
      </w:tr>
      <w:tr>
        <w:trPr>
          <w:trHeight w:val="237"/>
        </w:trPr>
        <w:tc>
          <w:tcPr>
            <w:tcW w:w="500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Mark L. Reuss</w:t>
            </w:r>
          </w:p>
        </w:tc>
        <w:tc>
          <w:tcPr>
            <w:tcW w:w="11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76,155</w:t>
            </w:r>
          </w:p>
        </w:tc>
        <w:tc>
          <w:tcPr>
            <w:tcW w:w="14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6"/>
                <w:szCs w:val="16"/>
                <w:color w:val="auto"/>
              </w:rPr>
              <w:t>75%</w:t>
            </w:r>
          </w:p>
        </w:tc>
        <w:tc>
          <w:tcPr>
            <w:tcW w:w="11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25,385</w:t>
            </w:r>
          </w:p>
        </w:tc>
        <w:tc>
          <w:tcPr>
            <w:tcW w:w="14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6"/>
                <w:szCs w:val="16"/>
                <w:color w:val="auto"/>
              </w:rPr>
              <w:t>25%</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101,540</w:t>
            </w:r>
          </w:p>
        </w:tc>
      </w:tr>
      <w:tr>
        <w:trPr>
          <w:trHeight w:val="250"/>
        </w:trPr>
        <w:tc>
          <w:tcPr>
            <w:tcW w:w="5000" w:type="dxa"/>
            <w:vAlign w:val="bottom"/>
            <w:tcBorders>
              <w:bottom w:val="single" w:sz="8" w:color="08228B"/>
            </w:tcBorders>
          </w:tcPr>
          <w:p>
            <w:pPr>
              <w:ind w:left="60"/>
              <w:spacing w:after="0"/>
              <w:rPr>
                <w:sz w:val="20"/>
                <w:szCs w:val="20"/>
                <w:color w:val="auto"/>
              </w:rPr>
            </w:pPr>
            <w:r>
              <w:rPr>
                <w:rFonts w:ascii="Arial" w:cs="Arial" w:eastAsia="Arial" w:hAnsi="Arial"/>
                <w:sz w:val="16"/>
                <w:szCs w:val="16"/>
                <w:color w:val="auto"/>
              </w:rPr>
              <w:t>Craig B. Glidden</w:t>
            </w:r>
          </w:p>
        </w:tc>
        <w:tc>
          <w:tcPr>
            <w:tcW w:w="1140" w:type="dxa"/>
            <w:vAlign w:val="bottom"/>
            <w:tcBorders>
              <w:bottom w:val="single" w:sz="8" w:color="08228B"/>
            </w:tcBorders>
          </w:tcPr>
          <w:p>
            <w:pPr>
              <w:jc w:val="right"/>
              <w:ind w:right="179"/>
              <w:spacing w:after="0"/>
              <w:rPr>
                <w:sz w:val="20"/>
                <w:szCs w:val="20"/>
                <w:color w:val="auto"/>
              </w:rPr>
            </w:pPr>
            <w:r>
              <w:rPr>
                <w:rFonts w:ascii="Arial" w:cs="Arial" w:eastAsia="Arial" w:hAnsi="Arial"/>
                <w:sz w:val="16"/>
                <w:szCs w:val="16"/>
                <w:color w:val="auto"/>
              </w:rPr>
              <w:t>39,297</w:t>
            </w:r>
          </w:p>
        </w:tc>
        <w:tc>
          <w:tcPr>
            <w:tcW w:w="1440" w:type="dxa"/>
            <w:vAlign w:val="bottom"/>
            <w:tcBorders>
              <w:bottom w:val="single" w:sz="8" w:color="08228B"/>
            </w:tcBorders>
            <w:gridSpan w:val="2"/>
          </w:tcPr>
          <w:p>
            <w:pPr>
              <w:jc w:val="right"/>
              <w:ind w:right="220"/>
              <w:spacing w:after="0"/>
              <w:rPr>
                <w:sz w:val="20"/>
                <w:szCs w:val="20"/>
                <w:color w:val="auto"/>
              </w:rPr>
            </w:pPr>
            <w:r>
              <w:rPr>
                <w:rFonts w:ascii="Arial" w:cs="Arial" w:eastAsia="Arial" w:hAnsi="Arial"/>
                <w:sz w:val="16"/>
                <w:szCs w:val="16"/>
                <w:color w:val="auto"/>
              </w:rPr>
              <w:t>75%</w:t>
            </w:r>
          </w:p>
        </w:tc>
        <w:tc>
          <w:tcPr>
            <w:tcW w:w="1160" w:type="dxa"/>
            <w:vAlign w:val="bottom"/>
            <w:tcBorders>
              <w:bottom w:val="single" w:sz="8" w:color="08228B"/>
            </w:tcBorders>
          </w:tcPr>
          <w:p>
            <w:pPr>
              <w:jc w:val="right"/>
              <w:ind w:right="379"/>
              <w:spacing w:after="0"/>
              <w:rPr>
                <w:sz w:val="20"/>
                <w:szCs w:val="20"/>
                <w:color w:val="auto"/>
              </w:rPr>
            </w:pPr>
            <w:r>
              <w:rPr>
                <w:rFonts w:ascii="Arial" w:cs="Arial" w:eastAsia="Arial" w:hAnsi="Arial"/>
                <w:sz w:val="16"/>
                <w:szCs w:val="16"/>
                <w:color w:val="auto"/>
              </w:rPr>
              <w:t>13,099</w:t>
            </w:r>
          </w:p>
        </w:tc>
        <w:tc>
          <w:tcPr>
            <w:tcW w:w="1440" w:type="dxa"/>
            <w:vAlign w:val="bottom"/>
            <w:tcBorders>
              <w:bottom w:val="single" w:sz="8" w:color="08228B"/>
            </w:tcBorders>
            <w:gridSpan w:val="2"/>
          </w:tcPr>
          <w:p>
            <w:pPr>
              <w:jc w:val="right"/>
              <w:ind w:right="220"/>
              <w:spacing w:after="0"/>
              <w:rPr>
                <w:sz w:val="20"/>
                <w:szCs w:val="20"/>
                <w:color w:val="auto"/>
              </w:rPr>
            </w:pPr>
            <w:r>
              <w:rPr>
                <w:rFonts w:ascii="Arial" w:cs="Arial" w:eastAsia="Arial" w:hAnsi="Arial"/>
                <w:sz w:val="16"/>
                <w:szCs w:val="16"/>
                <w:color w:val="auto"/>
              </w:rPr>
              <w:t>25%</w:t>
            </w:r>
          </w:p>
        </w:tc>
        <w:tc>
          <w:tcPr>
            <w:tcW w:w="1120" w:type="dxa"/>
            <w:vAlign w:val="bottom"/>
            <w:tcBorders>
              <w:bottom w:val="single" w:sz="8" w:color="08228B"/>
            </w:tcBorders>
          </w:tcPr>
          <w:p>
            <w:pPr>
              <w:jc w:val="right"/>
              <w:spacing w:after="0"/>
              <w:rPr>
                <w:sz w:val="20"/>
                <w:szCs w:val="20"/>
                <w:color w:val="auto"/>
              </w:rPr>
            </w:pPr>
            <w:r>
              <w:rPr>
                <w:rFonts w:ascii="Arial" w:cs="Arial" w:eastAsia="Arial" w:hAnsi="Arial"/>
                <w:sz w:val="16"/>
                <w:szCs w:val="16"/>
                <w:color w:val="auto"/>
              </w:rPr>
              <w:t>52,396</w:t>
            </w:r>
          </w:p>
        </w:tc>
      </w:tr>
    </w:tbl>
    <w:p>
      <w:pPr>
        <w:spacing w:after="0" w:line="58" w:lineRule="exact"/>
        <w:rPr>
          <w:sz w:val="20"/>
          <w:szCs w:val="20"/>
          <w:color w:val="auto"/>
        </w:rPr>
      </w:pPr>
    </w:p>
    <w:p>
      <w:pPr>
        <w:ind w:left="340" w:hanging="332"/>
        <w:spacing w:after="0"/>
        <w:tabs>
          <w:tab w:leader="none" w:pos="340" w:val="left"/>
        </w:tabs>
        <w:numPr>
          <w:ilvl w:val="0"/>
          <w:numId w:val="54"/>
        </w:numPr>
        <w:rPr>
          <w:rFonts w:ascii="Arial" w:cs="Arial" w:eastAsia="Arial" w:hAnsi="Arial"/>
          <w:sz w:val="14"/>
          <w:szCs w:val="14"/>
          <w:i w:val="1"/>
          <w:iCs w:val="1"/>
          <w:color w:val="auto"/>
        </w:rPr>
      </w:pPr>
      <w:r>
        <w:rPr>
          <w:rFonts w:ascii="Arial" w:cs="Arial" w:eastAsia="Arial" w:hAnsi="Arial"/>
          <w:sz w:val="14"/>
          <w:szCs w:val="14"/>
          <w:i w:val="1"/>
          <w:iCs w:val="1"/>
          <w:color w:val="auto"/>
        </w:rPr>
        <w:t>PSUs cliff-vest based on performance following the three-year performance period January 1, 2015 – December 31, 2017.</w:t>
      </w:r>
    </w:p>
    <w:p>
      <w:pPr>
        <w:spacing w:after="0" w:line="68" w:lineRule="exact"/>
        <w:rPr>
          <w:rFonts w:ascii="Arial" w:cs="Arial" w:eastAsia="Arial" w:hAnsi="Arial"/>
          <w:sz w:val="14"/>
          <w:szCs w:val="14"/>
          <w:i w:val="1"/>
          <w:iCs w:val="1"/>
          <w:color w:val="auto"/>
        </w:rPr>
      </w:pPr>
    </w:p>
    <w:p>
      <w:pPr>
        <w:ind w:left="340" w:hanging="332"/>
        <w:spacing w:after="0"/>
        <w:tabs>
          <w:tab w:leader="none" w:pos="340" w:val="left"/>
        </w:tabs>
        <w:numPr>
          <w:ilvl w:val="0"/>
          <w:numId w:val="54"/>
        </w:numPr>
        <w:rPr>
          <w:rFonts w:ascii="Arial" w:cs="Arial" w:eastAsia="Arial" w:hAnsi="Arial"/>
          <w:sz w:val="14"/>
          <w:szCs w:val="14"/>
          <w:i w:val="1"/>
          <w:iCs w:val="1"/>
          <w:color w:val="auto"/>
        </w:rPr>
      </w:pPr>
      <w:r>
        <w:rPr>
          <w:rFonts w:ascii="Arial" w:cs="Arial" w:eastAsia="Arial" w:hAnsi="Arial"/>
          <w:sz w:val="14"/>
          <w:szCs w:val="14"/>
          <w:i w:val="1"/>
          <w:iCs w:val="1"/>
          <w:color w:val="auto"/>
        </w:rPr>
        <w:t>RSUs vest ratably over the three-year period.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13"/>
        </w:trPr>
        <w:tc>
          <w:tcPr>
            <w:tcW w:w="4340" w:type="dxa"/>
            <w:vAlign w:val="bottom"/>
            <w:tcBorders>
              <w:bottom w:val="single" w:sz="8" w:color="08228B"/>
            </w:tcBorders>
          </w:tcPr>
          <w:p>
            <w:pPr>
              <w:spacing w:after="0"/>
              <w:rPr>
                <w:sz w:val="9"/>
                <w:szCs w:val="9"/>
                <w:color w:val="auto"/>
              </w:rPr>
            </w:pPr>
          </w:p>
        </w:tc>
        <w:tc>
          <w:tcPr>
            <w:tcW w:w="2060" w:type="dxa"/>
            <w:vAlign w:val="bottom"/>
            <w:vMerge w:val="restart"/>
          </w:tcPr>
          <w:p>
            <w:pPr>
              <w:ind w:left="60"/>
              <w:spacing w:after="0"/>
              <w:rPr>
                <w:sz w:val="20"/>
                <w:szCs w:val="20"/>
                <w:color w:val="auto"/>
              </w:rPr>
            </w:pPr>
            <w:r>
              <w:rPr>
                <w:rFonts w:ascii="Arial" w:cs="Arial" w:eastAsia="Arial" w:hAnsi="Arial"/>
                <w:sz w:val="16"/>
                <w:szCs w:val="16"/>
                <w:b w:val="1"/>
                <w:bCs w:val="1"/>
                <w:color w:val="1C90D3"/>
              </w:rPr>
              <w:t xml:space="preserve">2016 </w:t>
            </w:r>
            <w:r>
              <w:rPr>
                <w:rFonts w:ascii="Arial" w:cs="Arial" w:eastAsia="Arial" w:hAnsi="Arial"/>
                <w:sz w:val="16"/>
                <w:szCs w:val="16"/>
                <w:color w:val="08228B"/>
              </w:rPr>
              <w:t>PROXY STATEMENT</w:t>
            </w:r>
          </w:p>
        </w:tc>
        <w:tc>
          <w:tcPr>
            <w:tcW w:w="2400" w:type="dxa"/>
            <w:vAlign w:val="bottom"/>
            <w:tcBorders>
              <w:bottom w:val="single" w:sz="8" w:color="08228B"/>
            </w:tcBorders>
          </w:tcPr>
          <w:p>
            <w:pPr>
              <w:spacing w:after="0"/>
              <w:rPr>
                <w:sz w:val="9"/>
                <w:szCs w:val="9"/>
                <w:color w:val="auto"/>
              </w:rPr>
            </w:pPr>
          </w:p>
        </w:tc>
        <w:tc>
          <w:tcPr>
            <w:tcW w:w="2620" w:type="dxa"/>
            <w:vAlign w:val="bottom"/>
            <w:vMerge w:val="restart"/>
          </w:tcPr>
          <w:p>
            <w:pPr>
              <w:jc w:val="right"/>
              <w:ind w:right="39"/>
              <w:spacing w:after="0"/>
              <w:rPr>
                <w:sz w:val="20"/>
                <w:szCs w:val="20"/>
                <w:color w:val="auto"/>
              </w:rPr>
            </w:pPr>
            <w:r>
              <w:rPr>
                <w:rFonts w:ascii="Arial" w:cs="Arial" w:eastAsia="Arial" w:hAnsi="Arial"/>
                <w:sz w:val="16"/>
                <w:szCs w:val="16"/>
                <w:color w:val="08228B"/>
              </w:rPr>
              <w:t>44</w:t>
            </w:r>
          </w:p>
        </w:tc>
        <w:tc>
          <w:tcPr>
            <w:tcW w:w="0" w:type="dxa"/>
            <w:vAlign w:val="bottom"/>
          </w:tcPr>
          <w:p>
            <w:pPr>
              <w:spacing w:after="0"/>
              <w:rPr>
                <w:sz w:val="1"/>
                <w:szCs w:val="1"/>
                <w:color w:val="auto"/>
              </w:rPr>
            </w:pPr>
          </w:p>
        </w:tc>
      </w:tr>
      <w:tr>
        <w:trPr>
          <w:trHeight w:val="82"/>
        </w:trPr>
        <w:tc>
          <w:tcPr>
            <w:tcW w:w="4340" w:type="dxa"/>
            <w:vAlign w:val="bottom"/>
          </w:tcPr>
          <w:p>
            <w:pPr>
              <w:spacing w:after="0"/>
              <w:rPr>
                <w:sz w:val="7"/>
                <w:szCs w:val="7"/>
                <w:color w:val="auto"/>
              </w:rPr>
            </w:pPr>
          </w:p>
        </w:tc>
        <w:tc>
          <w:tcPr>
            <w:tcW w:w="2060" w:type="dxa"/>
            <w:vAlign w:val="bottom"/>
            <w:vMerge w:val="continue"/>
          </w:tcPr>
          <w:p>
            <w:pPr>
              <w:spacing w:after="0"/>
              <w:rPr>
                <w:sz w:val="7"/>
                <w:szCs w:val="7"/>
                <w:color w:val="auto"/>
              </w:rPr>
            </w:pPr>
          </w:p>
        </w:tc>
        <w:tc>
          <w:tcPr>
            <w:tcW w:w="2400" w:type="dxa"/>
            <w:vAlign w:val="bottom"/>
          </w:tcPr>
          <w:p>
            <w:pPr>
              <w:spacing w:after="0"/>
              <w:rPr>
                <w:sz w:val="7"/>
                <w:szCs w:val="7"/>
                <w:color w:val="auto"/>
              </w:rPr>
            </w:pPr>
          </w:p>
        </w:tc>
        <w:tc>
          <w:tcPr>
            <w:tcW w:w="2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7"/>
        </w:trPr>
        <w:tc>
          <w:tcPr>
            <w:tcW w:w="4340" w:type="dxa"/>
            <w:vAlign w:val="bottom"/>
            <w:tcBorders>
              <w:bottom w:val="single" w:sz="8" w:color="C0C0C0"/>
            </w:tcBorders>
          </w:tcPr>
          <w:p>
            <w:pPr>
              <w:spacing w:after="0"/>
              <w:rPr>
                <w:sz w:val="24"/>
                <w:szCs w:val="24"/>
                <w:color w:val="auto"/>
              </w:rPr>
            </w:pPr>
          </w:p>
        </w:tc>
        <w:tc>
          <w:tcPr>
            <w:tcW w:w="2060" w:type="dxa"/>
            <w:vAlign w:val="bottom"/>
            <w:tcBorders>
              <w:bottom w:val="single" w:sz="8" w:color="C0C0C0"/>
            </w:tcBorders>
          </w:tcPr>
          <w:p>
            <w:pPr>
              <w:spacing w:after="0"/>
              <w:rPr>
                <w:sz w:val="24"/>
                <w:szCs w:val="24"/>
                <w:color w:val="auto"/>
              </w:rPr>
            </w:pPr>
          </w:p>
        </w:tc>
        <w:tc>
          <w:tcPr>
            <w:tcW w:w="2400" w:type="dxa"/>
            <w:vAlign w:val="bottom"/>
            <w:tcBorders>
              <w:bottom w:val="single" w:sz="8" w:color="C0C0C0"/>
            </w:tcBorders>
          </w:tcPr>
          <w:p>
            <w:pPr>
              <w:spacing w:after="0"/>
              <w:rPr>
                <w:sz w:val="24"/>
                <w:szCs w:val="24"/>
                <w:color w:val="auto"/>
              </w:rPr>
            </w:pPr>
          </w:p>
        </w:tc>
        <w:tc>
          <w:tcPr>
            <w:tcW w:w="262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5613400</wp:posOffset>
            </wp:positionH>
            <wp:positionV relativeFrom="paragraph">
              <wp:posOffset>-334010</wp:posOffset>
            </wp:positionV>
            <wp:extent cx="1286510" cy="8572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1286510" cy="8572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Back to Contents</w:t>
        </w:r>
      </w:hyperlink>
    </w:p>
    <w:p>
      <w:pPr>
        <w:spacing w:after="0" w:line="196" w:lineRule="exact"/>
        <w:rPr>
          <w:sz w:val="20"/>
          <w:szCs w:val="20"/>
          <w:color w:val="auto"/>
        </w:rPr>
      </w:pPr>
    </w:p>
    <w:p>
      <w:pPr>
        <w:ind w:left="500" w:hanging="492"/>
        <w:spacing w:after="0"/>
        <w:tabs>
          <w:tab w:leader="none" w:pos="500" w:val="left"/>
        </w:tabs>
        <w:numPr>
          <w:ilvl w:val="0"/>
          <w:numId w:val="55"/>
        </w:numPr>
        <w:rPr>
          <w:rFonts w:ascii="Arial" w:cs="Arial" w:eastAsia="Arial" w:hAnsi="Arial"/>
          <w:sz w:val="25"/>
          <w:szCs w:val="25"/>
          <w:color w:val="08228B"/>
        </w:rPr>
      </w:pPr>
      <w:r>
        <w:rPr>
          <w:rFonts w:ascii="Arial" w:cs="Arial" w:eastAsia="Arial" w:hAnsi="Arial"/>
          <w:sz w:val="25"/>
          <w:szCs w:val="25"/>
          <w:color w:val="auto"/>
        </w:rPr>
        <w:t>2015–2020 Driving Stockholder Value Option Grant</w:t>
      </w:r>
    </w:p>
    <w:p>
      <w:pPr>
        <w:spacing w:after="0" w:line="19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On July 28, 2015, the Compensation Committee authorized a one-time DSV Option Grant for senior leaders under the 2014 LTIP. The purpose of the grant was to maintain the consistency in leadership needed for achieving the Company’s near-term and long-term goals as new competitors enter the automotive manufacturer market and actively seek to recruit our talent. The grant included both non-compete and non-solicitation terms and was intended to drive momentum as we make GM the world’s most valued automotive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169150" cy="1714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163" w:lineRule="exact"/>
        <w:rPr>
          <w:sz w:val="20"/>
          <w:szCs w:val="20"/>
          <w:color w:val="auto"/>
        </w:rPr>
      </w:pPr>
    </w:p>
    <w:p>
      <w:pPr>
        <w:ind w:left="120"/>
        <w:spacing w:after="0"/>
        <w:tabs>
          <w:tab w:leader="none" w:pos="3740" w:val="left"/>
          <w:tab w:leader="none" w:pos="7220" w:val="left"/>
        </w:tabs>
        <w:rPr>
          <w:sz w:val="20"/>
          <w:szCs w:val="20"/>
          <w:color w:val="auto"/>
        </w:rPr>
      </w:pPr>
      <w:r>
        <w:rPr>
          <w:rFonts w:ascii="Arial" w:cs="Arial" w:eastAsia="Arial" w:hAnsi="Arial"/>
          <w:sz w:val="16"/>
          <w:szCs w:val="16"/>
          <w:b w:val="1"/>
          <w:bCs w:val="1"/>
          <w:color w:val="1C90D3"/>
        </w:rPr>
        <w:t>Benefit to Shareholders</w:t>
      </w:r>
      <w:r>
        <w:rPr>
          <w:sz w:val="20"/>
          <w:szCs w:val="20"/>
          <w:color w:val="auto"/>
        </w:rPr>
        <w:tab/>
      </w:r>
      <w:r>
        <w:rPr>
          <w:rFonts w:ascii="Arial" w:cs="Arial" w:eastAsia="Arial" w:hAnsi="Arial"/>
          <w:sz w:val="16"/>
          <w:szCs w:val="16"/>
          <w:b w:val="1"/>
          <w:bCs w:val="1"/>
          <w:color w:val="1C90D3"/>
        </w:rPr>
        <w:t>Benefit to the Company</w:t>
      </w:r>
      <w:r>
        <w:rPr>
          <w:sz w:val="20"/>
          <w:szCs w:val="20"/>
          <w:color w:val="auto"/>
        </w:rPr>
        <w:tab/>
      </w:r>
      <w:r>
        <w:rPr>
          <w:rFonts w:ascii="Arial" w:cs="Arial" w:eastAsia="Arial" w:hAnsi="Arial"/>
          <w:sz w:val="16"/>
          <w:szCs w:val="16"/>
          <w:b w:val="1"/>
          <w:bCs w:val="1"/>
          <w:color w:val="1C90D3"/>
        </w:rPr>
        <w:t>Benefit to Senior Leaders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69150" cy="1714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p>
      <w:pPr>
        <w:spacing w:after="0" w:line="52" w:lineRule="exact"/>
        <w:rPr>
          <w:sz w:val="20"/>
          <w:szCs w:val="20"/>
          <w:color w:val="auto"/>
        </w:rPr>
      </w:pPr>
    </w:p>
    <w:p>
      <w:pPr>
        <w:ind w:left="320" w:hanging="190"/>
        <w:spacing w:after="0" w:line="246" w:lineRule="auto"/>
        <w:tabs>
          <w:tab w:leader="none" w:pos="314" w:val="left"/>
        </w:tabs>
        <w:numPr>
          <w:ilvl w:val="0"/>
          <w:numId w:val="56"/>
        </w:numPr>
        <w:rPr>
          <w:rFonts w:ascii="Arial" w:cs="Arial" w:eastAsia="Arial" w:hAnsi="Arial"/>
          <w:sz w:val="16"/>
          <w:szCs w:val="16"/>
          <w:color w:val="08228B"/>
        </w:rPr>
      </w:pPr>
      <w:r>
        <w:rPr>
          <w:rFonts w:ascii="Arial" w:cs="Arial" w:eastAsia="Arial" w:hAnsi="Arial"/>
          <w:sz w:val="16"/>
          <w:szCs w:val="16"/>
          <w:color w:val="auto"/>
        </w:rPr>
        <w:t>Senior leaders aligned to the interests of shareholders</w:t>
      </w:r>
    </w:p>
    <w:p>
      <w:pPr>
        <w:ind w:left="320" w:hanging="190"/>
        <w:spacing w:after="0"/>
        <w:tabs>
          <w:tab w:leader="none" w:pos="320" w:val="left"/>
        </w:tabs>
        <w:numPr>
          <w:ilvl w:val="0"/>
          <w:numId w:val="56"/>
        </w:numPr>
        <w:rPr>
          <w:rFonts w:ascii="Arial" w:cs="Arial" w:eastAsia="Arial" w:hAnsi="Arial"/>
          <w:sz w:val="16"/>
          <w:szCs w:val="16"/>
          <w:color w:val="08228B"/>
        </w:rPr>
      </w:pPr>
      <w:r>
        <w:rPr>
          <w:rFonts w:ascii="Arial" w:cs="Arial" w:eastAsia="Arial" w:hAnsi="Arial"/>
          <w:sz w:val="16"/>
          <w:szCs w:val="16"/>
          <w:color w:val="auto"/>
        </w:rPr>
        <w:t>Increased focus on GM stock price</w:t>
      </w:r>
    </w:p>
    <w:p>
      <w:pPr>
        <w:spacing w:after="0" w:line="5" w:lineRule="exact"/>
        <w:rPr>
          <w:rFonts w:ascii="Arial" w:cs="Arial" w:eastAsia="Arial" w:hAnsi="Arial"/>
          <w:sz w:val="16"/>
          <w:szCs w:val="16"/>
          <w:color w:val="08228B"/>
        </w:rPr>
      </w:pPr>
    </w:p>
    <w:p>
      <w:pPr>
        <w:ind w:left="320" w:hanging="190"/>
        <w:spacing w:after="0"/>
        <w:tabs>
          <w:tab w:leader="none" w:pos="320" w:val="left"/>
        </w:tabs>
        <w:numPr>
          <w:ilvl w:val="0"/>
          <w:numId w:val="56"/>
        </w:numPr>
        <w:rPr>
          <w:rFonts w:ascii="Arial" w:cs="Arial" w:eastAsia="Arial" w:hAnsi="Arial"/>
          <w:sz w:val="16"/>
          <w:szCs w:val="16"/>
          <w:color w:val="08228B"/>
        </w:rPr>
      </w:pPr>
      <w:r>
        <w:rPr>
          <w:rFonts w:ascii="Arial" w:cs="Arial" w:eastAsia="Arial" w:hAnsi="Arial"/>
          <w:sz w:val="16"/>
          <w:szCs w:val="16"/>
          <w:color w:val="auto"/>
        </w:rPr>
        <w:t>Stable leadership</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ind w:left="178" w:hanging="178"/>
        <w:spacing w:after="0" w:line="260" w:lineRule="auto"/>
        <w:tabs>
          <w:tab w:leader="none" w:pos="190" w:val="left"/>
        </w:tabs>
        <w:numPr>
          <w:ilvl w:val="0"/>
          <w:numId w:val="57"/>
        </w:numPr>
        <w:rPr>
          <w:rFonts w:ascii="Arial" w:cs="Arial" w:eastAsia="Arial" w:hAnsi="Arial"/>
          <w:sz w:val="16"/>
          <w:szCs w:val="16"/>
          <w:color w:val="08228B"/>
        </w:rPr>
      </w:pPr>
      <w:r>
        <w:rPr>
          <w:rFonts w:ascii="Arial" w:cs="Arial" w:eastAsia="Arial" w:hAnsi="Arial"/>
          <w:sz w:val="16"/>
          <w:szCs w:val="16"/>
          <w:color w:val="auto"/>
        </w:rPr>
        <w:t>Non-compete and non-solicitation terms with senior leaders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-2383155</wp:posOffset>
            </wp:positionH>
            <wp:positionV relativeFrom="paragraph">
              <wp:posOffset>226060</wp:posOffset>
            </wp:positionV>
            <wp:extent cx="7169150" cy="1714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ind w:left="173" w:right="360" w:hanging="173"/>
        <w:spacing w:after="0" w:line="260" w:lineRule="auto"/>
        <w:tabs>
          <w:tab w:leader="none" w:pos="185" w:val="left"/>
        </w:tabs>
        <w:numPr>
          <w:ilvl w:val="0"/>
          <w:numId w:val="58"/>
        </w:numPr>
        <w:rPr>
          <w:rFonts w:ascii="Arial" w:cs="Arial" w:eastAsia="Arial" w:hAnsi="Arial"/>
          <w:sz w:val="16"/>
          <w:szCs w:val="16"/>
          <w:color w:val="08228B"/>
        </w:rPr>
      </w:pPr>
      <w:r>
        <w:rPr>
          <w:rFonts w:ascii="Arial" w:cs="Arial" w:eastAsia="Arial" w:hAnsi="Arial"/>
          <w:sz w:val="16"/>
          <w:szCs w:val="16"/>
          <w:color w:val="auto"/>
        </w:rPr>
        <w:t>Upside potential on stock price appreciation due to business performance</w:t>
      </w:r>
    </w:p>
    <w:p>
      <w:pPr>
        <w:spacing w:after="0" w:line="552" w:lineRule="exact"/>
        <w:rPr>
          <w:sz w:val="20"/>
          <w:szCs w:val="20"/>
          <w:color w:val="auto"/>
        </w:rPr>
      </w:pPr>
    </w:p>
    <w:p>
      <w:pPr>
        <w:sectPr>
          <w:pgSz w:w="11900" w:h="16838" w:orient="portrait"/>
          <w:cols w:equalWidth="0" w:num="3">
            <w:col w:w="3220" w:space="542"/>
            <w:col w:w="3058" w:space="427"/>
            <w:col w:w="4173"/>
          </w:cols>
          <w:pgMar w:left="240" w:top="225" w:right="239" w:bottom="1440" w:gutter="0" w:footer="0" w:header="0"/>
          <w:type w:val="continuous"/>
        </w:sectPr>
      </w:pPr>
    </w:p>
    <w:p>
      <w:pPr>
        <w:spacing w:after="0" w:line="2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Compensation Committee established 40 percent of the award with time-based vesting to provide incentive for senior leaders to enter into non-compete and non-solicitation terms. The Compensation Committee chose to use TSR compared to the OEM Peer Group (displayed below) for the remaining 60 percent of the award to focus the senior leaders on our stock price performance against other OEMs. We understand investors can choose the automotive company in which to invest, and we must perform better than our competition.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169150" cy="24003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169150" cy="240030"/>
                    </a:xfrm>
                    <a:prstGeom prst="rect">
                      <a:avLst/>
                    </a:prstGeom>
                    <a:noFill/>
                  </pic:spPr>
                </pic:pic>
              </a:graphicData>
            </a:graphic>
          </wp:anchor>
        </w:drawing>
      </w:r>
    </w:p>
    <w:p>
      <w:pPr>
        <w:spacing w:after="0" w:line="230" w:lineRule="exact"/>
        <w:rPr>
          <w:sz w:val="20"/>
          <w:szCs w:val="20"/>
          <w:color w:val="auto"/>
        </w:rPr>
      </w:pPr>
    </w:p>
    <w:p>
      <w:pPr>
        <w:jc w:val="center"/>
        <w:ind w:right="120"/>
        <w:spacing w:after="0"/>
        <w:rPr>
          <w:sz w:val="20"/>
          <w:szCs w:val="20"/>
          <w:color w:val="auto"/>
        </w:rPr>
      </w:pPr>
      <w:r>
        <w:rPr>
          <w:rFonts w:ascii="Arial" w:cs="Arial" w:eastAsia="Arial" w:hAnsi="Arial"/>
          <w:sz w:val="16"/>
          <w:szCs w:val="16"/>
          <w:b w:val="1"/>
          <w:bCs w:val="1"/>
          <w:color w:val="08228B"/>
        </w:rPr>
        <w:t>VESTING SCHEDULE AND PERFORMANCE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69150" cy="168084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169150" cy="1680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20"/>
        <w:spacing w:after="0"/>
        <w:rPr>
          <w:sz w:val="20"/>
          <w:szCs w:val="20"/>
          <w:color w:val="auto"/>
        </w:rPr>
      </w:pPr>
      <w:r>
        <w:rPr>
          <w:rFonts w:ascii="Arial" w:cs="Arial" w:eastAsia="Arial" w:hAnsi="Arial"/>
          <w:sz w:val="16"/>
          <w:szCs w:val="16"/>
          <w:b w:val="1"/>
          <w:bCs w:val="1"/>
          <w:color w:val="1C90D3"/>
        </w:rPr>
        <w:t>Dow Jones Automobiles &amp; Parts Titans 30 Index – OEM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69150" cy="1714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28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color w:val="auto"/>
              </w:rPr>
              <w:t>Toyota Motor Company</w:t>
            </w:r>
          </w:p>
        </w:tc>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Volkswagen AG</w:t>
            </w:r>
          </w:p>
        </w:tc>
        <w:tc>
          <w:tcPr>
            <w:tcW w:w="3940" w:type="dxa"/>
            <w:vAlign w:val="bottom"/>
            <w:tcBorders>
              <w:bottom w:val="single" w:sz="8" w:color="auto"/>
            </w:tcBorders>
          </w:tcPr>
          <w:p>
            <w:pPr>
              <w:jc w:val="center"/>
              <w:ind w:left="139"/>
              <w:spacing w:after="0"/>
              <w:rPr>
                <w:sz w:val="20"/>
                <w:szCs w:val="20"/>
                <w:color w:val="auto"/>
              </w:rPr>
            </w:pPr>
            <w:r>
              <w:rPr>
                <w:rFonts w:ascii="Arial" w:cs="Arial" w:eastAsia="Arial" w:hAnsi="Arial"/>
                <w:sz w:val="16"/>
                <w:szCs w:val="16"/>
                <w:color w:val="auto"/>
              </w:rPr>
              <w:t>Suzuki Motor Corp.</w:t>
            </w:r>
          </w:p>
        </w:tc>
      </w:tr>
      <w:tr>
        <w:trPr>
          <w:trHeight w:val="237"/>
        </w:trPr>
        <w:tc>
          <w:tcPr>
            <w:tcW w:w="328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color w:val="auto"/>
              </w:rPr>
              <w:t>Daimler AG</w:t>
            </w:r>
          </w:p>
        </w:tc>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Bayerische Motoren Werke AG</w:t>
            </w:r>
          </w:p>
        </w:tc>
        <w:tc>
          <w:tcPr>
            <w:tcW w:w="3940" w:type="dxa"/>
            <w:vAlign w:val="bottom"/>
            <w:tcBorders>
              <w:bottom w:val="single" w:sz="8" w:color="auto"/>
            </w:tcBorders>
          </w:tcPr>
          <w:p>
            <w:pPr>
              <w:jc w:val="center"/>
              <w:ind w:left="139"/>
              <w:spacing w:after="0"/>
              <w:rPr>
                <w:sz w:val="20"/>
                <w:szCs w:val="20"/>
                <w:color w:val="auto"/>
              </w:rPr>
            </w:pPr>
            <w:r>
              <w:rPr>
                <w:rFonts w:ascii="Arial" w:cs="Arial" w:eastAsia="Arial" w:hAnsi="Arial"/>
                <w:sz w:val="16"/>
                <w:szCs w:val="16"/>
                <w:color w:val="auto"/>
              </w:rPr>
              <w:t>Fiat Chrysler Automobiles NV</w:t>
            </w:r>
          </w:p>
        </w:tc>
      </w:tr>
      <w:tr>
        <w:trPr>
          <w:trHeight w:val="237"/>
        </w:trPr>
        <w:tc>
          <w:tcPr>
            <w:tcW w:w="328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color w:val="auto"/>
              </w:rPr>
              <w:t>Ford Motor Company</w:t>
            </w:r>
          </w:p>
        </w:tc>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Nissan Motor Co. Ltd.</w:t>
            </w:r>
          </w:p>
        </w:tc>
        <w:tc>
          <w:tcPr>
            <w:tcW w:w="3940" w:type="dxa"/>
            <w:vAlign w:val="bottom"/>
            <w:tcBorders>
              <w:bottom w:val="single" w:sz="8" w:color="auto"/>
            </w:tcBorders>
          </w:tcPr>
          <w:p>
            <w:pPr>
              <w:jc w:val="center"/>
              <w:ind w:left="139"/>
              <w:spacing w:after="0"/>
              <w:rPr>
                <w:sz w:val="20"/>
                <w:szCs w:val="20"/>
                <w:color w:val="auto"/>
              </w:rPr>
            </w:pPr>
            <w:r>
              <w:rPr>
                <w:rFonts w:ascii="Arial" w:cs="Arial" w:eastAsia="Arial" w:hAnsi="Arial"/>
                <w:sz w:val="16"/>
                <w:szCs w:val="16"/>
                <w:color w:val="auto"/>
              </w:rPr>
              <w:t>Porsche Automobile Holding SE</w:t>
            </w:r>
          </w:p>
        </w:tc>
      </w:tr>
      <w:tr>
        <w:trPr>
          <w:trHeight w:val="237"/>
        </w:trPr>
        <w:tc>
          <w:tcPr>
            <w:tcW w:w="328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color w:val="auto"/>
              </w:rPr>
              <w:t>Honda Motor Co. Ltd.</w:t>
            </w:r>
          </w:p>
        </w:tc>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Renault SA</w:t>
            </w:r>
          </w:p>
        </w:tc>
        <w:tc>
          <w:tcPr>
            <w:tcW w:w="3940" w:type="dxa"/>
            <w:vAlign w:val="bottom"/>
            <w:tcBorders>
              <w:bottom w:val="single" w:sz="8" w:color="auto"/>
            </w:tcBorders>
          </w:tcPr>
          <w:p>
            <w:pPr>
              <w:jc w:val="center"/>
              <w:ind w:left="139"/>
              <w:spacing w:after="0"/>
              <w:rPr>
                <w:sz w:val="20"/>
                <w:szCs w:val="20"/>
                <w:color w:val="auto"/>
              </w:rPr>
            </w:pPr>
            <w:r>
              <w:rPr>
                <w:rFonts w:ascii="Arial" w:cs="Arial" w:eastAsia="Arial" w:hAnsi="Arial"/>
                <w:sz w:val="16"/>
                <w:szCs w:val="16"/>
                <w:color w:val="auto"/>
              </w:rPr>
              <w:t>Mazda Motor Corp.</w:t>
            </w:r>
          </w:p>
        </w:tc>
      </w:tr>
      <w:tr>
        <w:trPr>
          <w:trHeight w:val="291"/>
        </w:trPr>
        <w:tc>
          <w:tcPr>
            <w:tcW w:w="3280" w:type="dxa"/>
            <w:vAlign w:val="bottom"/>
            <w:tcBorders>
              <w:bottom w:val="single" w:sz="8" w:color="08228B"/>
            </w:tcBorders>
          </w:tcPr>
          <w:p>
            <w:pPr>
              <w:jc w:val="center"/>
              <w:ind w:right="139"/>
              <w:spacing w:after="0" w:line="284" w:lineRule="exact"/>
              <w:rPr>
                <w:sz w:val="20"/>
                <w:szCs w:val="20"/>
                <w:color w:val="auto"/>
              </w:rPr>
            </w:pPr>
            <w:r>
              <w:rPr>
                <w:rFonts w:ascii="Arial" w:cs="Arial" w:eastAsia="Arial" w:hAnsi="Arial"/>
                <w:sz w:val="16"/>
                <w:szCs w:val="16"/>
                <w:color w:val="auto"/>
                <w:w w:val="97"/>
              </w:rPr>
              <w:t>General Motors Co.</w:t>
            </w:r>
            <w:r>
              <w:rPr>
                <w:rFonts w:ascii="Arial" w:cs="Arial" w:eastAsia="Arial" w:hAnsi="Arial"/>
                <w:sz w:val="27"/>
                <w:szCs w:val="27"/>
                <w:color w:val="auto"/>
                <w:w w:val="97"/>
                <w:vertAlign w:val="superscript"/>
              </w:rPr>
              <w:t>(1)</w:t>
            </w:r>
          </w:p>
        </w:tc>
        <w:tc>
          <w:tcPr>
            <w:tcW w:w="4080" w:type="dxa"/>
            <w:vAlign w:val="bottom"/>
            <w:tcBorders>
              <w:bottom w:val="single" w:sz="8" w:color="08228B"/>
            </w:tcBorders>
          </w:tcPr>
          <w:p>
            <w:pPr>
              <w:jc w:val="center"/>
              <w:spacing w:after="0"/>
              <w:rPr>
                <w:sz w:val="20"/>
                <w:szCs w:val="20"/>
                <w:color w:val="auto"/>
              </w:rPr>
            </w:pPr>
            <w:r>
              <w:rPr>
                <w:rFonts w:ascii="Arial" w:cs="Arial" w:eastAsia="Arial" w:hAnsi="Arial"/>
                <w:sz w:val="16"/>
                <w:szCs w:val="16"/>
                <w:color w:val="auto"/>
              </w:rPr>
              <w:t>Hyundai Motor Co.</w:t>
            </w:r>
          </w:p>
        </w:tc>
        <w:tc>
          <w:tcPr>
            <w:tcW w:w="3940" w:type="dxa"/>
            <w:vAlign w:val="bottom"/>
            <w:tcBorders>
              <w:bottom w:val="single" w:sz="8" w:color="08228B"/>
            </w:tcBorders>
          </w:tcPr>
          <w:p>
            <w:pPr>
              <w:jc w:val="center"/>
              <w:ind w:left="139"/>
              <w:spacing w:after="0"/>
              <w:rPr>
                <w:sz w:val="20"/>
                <w:szCs w:val="20"/>
                <w:color w:val="auto"/>
              </w:rPr>
            </w:pPr>
            <w:r>
              <w:rPr>
                <w:rFonts w:ascii="Arial" w:cs="Arial" w:eastAsia="Arial" w:hAnsi="Arial"/>
                <w:sz w:val="16"/>
                <w:szCs w:val="16"/>
                <w:color w:val="auto"/>
                <w:w w:val="99"/>
              </w:rPr>
              <w:t>Kia Motors Corp.</w:t>
            </w:r>
          </w:p>
        </w:tc>
      </w:tr>
    </w:tbl>
    <w:p>
      <w:pPr>
        <w:spacing w:after="0" w:line="58" w:lineRule="exact"/>
        <w:rPr>
          <w:sz w:val="20"/>
          <w:szCs w:val="20"/>
          <w:color w:val="auto"/>
        </w:rPr>
      </w:pPr>
    </w:p>
    <w:p>
      <w:pPr>
        <w:jc w:val="both"/>
        <w:ind w:left="340" w:right="120" w:hanging="332"/>
        <w:spacing w:after="0" w:line="260" w:lineRule="auto"/>
        <w:tabs>
          <w:tab w:leader="none" w:pos="340" w:val="left"/>
        </w:tabs>
        <w:numPr>
          <w:ilvl w:val="0"/>
          <w:numId w:val="59"/>
        </w:numPr>
        <w:rPr>
          <w:rFonts w:ascii="Arial" w:cs="Arial" w:eastAsia="Arial" w:hAnsi="Arial"/>
          <w:sz w:val="14"/>
          <w:szCs w:val="14"/>
          <w:i w:val="1"/>
          <w:iCs w:val="1"/>
          <w:color w:val="auto"/>
        </w:rPr>
      </w:pPr>
      <w:r>
        <w:rPr>
          <w:rFonts w:ascii="Arial" w:cs="Arial" w:eastAsia="Arial" w:hAnsi="Arial"/>
          <w:sz w:val="14"/>
          <w:szCs w:val="14"/>
          <w:i w:val="1"/>
          <w:iCs w:val="1"/>
          <w:color w:val="auto"/>
        </w:rPr>
        <w:t>General Motors Company is not factored in the TSR performance of the OEM Peer Group. For purposes of calculating the starting and ending stock prices for the OEM Peer Group and GM, the 30-trading day trailing average stock price converted to U.S. dollars prior to and including the grant date through each performance-period end date as described above.</w:t>
      </w:r>
    </w:p>
    <w:p>
      <w:pPr>
        <w:spacing w:after="0" w:line="183" w:lineRule="exact"/>
        <w:rPr>
          <w:sz w:val="20"/>
          <w:szCs w:val="20"/>
          <w:color w:val="auto"/>
        </w:rPr>
      </w:pPr>
    </w:p>
    <w:p>
      <w:pPr>
        <w:ind w:right="320"/>
        <w:spacing w:after="0" w:line="261" w:lineRule="auto"/>
        <w:rPr>
          <w:sz w:val="20"/>
          <w:szCs w:val="20"/>
          <w:color w:val="auto"/>
        </w:rPr>
      </w:pPr>
      <w:r>
        <w:rPr>
          <w:rFonts w:ascii="Arial" w:cs="Arial" w:eastAsia="Arial" w:hAnsi="Arial"/>
          <w:sz w:val="22"/>
          <w:szCs w:val="22"/>
          <w:b w:val="1"/>
          <w:bCs w:val="1"/>
          <w:color w:val="auto"/>
        </w:rPr>
        <w:t>Each of the NEOs received the following stock option award as part of the Driving Stockholder Value Option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69150" cy="1714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640" w:type="dxa"/>
            <w:vAlign w:val="bottom"/>
          </w:tcPr>
          <w:p>
            <w:pPr>
              <w:jc w:val="right"/>
              <w:ind w:right="219"/>
              <w:spacing w:after="0"/>
              <w:rPr>
                <w:sz w:val="20"/>
                <w:szCs w:val="20"/>
                <w:color w:val="auto"/>
              </w:rPr>
            </w:pPr>
            <w:r>
              <w:rPr>
                <w:rFonts w:ascii="Arial" w:cs="Arial" w:eastAsia="Arial" w:hAnsi="Arial"/>
                <w:sz w:val="16"/>
                <w:szCs w:val="16"/>
                <w:b w:val="1"/>
                <w:bCs w:val="1"/>
                <w:color w:val="1C90D3"/>
              </w:rPr>
              <w:t>2018: 20%</w:t>
            </w:r>
          </w:p>
        </w:tc>
        <w:tc>
          <w:tcPr>
            <w:tcW w:w="1620" w:type="dxa"/>
            <w:vAlign w:val="bottom"/>
          </w:tcPr>
          <w:p>
            <w:pPr>
              <w:jc w:val="right"/>
              <w:ind w:right="199"/>
              <w:spacing w:after="0"/>
              <w:rPr>
                <w:sz w:val="20"/>
                <w:szCs w:val="20"/>
                <w:color w:val="auto"/>
              </w:rPr>
            </w:pPr>
            <w:r>
              <w:rPr>
                <w:rFonts w:ascii="Arial" w:cs="Arial" w:eastAsia="Arial" w:hAnsi="Arial"/>
                <w:sz w:val="16"/>
                <w:szCs w:val="16"/>
                <w:b w:val="1"/>
                <w:bCs w:val="1"/>
                <w:color w:val="1C90D3"/>
              </w:rPr>
              <w:t>2019: 20%</w:t>
            </w:r>
          </w:p>
        </w:tc>
        <w:tc>
          <w:tcPr>
            <w:tcW w:w="1380" w:type="dxa"/>
            <w:vAlign w:val="bottom"/>
          </w:tcPr>
          <w:p>
            <w:pPr>
              <w:jc w:val="right"/>
              <w:spacing w:after="0"/>
              <w:rPr>
                <w:sz w:val="20"/>
                <w:szCs w:val="20"/>
                <w:color w:val="auto"/>
              </w:rPr>
            </w:pPr>
            <w:r>
              <w:rPr>
                <w:rFonts w:ascii="Arial" w:cs="Arial" w:eastAsia="Arial" w:hAnsi="Arial"/>
                <w:sz w:val="16"/>
                <w:szCs w:val="16"/>
                <w:b w:val="1"/>
                <w:bCs w:val="1"/>
                <w:color w:val="1C90D3"/>
              </w:rPr>
              <w:t>2020: 20%</w:t>
            </w:r>
          </w:p>
        </w:tc>
      </w:tr>
      <w:tr>
        <w:trPr>
          <w:trHeight w:val="191"/>
        </w:trPr>
        <w:tc>
          <w:tcPr>
            <w:tcW w:w="2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20" w:type="dxa"/>
            <w:vAlign w:val="bottom"/>
          </w:tcPr>
          <w:p>
            <w:pPr>
              <w:jc w:val="right"/>
              <w:ind w:right="139"/>
              <w:spacing w:after="0"/>
              <w:rPr>
                <w:sz w:val="20"/>
                <w:szCs w:val="20"/>
                <w:color w:val="auto"/>
              </w:rPr>
            </w:pPr>
            <w:r>
              <w:rPr>
                <w:rFonts w:ascii="Arial" w:cs="Arial" w:eastAsia="Arial" w:hAnsi="Arial"/>
                <w:sz w:val="16"/>
                <w:szCs w:val="16"/>
                <w:b w:val="1"/>
                <w:bCs w:val="1"/>
                <w:color w:val="1C90D3"/>
              </w:rPr>
              <w:t>Exercise</w:t>
            </w:r>
          </w:p>
        </w:tc>
        <w:tc>
          <w:tcPr>
            <w:tcW w:w="1160" w:type="dxa"/>
            <w:vAlign w:val="bottom"/>
          </w:tcPr>
          <w:p>
            <w:pPr>
              <w:jc w:val="right"/>
              <w:ind w:right="159"/>
              <w:spacing w:after="0"/>
              <w:rPr>
                <w:sz w:val="20"/>
                <w:szCs w:val="20"/>
                <w:color w:val="auto"/>
              </w:rPr>
            </w:pPr>
            <w:r>
              <w:rPr>
                <w:rFonts w:ascii="Arial" w:cs="Arial" w:eastAsia="Arial" w:hAnsi="Arial"/>
                <w:sz w:val="16"/>
                <w:szCs w:val="16"/>
                <w:b w:val="1"/>
                <w:bCs w:val="1"/>
                <w:color w:val="1C90D3"/>
              </w:rPr>
              <w:t>Total</w:t>
            </w:r>
          </w:p>
        </w:tc>
        <w:tc>
          <w:tcPr>
            <w:tcW w:w="1440" w:type="dxa"/>
            <w:vAlign w:val="bottom"/>
          </w:tcPr>
          <w:p>
            <w:pPr>
              <w:jc w:val="right"/>
              <w:ind w:right="219"/>
              <w:spacing w:after="0"/>
              <w:rPr>
                <w:sz w:val="20"/>
                <w:szCs w:val="20"/>
                <w:color w:val="auto"/>
              </w:rPr>
            </w:pPr>
            <w:r>
              <w:rPr>
                <w:rFonts w:ascii="Arial" w:cs="Arial" w:eastAsia="Arial" w:hAnsi="Arial"/>
                <w:sz w:val="16"/>
                <w:szCs w:val="16"/>
                <w:b w:val="1"/>
                <w:bCs w:val="1"/>
                <w:color w:val="1C90D3"/>
              </w:rPr>
              <w:t>2017: 40%</w:t>
            </w:r>
          </w:p>
        </w:tc>
        <w:tc>
          <w:tcPr>
            <w:tcW w:w="1640" w:type="dxa"/>
            <w:vAlign w:val="bottom"/>
          </w:tcPr>
          <w:p>
            <w:pPr>
              <w:jc w:val="right"/>
              <w:ind w:right="219"/>
              <w:spacing w:after="0"/>
              <w:rPr>
                <w:sz w:val="20"/>
                <w:szCs w:val="20"/>
                <w:color w:val="auto"/>
              </w:rPr>
            </w:pPr>
            <w:r>
              <w:rPr>
                <w:rFonts w:ascii="Arial" w:cs="Arial" w:eastAsia="Arial" w:hAnsi="Arial"/>
                <w:sz w:val="16"/>
                <w:szCs w:val="16"/>
                <w:b w:val="1"/>
                <w:bCs w:val="1"/>
                <w:color w:val="1C90D3"/>
              </w:rPr>
              <w:t>TSR vs. OEM</w:t>
            </w:r>
          </w:p>
        </w:tc>
        <w:tc>
          <w:tcPr>
            <w:tcW w:w="1620" w:type="dxa"/>
            <w:vAlign w:val="bottom"/>
          </w:tcPr>
          <w:p>
            <w:pPr>
              <w:jc w:val="right"/>
              <w:ind w:right="199"/>
              <w:spacing w:after="0"/>
              <w:rPr>
                <w:sz w:val="20"/>
                <w:szCs w:val="20"/>
                <w:color w:val="auto"/>
              </w:rPr>
            </w:pPr>
            <w:r>
              <w:rPr>
                <w:rFonts w:ascii="Arial" w:cs="Arial" w:eastAsia="Arial" w:hAnsi="Arial"/>
                <w:sz w:val="16"/>
                <w:szCs w:val="16"/>
                <w:b w:val="1"/>
                <w:bCs w:val="1"/>
                <w:color w:val="1C90D3"/>
              </w:rPr>
              <w:t>TSR vs. OEM</w:t>
            </w:r>
          </w:p>
        </w:tc>
        <w:tc>
          <w:tcPr>
            <w:tcW w:w="1380" w:type="dxa"/>
            <w:vAlign w:val="bottom"/>
          </w:tcPr>
          <w:p>
            <w:pPr>
              <w:jc w:val="right"/>
              <w:spacing w:after="0"/>
              <w:rPr>
                <w:sz w:val="20"/>
                <w:szCs w:val="20"/>
                <w:color w:val="auto"/>
              </w:rPr>
            </w:pPr>
            <w:r>
              <w:rPr>
                <w:rFonts w:ascii="Arial" w:cs="Arial" w:eastAsia="Arial" w:hAnsi="Arial"/>
                <w:sz w:val="16"/>
                <w:szCs w:val="16"/>
                <w:b w:val="1"/>
                <w:bCs w:val="1"/>
                <w:color w:val="1C90D3"/>
              </w:rPr>
              <w:t>TSR vs. OEM</w:t>
            </w:r>
          </w:p>
        </w:tc>
      </w:tr>
      <w:tr>
        <w:trPr>
          <w:trHeight w:val="280"/>
        </w:trPr>
        <w:tc>
          <w:tcPr>
            <w:tcW w:w="2240" w:type="dxa"/>
            <w:vAlign w:val="bottom"/>
            <w:tcBorders>
              <w:bottom w:val="single" w:sz="8" w:color="1C90D3"/>
            </w:tcBorders>
          </w:tcPr>
          <w:p>
            <w:pPr>
              <w:ind w:left="60"/>
              <w:spacing w:after="0"/>
              <w:rPr>
                <w:sz w:val="20"/>
                <w:szCs w:val="20"/>
                <w:color w:val="auto"/>
              </w:rPr>
            </w:pPr>
            <w:r>
              <w:rPr>
                <w:rFonts w:ascii="Arial" w:cs="Arial" w:eastAsia="Arial" w:hAnsi="Arial"/>
                <w:sz w:val="16"/>
                <w:szCs w:val="16"/>
                <w:color w:val="1C90D3"/>
              </w:rPr>
              <w:t>Name</w:t>
            </w:r>
          </w:p>
        </w:tc>
        <w:tc>
          <w:tcPr>
            <w:tcW w:w="800" w:type="dxa"/>
            <w:vAlign w:val="bottom"/>
            <w:tcBorders>
              <w:bottom w:val="single" w:sz="8" w:color="1C90D3"/>
            </w:tcBorders>
          </w:tcPr>
          <w:p>
            <w:pPr>
              <w:spacing w:after="0"/>
              <w:rPr>
                <w:sz w:val="24"/>
                <w:szCs w:val="24"/>
                <w:color w:val="auto"/>
              </w:rPr>
            </w:pPr>
          </w:p>
        </w:tc>
        <w:tc>
          <w:tcPr>
            <w:tcW w:w="1020" w:type="dxa"/>
            <w:vAlign w:val="bottom"/>
            <w:tcBorders>
              <w:bottom w:val="single" w:sz="8" w:color="1C90D3"/>
            </w:tcBorders>
          </w:tcPr>
          <w:p>
            <w:pPr>
              <w:jc w:val="right"/>
              <w:ind w:right="139"/>
              <w:spacing w:after="0"/>
              <w:rPr>
                <w:sz w:val="20"/>
                <w:szCs w:val="20"/>
                <w:color w:val="auto"/>
              </w:rPr>
            </w:pPr>
            <w:r>
              <w:rPr>
                <w:rFonts w:ascii="Arial" w:cs="Arial" w:eastAsia="Arial" w:hAnsi="Arial"/>
                <w:sz w:val="16"/>
                <w:szCs w:val="16"/>
                <w:b w:val="1"/>
                <w:bCs w:val="1"/>
                <w:color w:val="1C90D3"/>
              </w:rPr>
              <w:t>Price</w:t>
            </w:r>
          </w:p>
        </w:tc>
        <w:tc>
          <w:tcPr>
            <w:tcW w:w="1160" w:type="dxa"/>
            <w:vAlign w:val="bottom"/>
            <w:tcBorders>
              <w:bottom w:val="single" w:sz="8" w:color="1C90D3"/>
            </w:tcBorders>
          </w:tcPr>
          <w:p>
            <w:pPr>
              <w:jc w:val="right"/>
              <w:ind w:right="159"/>
              <w:spacing w:after="0"/>
              <w:rPr>
                <w:sz w:val="20"/>
                <w:szCs w:val="20"/>
                <w:color w:val="auto"/>
              </w:rPr>
            </w:pPr>
            <w:r>
              <w:rPr>
                <w:rFonts w:ascii="Arial" w:cs="Arial" w:eastAsia="Arial" w:hAnsi="Arial"/>
                <w:sz w:val="16"/>
                <w:szCs w:val="16"/>
                <w:b w:val="1"/>
                <w:bCs w:val="1"/>
                <w:color w:val="1C90D3"/>
              </w:rPr>
              <w:t>Grant</w:t>
            </w:r>
          </w:p>
        </w:tc>
        <w:tc>
          <w:tcPr>
            <w:tcW w:w="1440" w:type="dxa"/>
            <w:vAlign w:val="bottom"/>
            <w:tcBorders>
              <w:bottom w:val="single" w:sz="8" w:color="1C90D3"/>
            </w:tcBorders>
          </w:tcPr>
          <w:p>
            <w:pPr>
              <w:jc w:val="right"/>
              <w:ind w:right="219"/>
              <w:spacing w:after="0"/>
              <w:rPr>
                <w:sz w:val="20"/>
                <w:szCs w:val="20"/>
                <w:color w:val="auto"/>
              </w:rPr>
            </w:pPr>
            <w:r>
              <w:rPr>
                <w:rFonts w:ascii="Arial" w:cs="Arial" w:eastAsia="Arial" w:hAnsi="Arial"/>
                <w:sz w:val="16"/>
                <w:szCs w:val="16"/>
                <w:b w:val="1"/>
                <w:bCs w:val="1"/>
                <w:color w:val="1C90D3"/>
              </w:rPr>
              <w:t>Time-Based</w:t>
            </w:r>
          </w:p>
        </w:tc>
        <w:tc>
          <w:tcPr>
            <w:tcW w:w="1640" w:type="dxa"/>
            <w:vAlign w:val="bottom"/>
            <w:tcBorders>
              <w:bottom w:val="single" w:sz="8" w:color="1C90D3"/>
            </w:tcBorders>
          </w:tcPr>
          <w:p>
            <w:pPr>
              <w:jc w:val="right"/>
              <w:ind w:right="219"/>
              <w:spacing w:after="0" w:line="273" w:lineRule="exact"/>
              <w:rPr>
                <w:sz w:val="20"/>
                <w:szCs w:val="20"/>
                <w:color w:val="auto"/>
              </w:rPr>
            </w:pPr>
            <w:r>
              <w:rPr>
                <w:rFonts w:ascii="Arial" w:cs="Arial" w:eastAsia="Arial" w:hAnsi="Arial"/>
                <w:sz w:val="16"/>
                <w:szCs w:val="16"/>
                <w:b w:val="1"/>
                <w:bCs w:val="1"/>
                <w:color w:val="1C90D3"/>
              </w:rPr>
              <w:t>Peer Group</w:t>
            </w:r>
            <w:r>
              <w:rPr>
                <w:rFonts w:ascii="Arial" w:cs="Arial" w:eastAsia="Arial" w:hAnsi="Arial"/>
                <w:sz w:val="27"/>
                <w:szCs w:val="27"/>
                <w:b w:val="1"/>
                <w:bCs w:val="1"/>
                <w:color w:val="1C90D3"/>
                <w:vertAlign w:val="superscript"/>
              </w:rPr>
              <w:t>(1)</w:t>
            </w:r>
          </w:p>
        </w:tc>
        <w:tc>
          <w:tcPr>
            <w:tcW w:w="1620" w:type="dxa"/>
            <w:vAlign w:val="bottom"/>
            <w:tcBorders>
              <w:bottom w:val="single" w:sz="8" w:color="1C90D3"/>
            </w:tcBorders>
          </w:tcPr>
          <w:p>
            <w:pPr>
              <w:jc w:val="right"/>
              <w:ind w:right="199"/>
              <w:spacing w:after="0" w:line="273" w:lineRule="exact"/>
              <w:rPr>
                <w:sz w:val="20"/>
                <w:szCs w:val="20"/>
                <w:color w:val="auto"/>
              </w:rPr>
            </w:pPr>
            <w:r>
              <w:rPr>
                <w:rFonts w:ascii="Arial" w:cs="Arial" w:eastAsia="Arial" w:hAnsi="Arial"/>
                <w:sz w:val="16"/>
                <w:szCs w:val="16"/>
                <w:b w:val="1"/>
                <w:bCs w:val="1"/>
                <w:color w:val="1C90D3"/>
              </w:rPr>
              <w:t>Peer Group</w:t>
            </w:r>
            <w:r>
              <w:rPr>
                <w:rFonts w:ascii="Arial" w:cs="Arial" w:eastAsia="Arial" w:hAnsi="Arial"/>
                <w:sz w:val="27"/>
                <w:szCs w:val="27"/>
                <w:b w:val="1"/>
                <w:bCs w:val="1"/>
                <w:color w:val="1C90D3"/>
                <w:vertAlign w:val="superscript"/>
              </w:rPr>
              <w:t>(1)</w:t>
            </w:r>
          </w:p>
        </w:tc>
        <w:tc>
          <w:tcPr>
            <w:tcW w:w="1380" w:type="dxa"/>
            <w:vAlign w:val="bottom"/>
            <w:tcBorders>
              <w:bottom w:val="single" w:sz="8" w:color="1C90D3"/>
            </w:tcBorders>
          </w:tcPr>
          <w:p>
            <w:pPr>
              <w:jc w:val="right"/>
              <w:spacing w:after="0" w:line="273" w:lineRule="exact"/>
              <w:rPr>
                <w:sz w:val="20"/>
                <w:szCs w:val="20"/>
                <w:color w:val="auto"/>
              </w:rPr>
            </w:pPr>
            <w:r>
              <w:rPr>
                <w:rFonts w:ascii="Arial" w:cs="Arial" w:eastAsia="Arial" w:hAnsi="Arial"/>
                <w:sz w:val="16"/>
                <w:szCs w:val="16"/>
                <w:b w:val="1"/>
                <w:bCs w:val="1"/>
                <w:color w:val="1C90D3"/>
              </w:rPr>
              <w:t>Peer Group</w:t>
            </w:r>
            <w:r>
              <w:rPr>
                <w:rFonts w:ascii="Arial" w:cs="Arial" w:eastAsia="Arial" w:hAnsi="Arial"/>
                <w:sz w:val="27"/>
                <w:szCs w:val="27"/>
                <w:b w:val="1"/>
                <w:bCs w:val="1"/>
                <w:color w:val="1C90D3"/>
                <w:vertAlign w:val="superscript"/>
              </w:rPr>
              <w:t>(1)</w:t>
            </w:r>
          </w:p>
        </w:tc>
      </w:tr>
      <w:tr>
        <w:trPr>
          <w:trHeight w:val="237"/>
        </w:trPr>
        <w:tc>
          <w:tcPr>
            <w:tcW w:w="22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Mary T. Barra</w:t>
            </w:r>
          </w:p>
        </w:tc>
        <w:tc>
          <w:tcPr>
            <w:tcW w:w="8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31.32</w:t>
            </w:r>
          </w:p>
        </w:tc>
        <w:tc>
          <w:tcPr>
            <w:tcW w:w="11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2,603,037</w:t>
            </w:r>
          </w:p>
        </w:tc>
        <w:tc>
          <w:tcPr>
            <w:tcW w:w="14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1,041, 215</w:t>
            </w:r>
          </w:p>
        </w:tc>
        <w:tc>
          <w:tcPr>
            <w:tcW w:w="16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520,608</w:t>
            </w:r>
          </w:p>
        </w:tc>
        <w:tc>
          <w:tcPr>
            <w:tcW w:w="16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520,607</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520,607</w:t>
            </w:r>
          </w:p>
        </w:tc>
      </w:tr>
      <w:tr>
        <w:trPr>
          <w:trHeight w:val="237"/>
        </w:trPr>
        <w:tc>
          <w:tcPr>
            <w:tcW w:w="22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Charles K. Stevens, III</w:t>
            </w:r>
          </w:p>
        </w:tc>
        <w:tc>
          <w:tcPr>
            <w:tcW w:w="8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31.32</w:t>
            </w:r>
          </w:p>
        </w:tc>
        <w:tc>
          <w:tcPr>
            <w:tcW w:w="11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623,645</w:t>
            </w:r>
          </w:p>
        </w:tc>
        <w:tc>
          <w:tcPr>
            <w:tcW w:w="14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249,458</w:t>
            </w:r>
          </w:p>
        </w:tc>
        <w:tc>
          <w:tcPr>
            <w:tcW w:w="16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124,729</w:t>
            </w:r>
          </w:p>
        </w:tc>
        <w:tc>
          <w:tcPr>
            <w:tcW w:w="16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124,729</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124,729</w:t>
            </w:r>
          </w:p>
        </w:tc>
      </w:tr>
      <w:tr>
        <w:trPr>
          <w:trHeight w:val="237"/>
        </w:trPr>
        <w:tc>
          <w:tcPr>
            <w:tcW w:w="22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Daniel Ammann</w:t>
            </w:r>
          </w:p>
        </w:tc>
        <w:tc>
          <w:tcPr>
            <w:tcW w:w="8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31.32</w:t>
            </w:r>
          </w:p>
        </w:tc>
        <w:tc>
          <w:tcPr>
            <w:tcW w:w="11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976,139</w:t>
            </w:r>
          </w:p>
        </w:tc>
        <w:tc>
          <w:tcPr>
            <w:tcW w:w="14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390,456</w:t>
            </w:r>
          </w:p>
        </w:tc>
        <w:tc>
          <w:tcPr>
            <w:tcW w:w="16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195,228</w:t>
            </w:r>
          </w:p>
        </w:tc>
        <w:tc>
          <w:tcPr>
            <w:tcW w:w="16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195,228</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195,227</w:t>
            </w:r>
          </w:p>
        </w:tc>
      </w:tr>
      <w:tr>
        <w:trPr>
          <w:trHeight w:val="237"/>
        </w:trPr>
        <w:tc>
          <w:tcPr>
            <w:tcW w:w="22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Mark L. Reuss</w:t>
            </w:r>
          </w:p>
        </w:tc>
        <w:tc>
          <w:tcPr>
            <w:tcW w:w="8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31.32</w:t>
            </w:r>
          </w:p>
        </w:tc>
        <w:tc>
          <w:tcPr>
            <w:tcW w:w="11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829,719</w:t>
            </w:r>
          </w:p>
        </w:tc>
        <w:tc>
          <w:tcPr>
            <w:tcW w:w="14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331,888</w:t>
            </w:r>
          </w:p>
        </w:tc>
        <w:tc>
          <w:tcPr>
            <w:tcW w:w="16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165,944</w:t>
            </w:r>
          </w:p>
        </w:tc>
        <w:tc>
          <w:tcPr>
            <w:tcW w:w="16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165,944</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165,943</w:t>
            </w:r>
          </w:p>
        </w:tc>
      </w:tr>
      <w:tr>
        <w:trPr>
          <w:trHeight w:val="250"/>
        </w:trPr>
        <w:tc>
          <w:tcPr>
            <w:tcW w:w="2240" w:type="dxa"/>
            <w:vAlign w:val="bottom"/>
            <w:tcBorders>
              <w:bottom w:val="single" w:sz="8" w:color="08228B"/>
            </w:tcBorders>
          </w:tcPr>
          <w:p>
            <w:pPr>
              <w:ind w:left="60"/>
              <w:spacing w:after="0"/>
              <w:rPr>
                <w:sz w:val="20"/>
                <w:szCs w:val="20"/>
                <w:color w:val="auto"/>
              </w:rPr>
            </w:pPr>
            <w:r>
              <w:rPr>
                <w:rFonts w:ascii="Arial" w:cs="Arial" w:eastAsia="Arial" w:hAnsi="Arial"/>
                <w:sz w:val="16"/>
                <w:szCs w:val="16"/>
                <w:color w:val="auto"/>
              </w:rPr>
              <w:t>Craig B. Glidden</w:t>
            </w:r>
          </w:p>
        </w:tc>
        <w:tc>
          <w:tcPr>
            <w:tcW w:w="800" w:type="dxa"/>
            <w:vAlign w:val="bottom"/>
            <w:tcBorders>
              <w:bottom w:val="single" w:sz="8" w:color="08228B"/>
            </w:tcBorders>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08228B"/>
            </w:tcBorders>
          </w:tcPr>
          <w:p>
            <w:pPr>
              <w:jc w:val="right"/>
              <w:ind w:right="139"/>
              <w:spacing w:after="0"/>
              <w:rPr>
                <w:sz w:val="20"/>
                <w:szCs w:val="20"/>
                <w:color w:val="auto"/>
              </w:rPr>
            </w:pPr>
            <w:r>
              <w:rPr>
                <w:rFonts w:ascii="Arial" w:cs="Arial" w:eastAsia="Arial" w:hAnsi="Arial"/>
                <w:sz w:val="16"/>
                <w:szCs w:val="16"/>
                <w:color w:val="auto"/>
              </w:rPr>
              <w:t>31.32</w:t>
            </w:r>
          </w:p>
        </w:tc>
        <w:tc>
          <w:tcPr>
            <w:tcW w:w="1160" w:type="dxa"/>
            <w:vAlign w:val="bottom"/>
            <w:tcBorders>
              <w:bottom w:val="single" w:sz="8" w:color="08228B"/>
            </w:tcBorders>
          </w:tcPr>
          <w:p>
            <w:pPr>
              <w:jc w:val="right"/>
              <w:ind w:right="159"/>
              <w:spacing w:after="0"/>
              <w:rPr>
                <w:sz w:val="20"/>
                <w:szCs w:val="20"/>
                <w:color w:val="auto"/>
              </w:rPr>
            </w:pPr>
            <w:r>
              <w:rPr>
                <w:rFonts w:ascii="Arial" w:cs="Arial" w:eastAsia="Arial" w:hAnsi="Arial"/>
                <w:sz w:val="16"/>
                <w:szCs w:val="16"/>
                <w:color w:val="auto"/>
              </w:rPr>
              <w:t>417, 571</w:t>
            </w:r>
          </w:p>
        </w:tc>
        <w:tc>
          <w:tcPr>
            <w:tcW w:w="1440" w:type="dxa"/>
            <w:vAlign w:val="bottom"/>
            <w:tcBorders>
              <w:bottom w:val="single" w:sz="8" w:color="08228B"/>
            </w:tcBorders>
          </w:tcPr>
          <w:p>
            <w:pPr>
              <w:jc w:val="right"/>
              <w:ind w:right="219"/>
              <w:spacing w:after="0"/>
              <w:rPr>
                <w:sz w:val="20"/>
                <w:szCs w:val="20"/>
                <w:color w:val="auto"/>
              </w:rPr>
            </w:pPr>
            <w:r>
              <w:rPr>
                <w:rFonts w:ascii="Arial" w:cs="Arial" w:eastAsia="Arial" w:hAnsi="Arial"/>
                <w:sz w:val="16"/>
                <w:szCs w:val="16"/>
                <w:color w:val="auto"/>
              </w:rPr>
              <w:t>167,029</w:t>
            </w:r>
          </w:p>
        </w:tc>
        <w:tc>
          <w:tcPr>
            <w:tcW w:w="1640" w:type="dxa"/>
            <w:vAlign w:val="bottom"/>
            <w:tcBorders>
              <w:bottom w:val="single" w:sz="8" w:color="08228B"/>
            </w:tcBorders>
          </w:tcPr>
          <w:p>
            <w:pPr>
              <w:jc w:val="right"/>
              <w:ind w:right="219"/>
              <w:spacing w:after="0"/>
              <w:rPr>
                <w:sz w:val="20"/>
                <w:szCs w:val="20"/>
                <w:color w:val="auto"/>
              </w:rPr>
            </w:pPr>
            <w:r>
              <w:rPr>
                <w:rFonts w:ascii="Arial" w:cs="Arial" w:eastAsia="Arial" w:hAnsi="Arial"/>
                <w:sz w:val="16"/>
                <w:szCs w:val="16"/>
                <w:color w:val="auto"/>
              </w:rPr>
              <w:t>83,514</w:t>
            </w:r>
          </w:p>
        </w:tc>
        <w:tc>
          <w:tcPr>
            <w:tcW w:w="1620" w:type="dxa"/>
            <w:vAlign w:val="bottom"/>
            <w:tcBorders>
              <w:bottom w:val="single" w:sz="8" w:color="08228B"/>
            </w:tcBorders>
          </w:tcPr>
          <w:p>
            <w:pPr>
              <w:jc w:val="right"/>
              <w:ind w:right="199"/>
              <w:spacing w:after="0"/>
              <w:rPr>
                <w:sz w:val="20"/>
                <w:szCs w:val="20"/>
                <w:color w:val="auto"/>
              </w:rPr>
            </w:pPr>
            <w:r>
              <w:rPr>
                <w:rFonts w:ascii="Arial" w:cs="Arial" w:eastAsia="Arial" w:hAnsi="Arial"/>
                <w:sz w:val="16"/>
                <w:szCs w:val="16"/>
                <w:color w:val="auto"/>
              </w:rPr>
              <w:t>83,514</w:t>
            </w:r>
          </w:p>
        </w:tc>
        <w:tc>
          <w:tcPr>
            <w:tcW w:w="1380" w:type="dxa"/>
            <w:vAlign w:val="bottom"/>
            <w:tcBorders>
              <w:bottom w:val="single" w:sz="8" w:color="08228B"/>
            </w:tcBorders>
          </w:tcPr>
          <w:p>
            <w:pPr>
              <w:jc w:val="right"/>
              <w:spacing w:after="0"/>
              <w:rPr>
                <w:sz w:val="20"/>
                <w:szCs w:val="20"/>
                <w:color w:val="auto"/>
              </w:rPr>
            </w:pPr>
            <w:r>
              <w:rPr>
                <w:rFonts w:ascii="Arial" w:cs="Arial" w:eastAsia="Arial" w:hAnsi="Arial"/>
                <w:sz w:val="16"/>
                <w:szCs w:val="16"/>
                <w:color w:val="auto"/>
              </w:rPr>
              <w:t>83,514</w:t>
            </w:r>
          </w:p>
        </w:tc>
      </w:tr>
    </w:tbl>
    <w:p>
      <w:pPr>
        <w:spacing w:after="0" w:line="58" w:lineRule="exact"/>
        <w:rPr>
          <w:sz w:val="20"/>
          <w:szCs w:val="20"/>
          <w:color w:val="auto"/>
        </w:rPr>
      </w:pPr>
    </w:p>
    <w:p>
      <w:pPr>
        <w:ind w:left="340" w:hanging="332"/>
        <w:spacing w:after="0"/>
        <w:tabs>
          <w:tab w:leader="none" w:pos="340" w:val="left"/>
        </w:tabs>
        <w:numPr>
          <w:ilvl w:val="0"/>
          <w:numId w:val="60"/>
        </w:numPr>
        <w:rPr>
          <w:rFonts w:ascii="Arial" w:cs="Arial" w:eastAsia="Arial" w:hAnsi="Arial"/>
          <w:sz w:val="14"/>
          <w:szCs w:val="14"/>
          <w:i w:val="1"/>
          <w:iCs w:val="1"/>
          <w:color w:val="auto"/>
        </w:rPr>
      </w:pPr>
      <w:r>
        <w:rPr>
          <w:rFonts w:ascii="Arial" w:cs="Arial" w:eastAsia="Arial" w:hAnsi="Arial"/>
          <w:sz w:val="14"/>
          <w:szCs w:val="14"/>
          <w:i w:val="1"/>
          <w:iCs w:val="1"/>
          <w:color w:val="auto"/>
        </w:rPr>
        <w:t>This portion of the award will be forfeited if TSR does not meet or exceed the median TSR of the OEM Peer Group for the measurement period.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13"/>
        </w:trPr>
        <w:tc>
          <w:tcPr>
            <w:tcW w:w="4340" w:type="dxa"/>
            <w:vAlign w:val="bottom"/>
            <w:tcBorders>
              <w:bottom w:val="single" w:sz="8" w:color="08228B"/>
            </w:tcBorders>
          </w:tcPr>
          <w:p>
            <w:pPr>
              <w:spacing w:after="0"/>
              <w:rPr>
                <w:sz w:val="9"/>
                <w:szCs w:val="9"/>
                <w:color w:val="auto"/>
              </w:rPr>
            </w:pPr>
          </w:p>
        </w:tc>
        <w:tc>
          <w:tcPr>
            <w:tcW w:w="2060" w:type="dxa"/>
            <w:vAlign w:val="bottom"/>
            <w:vMerge w:val="restart"/>
          </w:tcPr>
          <w:p>
            <w:pPr>
              <w:ind w:left="60"/>
              <w:spacing w:after="0"/>
              <w:rPr>
                <w:sz w:val="20"/>
                <w:szCs w:val="20"/>
                <w:color w:val="auto"/>
              </w:rPr>
            </w:pPr>
            <w:r>
              <w:rPr>
                <w:rFonts w:ascii="Arial" w:cs="Arial" w:eastAsia="Arial" w:hAnsi="Arial"/>
                <w:sz w:val="16"/>
                <w:szCs w:val="16"/>
                <w:b w:val="1"/>
                <w:bCs w:val="1"/>
                <w:color w:val="1C90D3"/>
              </w:rPr>
              <w:t xml:space="preserve">2016 </w:t>
            </w:r>
            <w:r>
              <w:rPr>
                <w:rFonts w:ascii="Arial" w:cs="Arial" w:eastAsia="Arial" w:hAnsi="Arial"/>
                <w:sz w:val="16"/>
                <w:szCs w:val="16"/>
                <w:color w:val="08228B"/>
              </w:rPr>
              <w:t>PROXY STATEMENT</w:t>
            </w:r>
          </w:p>
        </w:tc>
        <w:tc>
          <w:tcPr>
            <w:tcW w:w="2400" w:type="dxa"/>
            <w:vAlign w:val="bottom"/>
            <w:tcBorders>
              <w:bottom w:val="single" w:sz="8" w:color="08228B"/>
            </w:tcBorders>
          </w:tcPr>
          <w:p>
            <w:pPr>
              <w:spacing w:after="0"/>
              <w:rPr>
                <w:sz w:val="9"/>
                <w:szCs w:val="9"/>
                <w:color w:val="auto"/>
              </w:rPr>
            </w:pPr>
          </w:p>
        </w:tc>
        <w:tc>
          <w:tcPr>
            <w:tcW w:w="2620" w:type="dxa"/>
            <w:vAlign w:val="bottom"/>
            <w:vMerge w:val="restart"/>
          </w:tcPr>
          <w:p>
            <w:pPr>
              <w:jc w:val="right"/>
              <w:ind w:right="39"/>
              <w:spacing w:after="0"/>
              <w:rPr>
                <w:sz w:val="20"/>
                <w:szCs w:val="20"/>
                <w:color w:val="auto"/>
              </w:rPr>
            </w:pPr>
            <w:r>
              <w:rPr>
                <w:rFonts w:ascii="Arial" w:cs="Arial" w:eastAsia="Arial" w:hAnsi="Arial"/>
                <w:sz w:val="16"/>
                <w:szCs w:val="16"/>
                <w:color w:val="08228B"/>
              </w:rPr>
              <w:t>45</w:t>
            </w:r>
          </w:p>
        </w:tc>
        <w:tc>
          <w:tcPr>
            <w:tcW w:w="0" w:type="dxa"/>
            <w:vAlign w:val="bottom"/>
          </w:tcPr>
          <w:p>
            <w:pPr>
              <w:spacing w:after="0"/>
              <w:rPr>
                <w:sz w:val="1"/>
                <w:szCs w:val="1"/>
                <w:color w:val="auto"/>
              </w:rPr>
            </w:pPr>
          </w:p>
        </w:tc>
      </w:tr>
      <w:tr>
        <w:trPr>
          <w:trHeight w:val="82"/>
        </w:trPr>
        <w:tc>
          <w:tcPr>
            <w:tcW w:w="4340" w:type="dxa"/>
            <w:vAlign w:val="bottom"/>
          </w:tcPr>
          <w:p>
            <w:pPr>
              <w:spacing w:after="0"/>
              <w:rPr>
                <w:sz w:val="7"/>
                <w:szCs w:val="7"/>
                <w:color w:val="auto"/>
              </w:rPr>
            </w:pPr>
          </w:p>
        </w:tc>
        <w:tc>
          <w:tcPr>
            <w:tcW w:w="2060" w:type="dxa"/>
            <w:vAlign w:val="bottom"/>
            <w:vMerge w:val="continue"/>
          </w:tcPr>
          <w:p>
            <w:pPr>
              <w:spacing w:after="0"/>
              <w:rPr>
                <w:sz w:val="7"/>
                <w:szCs w:val="7"/>
                <w:color w:val="auto"/>
              </w:rPr>
            </w:pPr>
          </w:p>
        </w:tc>
        <w:tc>
          <w:tcPr>
            <w:tcW w:w="2400" w:type="dxa"/>
            <w:vAlign w:val="bottom"/>
          </w:tcPr>
          <w:p>
            <w:pPr>
              <w:spacing w:after="0"/>
              <w:rPr>
                <w:sz w:val="7"/>
                <w:szCs w:val="7"/>
                <w:color w:val="auto"/>
              </w:rPr>
            </w:pPr>
          </w:p>
        </w:tc>
        <w:tc>
          <w:tcPr>
            <w:tcW w:w="2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7"/>
        </w:trPr>
        <w:tc>
          <w:tcPr>
            <w:tcW w:w="4340" w:type="dxa"/>
            <w:vAlign w:val="bottom"/>
            <w:tcBorders>
              <w:bottom w:val="single" w:sz="8" w:color="C0C0C0"/>
            </w:tcBorders>
          </w:tcPr>
          <w:p>
            <w:pPr>
              <w:spacing w:after="0"/>
              <w:rPr>
                <w:sz w:val="24"/>
                <w:szCs w:val="24"/>
                <w:color w:val="auto"/>
              </w:rPr>
            </w:pPr>
          </w:p>
        </w:tc>
        <w:tc>
          <w:tcPr>
            <w:tcW w:w="2060" w:type="dxa"/>
            <w:vAlign w:val="bottom"/>
            <w:tcBorders>
              <w:bottom w:val="single" w:sz="8" w:color="C0C0C0"/>
            </w:tcBorders>
          </w:tcPr>
          <w:p>
            <w:pPr>
              <w:spacing w:after="0"/>
              <w:rPr>
                <w:sz w:val="24"/>
                <w:szCs w:val="24"/>
                <w:color w:val="auto"/>
              </w:rPr>
            </w:pPr>
          </w:p>
        </w:tc>
        <w:tc>
          <w:tcPr>
            <w:tcW w:w="2400" w:type="dxa"/>
            <w:vAlign w:val="bottom"/>
            <w:tcBorders>
              <w:bottom w:val="single" w:sz="8" w:color="C0C0C0"/>
            </w:tcBorders>
          </w:tcPr>
          <w:p>
            <w:pPr>
              <w:spacing w:after="0"/>
              <w:rPr>
                <w:sz w:val="24"/>
                <w:szCs w:val="24"/>
                <w:color w:val="auto"/>
              </w:rPr>
            </w:pPr>
          </w:p>
        </w:tc>
        <w:tc>
          <w:tcPr>
            <w:tcW w:w="262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5613400</wp:posOffset>
            </wp:positionH>
            <wp:positionV relativeFrom="paragraph">
              <wp:posOffset>-334010</wp:posOffset>
            </wp:positionV>
            <wp:extent cx="1286510" cy="8572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1286510" cy="8572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type w:val="continuous"/>
        </w:sectPr>
      </w:pPr>
    </w:p>
    <w:bookmarkStart w:id="49" w:name="page50"/>
    <w:bookmarkEnd w:id="49"/>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Back to Contents</w:t>
        </w:r>
      </w:hyperlink>
    </w:p>
    <w:p>
      <w:pPr>
        <w:spacing w:after="0" w:line="196" w:lineRule="exact"/>
        <w:rPr>
          <w:sz w:val="20"/>
          <w:szCs w:val="20"/>
          <w:color w:val="auto"/>
        </w:rPr>
      </w:pPr>
    </w:p>
    <w:p>
      <w:pPr>
        <w:ind w:left="500" w:hanging="492"/>
        <w:spacing w:after="0"/>
        <w:tabs>
          <w:tab w:leader="none" w:pos="500" w:val="left"/>
        </w:tabs>
        <w:numPr>
          <w:ilvl w:val="0"/>
          <w:numId w:val="61"/>
        </w:numPr>
        <w:rPr>
          <w:rFonts w:ascii="Arial" w:cs="Arial" w:eastAsia="Arial" w:hAnsi="Arial"/>
          <w:sz w:val="25"/>
          <w:szCs w:val="25"/>
          <w:color w:val="08228B"/>
        </w:rPr>
      </w:pPr>
      <w:r>
        <w:rPr>
          <w:rFonts w:ascii="Arial" w:cs="Arial" w:eastAsia="Arial" w:hAnsi="Arial"/>
          <w:sz w:val="25"/>
          <w:szCs w:val="25"/>
          <w:color w:val="auto"/>
        </w:rPr>
        <w:t>Summary of Outstanding Performance Awards Granted in Prior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69150" cy="1714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780" w:type="dxa"/>
            <w:vAlign w:val="bottom"/>
          </w:tcPr>
          <w:p>
            <w:pPr>
              <w:ind w:left="120"/>
              <w:spacing w:after="0"/>
              <w:rPr>
                <w:sz w:val="20"/>
                <w:szCs w:val="20"/>
                <w:color w:val="auto"/>
              </w:rPr>
            </w:pPr>
            <w:r>
              <w:rPr>
                <w:rFonts w:ascii="Arial" w:cs="Arial" w:eastAsia="Arial" w:hAnsi="Arial"/>
                <w:sz w:val="16"/>
                <w:szCs w:val="16"/>
                <w:b w:val="1"/>
                <w:bCs w:val="1"/>
                <w:color w:val="1C90D3"/>
              </w:rPr>
              <w:t>Performance</w:t>
            </w: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1600" w:type="dxa"/>
            <w:vAlign w:val="bottom"/>
            <w:tcBorders>
              <w:bottom w:val="single" w:sz="8" w:color="1C90D3"/>
            </w:tcBorders>
          </w:tcPr>
          <w:p>
            <w:pPr>
              <w:ind w:left="60"/>
              <w:spacing w:after="0"/>
              <w:rPr>
                <w:sz w:val="20"/>
                <w:szCs w:val="20"/>
                <w:color w:val="auto"/>
              </w:rPr>
            </w:pPr>
            <w:r>
              <w:rPr>
                <w:rFonts w:ascii="Arial" w:cs="Arial" w:eastAsia="Arial" w:hAnsi="Arial"/>
                <w:sz w:val="16"/>
                <w:szCs w:val="16"/>
                <w:b w:val="1"/>
                <w:bCs w:val="1"/>
                <w:color w:val="1C90D3"/>
              </w:rPr>
              <w:t>Award</w:t>
            </w:r>
          </w:p>
        </w:tc>
        <w:tc>
          <w:tcPr>
            <w:tcW w:w="2600" w:type="dxa"/>
            <w:vAlign w:val="bottom"/>
            <w:tcBorders>
              <w:bottom w:val="single" w:sz="8" w:color="1C90D3"/>
            </w:tcBorders>
            <w:gridSpan w:val="2"/>
          </w:tcPr>
          <w:p>
            <w:pPr>
              <w:ind w:left="240"/>
              <w:spacing w:after="0"/>
              <w:rPr>
                <w:sz w:val="20"/>
                <w:szCs w:val="20"/>
                <w:color w:val="auto"/>
              </w:rPr>
            </w:pPr>
            <w:r>
              <w:rPr>
                <w:rFonts w:ascii="Arial" w:cs="Arial" w:eastAsia="Arial" w:hAnsi="Arial"/>
                <w:sz w:val="16"/>
                <w:szCs w:val="16"/>
                <w:b w:val="1"/>
                <w:bCs w:val="1"/>
                <w:color w:val="1C90D3"/>
              </w:rPr>
              <w:t>Performance Period</w:t>
            </w:r>
          </w:p>
        </w:tc>
        <w:tc>
          <w:tcPr>
            <w:tcW w:w="1780" w:type="dxa"/>
            <w:vAlign w:val="bottom"/>
            <w:tcBorders>
              <w:bottom w:val="single" w:sz="8" w:color="1C90D3"/>
            </w:tcBorders>
          </w:tcPr>
          <w:p>
            <w:pPr>
              <w:ind w:left="120"/>
              <w:spacing w:after="0"/>
              <w:rPr>
                <w:sz w:val="20"/>
                <w:szCs w:val="20"/>
                <w:color w:val="auto"/>
              </w:rPr>
            </w:pPr>
            <w:r>
              <w:rPr>
                <w:rFonts w:ascii="Arial" w:cs="Arial" w:eastAsia="Arial" w:hAnsi="Arial"/>
                <w:sz w:val="16"/>
                <w:szCs w:val="16"/>
                <w:b w:val="1"/>
                <w:bCs w:val="1"/>
                <w:color w:val="1C90D3"/>
              </w:rPr>
              <w:t>Metrics</w:t>
            </w:r>
          </w:p>
        </w:tc>
        <w:tc>
          <w:tcPr>
            <w:tcW w:w="1380" w:type="dxa"/>
            <w:vAlign w:val="bottom"/>
            <w:tcBorders>
              <w:bottom w:val="single" w:sz="8" w:color="1C90D3"/>
            </w:tcBorders>
            <w:gridSpan w:val="2"/>
          </w:tcPr>
          <w:p>
            <w:pPr>
              <w:ind w:left="260"/>
              <w:spacing w:after="0"/>
              <w:rPr>
                <w:sz w:val="20"/>
                <w:szCs w:val="20"/>
                <w:color w:val="auto"/>
              </w:rPr>
            </w:pPr>
            <w:r>
              <w:rPr>
                <w:rFonts w:ascii="Arial" w:cs="Arial" w:eastAsia="Arial" w:hAnsi="Arial"/>
                <w:sz w:val="16"/>
                <w:szCs w:val="16"/>
                <w:b w:val="1"/>
                <w:bCs w:val="1"/>
                <w:color w:val="1C90D3"/>
              </w:rPr>
              <w:t>Vest Date</w:t>
            </w:r>
          </w:p>
        </w:tc>
        <w:tc>
          <w:tcPr>
            <w:tcW w:w="2020" w:type="dxa"/>
            <w:vAlign w:val="bottom"/>
            <w:tcBorders>
              <w:bottom w:val="single" w:sz="8" w:color="1C90D3"/>
            </w:tcBorders>
          </w:tcPr>
          <w:p>
            <w:pPr>
              <w:ind w:left="120"/>
              <w:spacing w:after="0"/>
              <w:rPr>
                <w:sz w:val="20"/>
                <w:szCs w:val="20"/>
                <w:color w:val="auto"/>
              </w:rPr>
            </w:pPr>
            <w:r>
              <w:rPr>
                <w:rFonts w:ascii="Arial" w:cs="Arial" w:eastAsia="Arial" w:hAnsi="Arial"/>
                <w:sz w:val="16"/>
                <w:szCs w:val="16"/>
                <w:b w:val="1"/>
                <w:bCs w:val="1"/>
                <w:color w:val="1C90D3"/>
              </w:rPr>
              <w:t>Potential Payouts</w:t>
            </w:r>
          </w:p>
        </w:tc>
        <w:tc>
          <w:tcPr>
            <w:tcW w:w="1920" w:type="dxa"/>
            <w:vAlign w:val="bottom"/>
            <w:tcBorders>
              <w:bottom w:val="single" w:sz="8" w:color="1C90D3"/>
            </w:tcBorders>
          </w:tcPr>
          <w:p>
            <w:pPr>
              <w:jc w:val="center"/>
              <w:spacing w:after="0"/>
              <w:rPr>
                <w:sz w:val="20"/>
                <w:szCs w:val="20"/>
                <w:color w:val="auto"/>
              </w:rPr>
            </w:pPr>
            <w:r>
              <w:rPr>
                <w:rFonts w:ascii="Arial" w:cs="Arial" w:eastAsia="Arial" w:hAnsi="Arial"/>
                <w:sz w:val="16"/>
                <w:szCs w:val="16"/>
                <w:b w:val="1"/>
                <w:bCs w:val="1"/>
                <w:color w:val="1C90D3"/>
              </w:rPr>
              <w:t>Performance Results</w:t>
            </w:r>
          </w:p>
        </w:tc>
        <w:tc>
          <w:tcPr>
            <w:tcW w:w="0" w:type="dxa"/>
            <w:vAlign w:val="bottom"/>
          </w:tcPr>
          <w:p>
            <w:pPr>
              <w:spacing w:after="0"/>
              <w:rPr>
                <w:sz w:val="1"/>
                <w:szCs w:val="1"/>
                <w:color w:val="auto"/>
              </w:rPr>
            </w:pPr>
          </w:p>
        </w:tc>
      </w:tr>
      <w:tr>
        <w:trPr>
          <w:trHeight w:val="198"/>
        </w:trPr>
        <w:tc>
          <w:tcPr>
            <w:tcW w:w="1600" w:type="dxa"/>
            <w:vAlign w:val="bottom"/>
          </w:tcPr>
          <w:p>
            <w:pPr>
              <w:ind w:left="60"/>
              <w:spacing w:after="0"/>
              <w:rPr>
                <w:sz w:val="20"/>
                <w:szCs w:val="20"/>
                <w:color w:val="auto"/>
              </w:rPr>
            </w:pPr>
            <w:r>
              <w:rPr>
                <w:rFonts w:ascii="Arial" w:cs="Arial" w:eastAsia="Arial" w:hAnsi="Arial"/>
                <w:sz w:val="16"/>
                <w:szCs w:val="16"/>
                <w:color w:val="auto"/>
              </w:rPr>
              <w:t>2014-2016 PSUs</w:t>
            </w:r>
          </w:p>
        </w:tc>
        <w:tc>
          <w:tcPr>
            <w:tcW w:w="2600" w:type="dxa"/>
            <w:vAlign w:val="bottom"/>
            <w:gridSpan w:val="2"/>
          </w:tcPr>
          <w:p>
            <w:pPr>
              <w:ind w:left="240"/>
              <w:spacing w:after="0"/>
              <w:rPr>
                <w:sz w:val="20"/>
                <w:szCs w:val="20"/>
                <w:color w:val="auto"/>
              </w:rPr>
            </w:pPr>
            <w:r>
              <w:rPr>
                <w:rFonts w:ascii="Arial" w:cs="Arial" w:eastAsia="Arial" w:hAnsi="Arial"/>
                <w:sz w:val="16"/>
                <w:szCs w:val="16"/>
                <w:color w:val="auto"/>
              </w:rPr>
              <w:t>3 Years</w:t>
            </w:r>
          </w:p>
        </w:tc>
        <w:tc>
          <w:tcPr>
            <w:tcW w:w="1780" w:type="dxa"/>
            <w:vAlign w:val="bottom"/>
          </w:tcPr>
          <w:p>
            <w:pPr>
              <w:ind w:left="120"/>
              <w:spacing w:after="0"/>
              <w:rPr>
                <w:sz w:val="20"/>
                <w:szCs w:val="20"/>
                <w:color w:val="auto"/>
              </w:rPr>
            </w:pPr>
            <w:r>
              <w:rPr>
                <w:rFonts w:ascii="Arial" w:cs="Arial" w:eastAsia="Arial" w:hAnsi="Arial"/>
                <w:sz w:val="16"/>
                <w:szCs w:val="16"/>
                <w:color w:val="auto"/>
              </w:rPr>
              <w:t>ROIC (100%)</w:t>
            </w:r>
          </w:p>
        </w:tc>
        <w:tc>
          <w:tcPr>
            <w:tcW w:w="1380" w:type="dxa"/>
            <w:vAlign w:val="bottom"/>
            <w:gridSpan w:val="2"/>
          </w:tcPr>
          <w:p>
            <w:pPr>
              <w:ind w:left="260"/>
              <w:spacing w:after="0"/>
              <w:rPr>
                <w:sz w:val="20"/>
                <w:szCs w:val="20"/>
                <w:color w:val="auto"/>
              </w:rPr>
            </w:pPr>
            <w:r>
              <w:rPr>
                <w:rFonts w:ascii="Arial" w:cs="Arial" w:eastAsia="Arial" w:hAnsi="Arial"/>
                <w:sz w:val="16"/>
                <w:szCs w:val="16"/>
                <w:color w:val="auto"/>
              </w:rPr>
              <w:t>2/11/2017</w:t>
            </w:r>
          </w:p>
        </w:tc>
        <w:tc>
          <w:tcPr>
            <w:tcW w:w="2020" w:type="dxa"/>
            <w:vAlign w:val="bottom"/>
          </w:tcPr>
          <w:p>
            <w:pPr>
              <w:ind w:left="120"/>
              <w:spacing w:after="0"/>
              <w:rPr>
                <w:sz w:val="20"/>
                <w:szCs w:val="20"/>
                <w:color w:val="auto"/>
              </w:rPr>
            </w:pPr>
            <w:r>
              <w:rPr>
                <w:rFonts w:ascii="Arial" w:cs="Arial" w:eastAsia="Arial" w:hAnsi="Arial"/>
                <w:sz w:val="16"/>
                <w:szCs w:val="16"/>
                <w:b w:val="1"/>
                <w:bCs w:val="1"/>
                <w:color w:val="auto"/>
              </w:rPr>
              <w:t xml:space="preserve">Minimum </w:t>
            </w:r>
            <w:r>
              <w:rPr>
                <w:rFonts w:ascii="Arial" w:cs="Arial" w:eastAsia="Arial" w:hAnsi="Arial"/>
                <w:sz w:val="16"/>
                <w:szCs w:val="16"/>
                <w:color w:val="auto"/>
              </w:rPr>
              <w:t>- 0%</w:t>
            </w:r>
          </w:p>
        </w:tc>
        <w:tc>
          <w:tcPr>
            <w:tcW w:w="1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600" w:type="dxa"/>
            <w:vAlign w:val="bottom"/>
          </w:tcPr>
          <w:p>
            <w:pPr>
              <w:spacing w:after="0"/>
              <w:rPr>
                <w:sz w:val="16"/>
                <w:szCs w:val="16"/>
                <w:color w:val="auto"/>
              </w:rPr>
            </w:pPr>
          </w:p>
        </w:tc>
        <w:tc>
          <w:tcPr>
            <w:tcW w:w="2600" w:type="dxa"/>
            <w:vAlign w:val="bottom"/>
            <w:gridSpan w:val="2"/>
          </w:tcPr>
          <w:p>
            <w:pPr>
              <w:ind w:left="240"/>
              <w:spacing w:after="0"/>
              <w:rPr>
                <w:sz w:val="20"/>
                <w:szCs w:val="20"/>
                <w:color w:val="auto"/>
              </w:rPr>
            </w:pPr>
            <w:r>
              <w:rPr>
                <w:rFonts w:ascii="Arial" w:cs="Arial" w:eastAsia="Arial" w:hAnsi="Arial"/>
                <w:sz w:val="16"/>
                <w:szCs w:val="16"/>
                <w:color w:val="auto"/>
              </w:rPr>
              <w:t>1/1/2014 – 12/31/2016</w:t>
            </w:r>
          </w:p>
        </w:tc>
        <w:tc>
          <w:tcPr>
            <w:tcW w:w="1780" w:type="dxa"/>
            <w:vAlign w:val="bottom"/>
          </w:tcPr>
          <w:p>
            <w:pPr>
              <w:ind w:left="120"/>
              <w:spacing w:after="0"/>
              <w:rPr>
                <w:sz w:val="20"/>
                <w:szCs w:val="20"/>
                <w:color w:val="auto"/>
              </w:rPr>
            </w:pPr>
            <w:r>
              <w:rPr>
                <w:rFonts w:ascii="Arial" w:cs="Arial" w:eastAsia="Arial" w:hAnsi="Arial"/>
                <w:sz w:val="16"/>
                <w:szCs w:val="16"/>
                <w:color w:val="auto"/>
              </w:rPr>
              <w:t>Global Market</w:t>
            </w: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20" w:type="dxa"/>
            <w:vAlign w:val="bottom"/>
          </w:tcPr>
          <w:p>
            <w:pPr>
              <w:ind w:left="120"/>
              <w:spacing w:after="0"/>
              <w:rPr>
                <w:sz w:val="20"/>
                <w:szCs w:val="20"/>
                <w:color w:val="auto"/>
              </w:rPr>
            </w:pPr>
            <w:r>
              <w:rPr>
                <w:rFonts w:ascii="Arial" w:cs="Arial" w:eastAsia="Arial" w:hAnsi="Arial"/>
                <w:sz w:val="16"/>
                <w:szCs w:val="16"/>
                <w:b w:val="1"/>
                <w:bCs w:val="1"/>
                <w:color w:val="auto"/>
              </w:rPr>
              <w:t xml:space="preserve">Target </w:t>
            </w:r>
            <w:r>
              <w:rPr>
                <w:rFonts w:ascii="Arial" w:cs="Arial" w:eastAsia="Arial" w:hAnsi="Arial"/>
                <w:sz w:val="16"/>
                <w:szCs w:val="16"/>
                <w:color w:val="auto"/>
              </w:rPr>
              <w:t>– 100%</w:t>
            </w:r>
          </w:p>
        </w:tc>
        <w:tc>
          <w:tcPr>
            <w:tcW w:w="1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6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Share (Modifier)</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 xml:space="preserve">Maximum </w:t>
            </w:r>
            <w:r>
              <w:rPr>
                <w:rFonts w:ascii="Arial" w:cs="Arial" w:eastAsia="Arial" w:hAnsi="Arial"/>
                <w:sz w:val="16"/>
                <w:szCs w:val="16"/>
                <w:color w:val="auto"/>
              </w:rPr>
              <w:t>– 200%</w:t>
            </w: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600" w:type="dxa"/>
            <w:vAlign w:val="bottom"/>
          </w:tcPr>
          <w:p>
            <w:pPr>
              <w:ind w:left="60"/>
              <w:spacing w:after="0"/>
              <w:rPr>
                <w:sz w:val="20"/>
                <w:szCs w:val="20"/>
                <w:color w:val="auto"/>
              </w:rPr>
            </w:pPr>
            <w:r>
              <w:rPr>
                <w:rFonts w:ascii="Arial" w:cs="Arial" w:eastAsia="Arial" w:hAnsi="Arial"/>
                <w:sz w:val="16"/>
                <w:szCs w:val="16"/>
                <w:color w:val="auto"/>
              </w:rPr>
              <w:t>2015-2017 PSUs</w:t>
            </w:r>
          </w:p>
        </w:tc>
        <w:tc>
          <w:tcPr>
            <w:tcW w:w="2600" w:type="dxa"/>
            <w:vAlign w:val="bottom"/>
            <w:gridSpan w:val="2"/>
          </w:tcPr>
          <w:p>
            <w:pPr>
              <w:ind w:left="240"/>
              <w:spacing w:after="0"/>
              <w:rPr>
                <w:sz w:val="20"/>
                <w:szCs w:val="20"/>
                <w:color w:val="auto"/>
              </w:rPr>
            </w:pPr>
            <w:r>
              <w:rPr>
                <w:rFonts w:ascii="Arial" w:cs="Arial" w:eastAsia="Arial" w:hAnsi="Arial"/>
                <w:sz w:val="16"/>
                <w:szCs w:val="16"/>
                <w:color w:val="auto"/>
              </w:rPr>
              <w:t>3 Years</w:t>
            </w:r>
          </w:p>
        </w:tc>
        <w:tc>
          <w:tcPr>
            <w:tcW w:w="1780" w:type="dxa"/>
            <w:vAlign w:val="bottom"/>
          </w:tcPr>
          <w:p>
            <w:pPr>
              <w:ind w:left="120"/>
              <w:spacing w:after="0"/>
              <w:rPr>
                <w:sz w:val="20"/>
                <w:szCs w:val="20"/>
                <w:color w:val="auto"/>
              </w:rPr>
            </w:pPr>
            <w:r>
              <w:rPr>
                <w:rFonts w:ascii="Arial" w:cs="Arial" w:eastAsia="Arial" w:hAnsi="Arial"/>
                <w:sz w:val="16"/>
                <w:szCs w:val="16"/>
                <w:color w:val="auto"/>
              </w:rPr>
              <w:t>ROIC (100%)</w:t>
            </w:r>
          </w:p>
        </w:tc>
        <w:tc>
          <w:tcPr>
            <w:tcW w:w="1380" w:type="dxa"/>
            <w:vAlign w:val="bottom"/>
            <w:gridSpan w:val="2"/>
          </w:tcPr>
          <w:p>
            <w:pPr>
              <w:ind w:left="260"/>
              <w:spacing w:after="0"/>
              <w:rPr>
                <w:sz w:val="20"/>
                <w:szCs w:val="20"/>
                <w:color w:val="auto"/>
              </w:rPr>
            </w:pPr>
            <w:r>
              <w:rPr>
                <w:rFonts w:ascii="Arial" w:cs="Arial" w:eastAsia="Arial" w:hAnsi="Arial"/>
                <w:sz w:val="16"/>
                <w:szCs w:val="16"/>
                <w:color w:val="auto"/>
              </w:rPr>
              <w:t>2/11/2018</w:t>
            </w:r>
          </w:p>
        </w:tc>
        <w:tc>
          <w:tcPr>
            <w:tcW w:w="2020" w:type="dxa"/>
            <w:vAlign w:val="bottom"/>
          </w:tcPr>
          <w:p>
            <w:pPr>
              <w:ind w:left="120"/>
              <w:spacing w:after="0"/>
              <w:rPr>
                <w:sz w:val="20"/>
                <w:szCs w:val="20"/>
                <w:color w:val="auto"/>
              </w:rPr>
            </w:pPr>
            <w:r>
              <w:rPr>
                <w:rFonts w:ascii="Arial" w:cs="Arial" w:eastAsia="Arial" w:hAnsi="Arial"/>
                <w:sz w:val="16"/>
                <w:szCs w:val="16"/>
                <w:b w:val="1"/>
                <w:bCs w:val="1"/>
                <w:color w:val="auto"/>
              </w:rPr>
              <w:t xml:space="preserve">Minimum </w:t>
            </w:r>
            <w:r>
              <w:rPr>
                <w:rFonts w:ascii="Arial" w:cs="Arial" w:eastAsia="Arial" w:hAnsi="Arial"/>
                <w:sz w:val="16"/>
                <w:szCs w:val="16"/>
                <w:color w:val="auto"/>
              </w:rPr>
              <w:t>- 0%</w:t>
            </w:r>
          </w:p>
        </w:tc>
        <w:tc>
          <w:tcPr>
            <w:tcW w:w="1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600" w:type="dxa"/>
            <w:vAlign w:val="bottom"/>
          </w:tcPr>
          <w:p>
            <w:pPr>
              <w:spacing w:after="0"/>
              <w:rPr>
                <w:sz w:val="16"/>
                <w:szCs w:val="16"/>
                <w:color w:val="auto"/>
              </w:rPr>
            </w:pPr>
          </w:p>
        </w:tc>
        <w:tc>
          <w:tcPr>
            <w:tcW w:w="2600" w:type="dxa"/>
            <w:vAlign w:val="bottom"/>
            <w:gridSpan w:val="2"/>
          </w:tcPr>
          <w:p>
            <w:pPr>
              <w:ind w:left="240"/>
              <w:spacing w:after="0"/>
              <w:rPr>
                <w:sz w:val="20"/>
                <w:szCs w:val="20"/>
                <w:color w:val="auto"/>
              </w:rPr>
            </w:pPr>
            <w:r>
              <w:rPr>
                <w:rFonts w:ascii="Arial" w:cs="Arial" w:eastAsia="Arial" w:hAnsi="Arial"/>
                <w:sz w:val="16"/>
                <w:szCs w:val="16"/>
                <w:color w:val="auto"/>
              </w:rPr>
              <w:t>1/1/2015 – 12/31/2017</w:t>
            </w:r>
          </w:p>
        </w:tc>
        <w:tc>
          <w:tcPr>
            <w:tcW w:w="1780" w:type="dxa"/>
            <w:vAlign w:val="bottom"/>
          </w:tcPr>
          <w:p>
            <w:pPr>
              <w:ind w:left="120"/>
              <w:spacing w:after="0"/>
              <w:rPr>
                <w:sz w:val="20"/>
                <w:szCs w:val="20"/>
                <w:color w:val="auto"/>
              </w:rPr>
            </w:pPr>
            <w:r>
              <w:rPr>
                <w:rFonts w:ascii="Arial" w:cs="Arial" w:eastAsia="Arial" w:hAnsi="Arial"/>
                <w:sz w:val="16"/>
                <w:szCs w:val="16"/>
                <w:color w:val="auto"/>
              </w:rPr>
              <w:t>Global Market</w:t>
            </w: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20" w:type="dxa"/>
            <w:vAlign w:val="bottom"/>
          </w:tcPr>
          <w:p>
            <w:pPr>
              <w:ind w:left="120"/>
              <w:spacing w:after="0"/>
              <w:rPr>
                <w:sz w:val="20"/>
                <w:szCs w:val="20"/>
                <w:color w:val="auto"/>
              </w:rPr>
            </w:pPr>
            <w:r>
              <w:rPr>
                <w:rFonts w:ascii="Arial" w:cs="Arial" w:eastAsia="Arial" w:hAnsi="Arial"/>
                <w:sz w:val="16"/>
                <w:szCs w:val="16"/>
                <w:b w:val="1"/>
                <w:bCs w:val="1"/>
                <w:color w:val="auto"/>
              </w:rPr>
              <w:t xml:space="preserve">Target </w:t>
            </w:r>
            <w:r>
              <w:rPr>
                <w:rFonts w:ascii="Arial" w:cs="Arial" w:eastAsia="Arial" w:hAnsi="Arial"/>
                <w:sz w:val="16"/>
                <w:szCs w:val="16"/>
                <w:color w:val="auto"/>
              </w:rPr>
              <w:t>– 100%</w:t>
            </w:r>
          </w:p>
        </w:tc>
        <w:tc>
          <w:tcPr>
            <w:tcW w:w="1920" w:type="dxa"/>
            <w:vAlign w:val="bottom"/>
          </w:tcPr>
          <w:p>
            <w:pPr>
              <w:jc w:val="center"/>
              <w:spacing w:after="0"/>
              <w:rPr>
                <w:sz w:val="20"/>
                <w:szCs w:val="20"/>
                <w:color w:val="auto"/>
              </w:rPr>
            </w:pPr>
            <w:r>
              <w:rPr>
                <w:rFonts w:ascii="Arial" w:cs="Arial" w:eastAsia="Arial" w:hAnsi="Arial"/>
                <w:sz w:val="16"/>
                <w:szCs w:val="16"/>
                <w:color w:val="auto"/>
              </w:rPr>
              <w:t>Performance</w:t>
            </w:r>
          </w:p>
        </w:tc>
        <w:tc>
          <w:tcPr>
            <w:tcW w:w="0" w:type="dxa"/>
            <w:vAlign w:val="bottom"/>
          </w:tcPr>
          <w:p>
            <w:pPr>
              <w:spacing w:after="0"/>
              <w:rPr>
                <w:sz w:val="1"/>
                <w:szCs w:val="1"/>
                <w:color w:val="auto"/>
              </w:rPr>
            </w:pPr>
          </w:p>
        </w:tc>
      </w:tr>
      <w:tr>
        <w:trPr>
          <w:trHeight w:val="228"/>
        </w:trPr>
        <w:tc>
          <w:tcPr>
            <w:tcW w:w="16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Share (Modifier)</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 xml:space="preserve">Maximum </w:t>
            </w:r>
            <w:r>
              <w:rPr>
                <w:rFonts w:ascii="Arial" w:cs="Arial" w:eastAsia="Arial" w:hAnsi="Arial"/>
                <w:sz w:val="16"/>
                <w:szCs w:val="16"/>
                <w:color w:val="auto"/>
              </w:rPr>
              <w:t>– 200%</w:t>
            </w:r>
          </w:p>
        </w:tc>
        <w:tc>
          <w:tcPr>
            <w:tcW w:w="1920" w:type="dxa"/>
            <w:vAlign w:val="bottom"/>
          </w:tcPr>
          <w:p>
            <w:pPr>
              <w:jc w:val="center"/>
              <w:spacing w:after="0"/>
              <w:rPr>
                <w:sz w:val="20"/>
                <w:szCs w:val="20"/>
                <w:color w:val="auto"/>
              </w:rPr>
            </w:pPr>
            <w:r>
              <w:rPr>
                <w:rFonts w:ascii="Arial" w:cs="Arial" w:eastAsia="Arial" w:hAnsi="Arial"/>
                <w:sz w:val="16"/>
                <w:szCs w:val="16"/>
                <w:color w:val="auto"/>
              </w:rPr>
              <w:t>determined at the end</w:t>
            </w:r>
          </w:p>
        </w:tc>
        <w:tc>
          <w:tcPr>
            <w:tcW w:w="0" w:type="dxa"/>
            <w:vAlign w:val="bottom"/>
          </w:tcPr>
          <w:p>
            <w:pPr>
              <w:spacing w:after="0"/>
              <w:rPr>
                <w:sz w:val="1"/>
                <w:szCs w:val="1"/>
                <w:color w:val="auto"/>
              </w:rPr>
            </w:pPr>
          </w:p>
        </w:tc>
      </w:tr>
      <w:tr>
        <w:trPr>
          <w:trHeight w:val="218"/>
        </w:trPr>
        <w:tc>
          <w:tcPr>
            <w:tcW w:w="1600" w:type="dxa"/>
            <w:vAlign w:val="bottom"/>
          </w:tcPr>
          <w:p>
            <w:pPr>
              <w:ind w:left="60"/>
              <w:spacing w:after="0"/>
              <w:rPr>
                <w:sz w:val="20"/>
                <w:szCs w:val="20"/>
                <w:color w:val="auto"/>
              </w:rPr>
            </w:pPr>
            <w:r>
              <w:rPr>
                <w:rFonts w:ascii="Arial" w:cs="Arial" w:eastAsia="Arial" w:hAnsi="Arial"/>
                <w:sz w:val="16"/>
                <w:szCs w:val="16"/>
                <w:color w:val="auto"/>
              </w:rPr>
              <w:t>DSV Option Grant</w:t>
            </w:r>
          </w:p>
        </w:tc>
        <w:tc>
          <w:tcPr>
            <w:tcW w:w="2600" w:type="dxa"/>
            <w:vAlign w:val="bottom"/>
            <w:gridSpan w:val="2"/>
          </w:tcPr>
          <w:p>
            <w:pPr>
              <w:ind w:left="240"/>
              <w:spacing w:after="0"/>
              <w:rPr>
                <w:sz w:val="20"/>
                <w:szCs w:val="20"/>
                <w:color w:val="auto"/>
              </w:rPr>
            </w:pPr>
            <w:r>
              <w:rPr>
                <w:rFonts w:ascii="Arial" w:cs="Arial" w:eastAsia="Arial" w:hAnsi="Arial"/>
                <w:sz w:val="16"/>
                <w:szCs w:val="16"/>
                <w:color w:val="auto"/>
              </w:rPr>
              <w:t>2.5 Years</w:t>
            </w:r>
          </w:p>
        </w:tc>
        <w:tc>
          <w:tcPr>
            <w:tcW w:w="1780" w:type="dxa"/>
            <w:vAlign w:val="bottom"/>
          </w:tcPr>
          <w:p>
            <w:pPr>
              <w:spacing w:after="0"/>
              <w:rPr>
                <w:sz w:val="18"/>
                <w:szCs w:val="18"/>
                <w:color w:val="auto"/>
              </w:rPr>
            </w:pPr>
          </w:p>
        </w:tc>
        <w:tc>
          <w:tcPr>
            <w:tcW w:w="1380" w:type="dxa"/>
            <w:vAlign w:val="bottom"/>
            <w:gridSpan w:val="2"/>
          </w:tcPr>
          <w:p>
            <w:pPr>
              <w:ind w:left="260"/>
              <w:spacing w:after="0"/>
              <w:rPr>
                <w:sz w:val="20"/>
                <w:szCs w:val="20"/>
                <w:color w:val="auto"/>
              </w:rPr>
            </w:pPr>
            <w:r>
              <w:rPr>
                <w:rFonts w:ascii="Arial" w:cs="Arial" w:eastAsia="Arial" w:hAnsi="Arial"/>
                <w:sz w:val="16"/>
                <w:szCs w:val="16"/>
                <w:color w:val="auto"/>
              </w:rPr>
              <w:t>2/15/2018</w:t>
            </w:r>
          </w:p>
        </w:tc>
        <w:tc>
          <w:tcPr>
            <w:tcW w:w="2020" w:type="dxa"/>
            <w:vAlign w:val="bottom"/>
            <w:vMerge w:val="restart"/>
          </w:tcPr>
          <w:p>
            <w:pPr>
              <w:ind w:left="120"/>
              <w:spacing w:after="0"/>
              <w:rPr>
                <w:sz w:val="20"/>
                <w:szCs w:val="20"/>
                <w:color w:val="auto"/>
              </w:rPr>
            </w:pPr>
            <w:r>
              <w:rPr>
                <w:rFonts w:ascii="Arial" w:cs="Arial" w:eastAsia="Arial" w:hAnsi="Arial"/>
                <w:sz w:val="16"/>
                <w:szCs w:val="16"/>
                <w:b w:val="1"/>
                <w:bCs w:val="1"/>
                <w:color w:val="auto"/>
              </w:rPr>
              <w:t xml:space="preserve">Minimum </w:t>
            </w:r>
            <w:r>
              <w:rPr>
                <w:rFonts w:ascii="Arial" w:cs="Arial" w:eastAsia="Arial" w:hAnsi="Arial"/>
                <w:sz w:val="16"/>
                <w:szCs w:val="16"/>
                <w:color w:val="auto"/>
              </w:rPr>
              <w:t>- 0%</w:t>
            </w:r>
          </w:p>
        </w:tc>
        <w:tc>
          <w:tcPr>
            <w:tcW w:w="1920" w:type="dxa"/>
            <w:vAlign w:val="bottom"/>
          </w:tcPr>
          <w:p>
            <w:pPr>
              <w:jc w:val="center"/>
              <w:spacing w:after="0"/>
              <w:rPr>
                <w:sz w:val="20"/>
                <w:szCs w:val="20"/>
                <w:color w:val="auto"/>
              </w:rPr>
            </w:pPr>
            <w:r>
              <w:rPr>
                <w:rFonts w:ascii="Arial" w:cs="Arial" w:eastAsia="Arial" w:hAnsi="Arial"/>
                <w:sz w:val="16"/>
                <w:szCs w:val="16"/>
                <w:color w:val="auto"/>
              </w:rPr>
              <w:t>of the performance</w:t>
            </w:r>
          </w:p>
        </w:tc>
        <w:tc>
          <w:tcPr>
            <w:tcW w:w="0" w:type="dxa"/>
            <w:vAlign w:val="bottom"/>
          </w:tcPr>
          <w:p>
            <w:pPr>
              <w:spacing w:after="0"/>
              <w:rPr>
                <w:sz w:val="1"/>
                <w:szCs w:val="1"/>
                <w:color w:val="auto"/>
              </w:rPr>
            </w:pPr>
          </w:p>
        </w:tc>
      </w:tr>
      <w:tr>
        <w:trPr>
          <w:trHeight w:val="195"/>
        </w:trPr>
        <w:tc>
          <w:tcPr>
            <w:tcW w:w="1600" w:type="dxa"/>
            <w:vAlign w:val="bottom"/>
          </w:tcPr>
          <w:p>
            <w:pPr>
              <w:spacing w:after="0"/>
              <w:rPr>
                <w:sz w:val="16"/>
                <w:szCs w:val="16"/>
                <w:color w:val="auto"/>
              </w:rPr>
            </w:pPr>
          </w:p>
        </w:tc>
        <w:tc>
          <w:tcPr>
            <w:tcW w:w="2600" w:type="dxa"/>
            <w:vAlign w:val="bottom"/>
            <w:gridSpan w:val="2"/>
          </w:tcPr>
          <w:p>
            <w:pPr>
              <w:ind w:left="240"/>
              <w:spacing w:after="0"/>
              <w:rPr>
                <w:sz w:val="20"/>
                <w:szCs w:val="20"/>
                <w:color w:val="auto"/>
              </w:rPr>
            </w:pPr>
            <w:r>
              <w:rPr>
                <w:rFonts w:ascii="Arial" w:cs="Arial" w:eastAsia="Arial" w:hAnsi="Arial"/>
                <w:sz w:val="16"/>
                <w:szCs w:val="16"/>
                <w:color w:val="auto"/>
              </w:rPr>
              <w:t>7/28/2015 – 12/31/2017</w:t>
            </w:r>
          </w:p>
        </w:tc>
        <w:tc>
          <w:tcPr>
            <w:tcW w:w="1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20" w:type="dxa"/>
            <w:vAlign w:val="bottom"/>
            <w:vMerge w:val="continue"/>
          </w:tcPr>
          <w:p>
            <w:pPr>
              <w:spacing w:after="0"/>
              <w:rPr>
                <w:sz w:val="16"/>
                <w:szCs w:val="16"/>
                <w:color w:val="auto"/>
              </w:rPr>
            </w:pPr>
          </w:p>
        </w:tc>
        <w:tc>
          <w:tcPr>
            <w:tcW w:w="1920" w:type="dxa"/>
            <w:vAlign w:val="bottom"/>
          </w:tcPr>
          <w:p>
            <w:pPr>
              <w:jc w:val="center"/>
              <w:spacing w:after="0"/>
              <w:rPr>
                <w:sz w:val="20"/>
                <w:szCs w:val="20"/>
                <w:color w:val="auto"/>
              </w:rPr>
            </w:pPr>
            <w:r>
              <w:rPr>
                <w:rFonts w:ascii="Arial" w:cs="Arial" w:eastAsia="Arial" w:hAnsi="Arial"/>
                <w:sz w:val="16"/>
                <w:szCs w:val="16"/>
                <w:color w:val="auto"/>
                <w:w w:val="98"/>
              </w:rPr>
              <w:t>period</w:t>
            </w:r>
          </w:p>
        </w:tc>
        <w:tc>
          <w:tcPr>
            <w:tcW w:w="0" w:type="dxa"/>
            <w:vAlign w:val="bottom"/>
          </w:tcPr>
          <w:p>
            <w:pPr>
              <w:spacing w:after="0"/>
              <w:rPr>
                <w:sz w:val="1"/>
                <w:szCs w:val="1"/>
                <w:color w:val="auto"/>
              </w:rPr>
            </w:pPr>
          </w:p>
        </w:tc>
      </w:tr>
      <w:tr>
        <w:trPr>
          <w:trHeight w:val="33"/>
        </w:trPr>
        <w:tc>
          <w:tcPr>
            <w:tcW w:w="1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360" w:type="dxa"/>
            <w:vAlign w:val="bottom"/>
            <w:shd w:val="clear" w:color="auto" w:fill="000000"/>
          </w:tcPr>
          <w:p>
            <w:pPr>
              <w:spacing w:after="0"/>
              <w:rPr>
                <w:sz w:val="2"/>
                <w:szCs w:val="2"/>
                <w:color w:val="auto"/>
              </w:rPr>
            </w:pPr>
          </w:p>
        </w:tc>
        <w:tc>
          <w:tcPr>
            <w:tcW w:w="1780" w:type="dxa"/>
            <w:vAlign w:val="bottom"/>
            <w:vMerge w:val="restart"/>
          </w:tcPr>
          <w:p>
            <w:pPr>
              <w:ind w:left="120"/>
              <w:spacing w:after="0"/>
              <w:rPr>
                <w:sz w:val="20"/>
                <w:szCs w:val="20"/>
                <w:color w:val="auto"/>
              </w:rPr>
            </w:pPr>
            <w:r>
              <w:rPr>
                <w:rFonts w:ascii="Arial" w:cs="Arial" w:eastAsia="Arial" w:hAnsi="Arial"/>
                <w:sz w:val="16"/>
                <w:szCs w:val="16"/>
                <w:color w:val="auto"/>
              </w:rPr>
              <w:t>TSR vs. OEM Peer</w:t>
            </w:r>
          </w:p>
        </w:tc>
        <w:tc>
          <w:tcPr>
            <w:tcW w:w="2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20" w:type="dxa"/>
            <w:vAlign w:val="bottom"/>
            <w:vMerge w:val="restart"/>
          </w:tcPr>
          <w:p>
            <w:pPr>
              <w:ind w:left="120"/>
              <w:spacing w:after="0"/>
              <w:rPr>
                <w:sz w:val="20"/>
                <w:szCs w:val="20"/>
                <w:color w:val="auto"/>
              </w:rPr>
            </w:pPr>
            <w:r>
              <w:rPr>
                <w:rFonts w:ascii="Arial" w:cs="Arial" w:eastAsia="Arial" w:hAnsi="Arial"/>
                <w:sz w:val="16"/>
                <w:szCs w:val="16"/>
                <w:b w:val="1"/>
                <w:bCs w:val="1"/>
                <w:color w:val="auto"/>
              </w:rPr>
              <w:t xml:space="preserve">Target </w:t>
            </w:r>
            <w:r>
              <w:rPr>
                <w:rFonts w:ascii="Arial" w:cs="Arial" w:eastAsia="Arial" w:hAnsi="Arial"/>
                <w:sz w:val="16"/>
                <w:szCs w:val="16"/>
                <w:color w:val="auto"/>
              </w:rPr>
              <w:t>– 100%</w:t>
            </w: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1600" w:type="dxa"/>
            <w:vAlign w:val="bottom"/>
          </w:tcPr>
          <w:p>
            <w:pPr>
              <w:spacing w:after="0"/>
              <w:rPr>
                <w:sz w:val="14"/>
                <w:szCs w:val="14"/>
                <w:color w:val="auto"/>
              </w:rPr>
            </w:pPr>
          </w:p>
        </w:tc>
        <w:tc>
          <w:tcPr>
            <w:tcW w:w="2600" w:type="dxa"/>
            <w:vAlign w:val="bottom"/>
            <w:gridSpan w:val="2"/>
          </w:tcPr>
          <w:p>
            <w:pPr>
              <w:ind w:left="240"/>
              <w:spacing w:after="0" w:line="171" w:lineRule="exact"/>
              <w:rPr>
                <w:sz w:val="20"/>
                <w:szCs w:val="20"/>
                <w:color w:val="auto"/>
              </w:rPr>
            </w:pPr>
            <w:r>
              <w:rPr>
                <w:rFonts w:ascii="Arial" w:cs="Arial" w:eastAsia="Arial" w:hAnsi="Arial"/>
                <w:sz w:val="16"/>
                <w:szCs w:val="16"/>
                <w:color w:val="auto"/>
              </w:rPr>
              <w:t>3.5 Years</w:t>
            </w:r>
          </w:p>
        </w:tc>
        <w:tc>
          <w:tcPr>
            <w:tcW w:w="1780" w:type="dxa"/>
            <w:vAlign w:val="bottom"/>
            <w:vMerge w:val="continue"/>
          </w:tcPr>
          <w:p>
            <w:pPr>
              <w:spacing w:after="0"/>
              <w:rPr>
                <w:sz w:val="14"/>
                <w:szCs w:val="14"/>
                <w:color w:val="auto"/>
              </w:rPr>
            </w:pPr>
          </w:p>
        </w:tc>
        <w:tc>
          <w:tcPr>
            <w:tcW w:w="1380" w:type="dxa"/>
            <w:vAlign w:val="bottom"/>
            <w:gridSpan w:val="2"/>
          </w:tcPr>
          <w:p>
            <w:pPr>
              <w:ind w:left="260"/>
              <w:spacing w:after="0" w:line="171" w:lineRule="exact"/>
              <w:rPr>
                <w:sz w:val="20"/>
                <w:szCs w:val="20"/>
                <w:color w:val="auto"/>
              </w:rPr>
            </w:pPr>
            <w:r>
              <w:rPr>
                <w:rFonts w:ascii="Arial" w:cs="Arial" w:eastAsia="Arial" w:hAnsi="Arial"/>
                <w:sz w:val="16"/>
                <w:szCs w:val="16"/>
                <w:color w:val="auto"/>
              </w:rPr>
              <w:t>2/15/2019</w:t>
            </w:r>
          </w:p>
        </w:tc>
        <w:tc>
          <w:tcPr>
            <w:tcW w:w="2020" w:type="dxa"/>
            <w:vAlign w:val="bottom"/>
            <w:vMerge w:val="continue"/>
          </w:tcPr>
          <w:p>
            <w:pPr>
              <w:spacing w:after="0"/>
              <w:rPr>
                <w:sz w:val="14"/>
                <w:szCs w:val="14"/>
                <w:color w:val="auto"/>
              </w:rPr>
            </w:pPr>
          </w:p>
        </w:tc>
        <w:tc>
          <w:tcPr>
            <w:tcW w:w="1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1600" w:type="dxa"/>
            <w:vAlign w:val="bottom"/>
          </w:tcPr>
          <w:p>
            <w:pPr>
              <w:spacing w:after="0"/>
              <w:rPr>
                <w:sz w:val="19"/>
                <w:szCs w:val="19"/>
                <w:color w:val="auto"/>
              </w:rPr>
            </w:pPr>
          </w:p>
        </w:tc>
        <w:tc>
          <w:tcPr>
            <w:tcW w:w="2600" w:type="dxa"/>
            <w:vAlign w:val="bottom"/>
            <w:gridSpan w:val="2"/>
          </w:tcPr>
          <w:p>
            <w:pPr>
              <w:ind w:left="240"/>
              <w:spacing w:after="0"/>
              <w:rPr>
                <w:sz w:val="20"/>
                <w:szCs w:val="20"/>
                <w:color w:val="auto"/>
              </w:rPr>
            </w:pPr>
            <w:r>
              <w:rPr>
                <w:rFonts w:ascii="Arial" w:cs="Arial" w:eastAsia="Arial" w:hAnsi="Arial"/>
                <w:sz w:val="16"/>
                <w:szCs w:val="16"/>
                <w:color w:val="auto"/>
              </w:rPr>
              <w:t>7/28/2015 – 12/31/2018</w:t>
            </w:r>
          </w:p>
        </w:tc>
        <w:tc>
          <w:tcPr>
            <w:tcW w:w="1780" w:type="dxa"/>
            <w:vAlign w:val="bottom"/>
          </w:tcPr>
          <w:p>
            <w:pPr>
              <w:ind w:left="120"/>
              <w:spacing w:after="0"/>
              <w:rPr>
                <w:sz w:val="20"/>
                <w:szCs w:val="20"/>
                <w:color w:val="auto"/>
              </w:rPr>
            </w:pPr>
            <w:r>
              <w:rPr>
                <w:rFonts w:ascii="Arial" w:cs="Arial" w:eastAsia="Arial" w:hAnsi="Arial"/>
                <w:sz w:val="16"/>
                <w:szCs w:val="16"/>
                <w:color w:val="auto"/>
              </w:rPr>
              <w:t>Group</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20" w:type="dxa"/>
            <w:vAlign w:val="bottom"/>
          </w:tcPr>
          <w:p>
            <w:pPr>
              <w:ind w:left="120"/>
              <w:spacing w:after="0"/>
              <w:rPr>
                <w:sz w:val="20"/>
                <w:szCs w:val="20"/>
                <w:color w:val="auto"/>
              </w:rPr>
            </w:pPr>
            <w:r>
              <w:rPr>
                <w:rFonts w:ascii="Arial" w:cs="Arial" w:eastAsia="Arial" w:hAnsi="Arial"/>
                <w:sz w:val="16"/>
                <w:szCs w:val="16"/>
                <w:b w:val="1"/>
                <w:bCs w:val="1"/>
                <w:color w:val="auto"/>
              </w:rPr>
              <w:t xml:space="preserve">Maximum </w:t>
            </w:r>
            <w:r>
              <w:rPr>
                <w:rFonts w:ascii="Arial" w:cs="Arial" w:eastAsia="Arial" w:hAnsi="Arial"/>
                <w:sz w:val="16"/>
                <w:szCs w:val="16"/>
                <w:color w:val="auto"/>
              </w:rPr>
              <w:t>– 100%</w:t>
            </w: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1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360" w:type="dxa"/>
            <w:vAlign w:val="bottom"/>
            <w:shd w:val="clear" w:color="auto" w:fill="000000"/>
          </w:tcPr>
          <w:p>
            <w:pPr>
              <w:spacing w:after="0"/>
              <w:rPr>
                <w:sz w:val="2"/>
                <w:szCs w:val="2"/>
                <w:color w:val="auto"/>
              </w:rPr>
            </w:pPr>
          </w:p>
        </w:tc>
        <w:tc>
          <w:tcPr>
            <w:tcW w:w="1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8"/>
        </w:trPr>
        <w:tc>
          <w:tcPr>
            <w:tcW w:w="1600" w:type="dxa"/>
            <w:vAlign w:val="bottom"/>
          </w:tcPr>
          <w:p>
            <w:pPr>
              <w:spacing w:after="0"/>
              <w:rPr>
                <w:sz w:val="18"/>
                <w:szCs w:val="18"/>
                <w:color w:val="auto"/>
              </w:rPr>
            </w:pPr>
          </w:p>
        </w:tc>
        <w:tc>
          <w:tcPr>
            <w:tcW w:w="2600" w:type="dxa"/>
            <w:vAlign w:val="bottom"/>
            <w:gridSpan w:val="2"/>
          </w:tcPr>
          <w:p>
            <w:pPr>
              <w:ind w:left="240"/>
              <w:spacing w:after="0"/>
              <w:rPr>
                <w:sz w:val="20"/>
                <w:szCs w:val="20"/>
                <w:color w:val="auto"/>
              </w:rPr>
            </w:pPr>
            <w:r>
              <w:rPr>
                <w:rFonts w:ascii="Arial" w:cs="Arial" w:eastAsia="Arial" w:hAnsi="Arial"/>
                <w:sz w:val="16"/>
                <w:szCs w:val="16"/>
                <w:color w:val="auto"/>
              </w:rPr>
              <w:t>4.5 Years</w:t>
            </w:r>
          </w:p>
        </w:tc>
        <w:tc>
          <w:tcPr>
            <w:tcW w:w="1780" w:type="dxa"/>
            <w:vAlign w:val="bottom"/>
          </w:tcPr>
          <w:p>
            <w:pPr>
              <w:spacing w:after="0"/>
              <w:rPr>
                <w:sz w:val="18"/>
                <w:szCs w:val="18"/>
                <w:color w:val="auto"/>
              </w:rPr>
            </w:pPr>
          </w:p>
        </w:tc>
        <w:tc>
          <w:tcPr>
            <w:tcW w:w="1380" w:type="dxa"/>
            <w:vAlign w:val="bottom"/>
            <w:gridSpan w:val="2"/>
          </w:tcPr>
          <w:p>
            <w:pPr>
              <w:ind w:left="260"/>
              <w:spacing w:after="0"/>
              <w:rPr>
                <w:sz w:val="20"/>
                <w:szCs w:val="20"/>
                <w:color w:val="auto"/>
              </w:rPr>
            </w:pPr>
            <w:r>
              <w:rPr>
                <w:rFonts w:ascii="Arial" w:cs="Arial" w:eastAsia="Arial" w:hAnsi="Arial"/>
                <w:sz w:val="16"/>
                <w:szCs w:val="16"/>
                <w:color w:val="auto"/>
              </w:rPr>
              <w:t>2/15/2020</w:t>
            </w:r>
          </w:p>
        </w:tc>
        <w:tc>
          <w:tcPr>
            <w:tcW w:w="20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600" w:type="dxa"/>
            <w:vAlign w:val="bottom"/>
            <w:tcBorders>
              <w:bottom w:val="single" w:sz="8" w:color="08228B"/>
            </w:tcBorders>
          </w:tcPr>
          <w:p>
            <w:pPr>
              <w:spacing w:after="0"/>
              <w:rPr>
                <w:sz w:val="19"/>
                <w:szCs w:val="19"/>
                <w:color w:val="auto"/>
              </w:rPr>
            </w:pPr>
          </w:p>
        </w:tc>
        <w:tc>
          <w:tcPr>
            <w:tcW w:w="2600" w:type="dxa"/>
            <w:vAlign w:val="bottom"/>
            <w:tcBorders>
              <w:bottom w:val="single" w:sz="8" w:color="08228B"/>
            </w:tcBorders>
            <w:gridSpan w:val="2"/>
          </w:tcPr>
          <w:p>
            <w:pPr>
              <w:ind w:left="240"/>
              <w:spacing w:after="0"/>
              <w:rPr>
                <w:sz w:val="20"/>
                <w:szCs w:val="20"/>
                <w:color w:val="auto"/>
              </w:rPr>
            </w:pPr>
            <w:r>
              <w:rPr>
                <w:rFonts w:ascii="Arial" w:cs="Arial" w:eastAsia="Arial" w:hAnsi="Arial"/>
                <w:sz w:val="16"/>
                <w:szCs w:val="16"/>
                <w:color w:val="auto"/>
              </w:rPr>
              <w:t>7/28/2015 – 12/31/2019</w:t>
            </w:r>
          </w:p>
        </w:tc>
        <w:tc>
          <w:tcPr>
            <w:tcW w:w="1780" w:type="dxa"/>
            <w:vAlign w:val="bottom"/>
            <w:tcBorders>
              <w:bottom w:val="single" w:sz="8" w:color="08228B"/>
            </w:tcBorders>
          </w:tcPr>
          <w:p>
            <w:pPr>
              <w:spacing w:after="0"/>
              <w:rPr>
                <w:sz w:val="19"/>
                <w:szCs w:val="19"/>
                <w:color w:val="auto"/>
              </w:rPr>
            </w:pPr>
          </w:p>
        </w:tc>
        <w:tc>
          <w:tcPr>
            <w:tcW w:w="260" w:type="dxa"/>
            <w:vAlign w:val="bottom"/>
            <w:tcBorders>
              <w:bottom w:val="single" w:sz="8" w:color="08228B"/>
            </w:tcBorders>
          </w:tcPr>
          <w:p>
            <w:pPr>
              <w:spacing w:after="0"/>
              <w:rPr>
                <w:sz w:val="19"/>
                <w:szCs w:val="19"/>
                <w:color w:val="auto"/>
              </w:rPr>
            </w:pPr>
          </w:p>
        </w:tc>
        <w:tc>
          <w:tcPr>
            <w:tcW w:w="1120" w:type="dxa"/>
            <w:vAlign w:val="bottom"/>
            <w:tcBorders>
              <w:bottom w:val="single" w:sz="8" w:color="08228B"/>
            </w:tcBorders>
          </w:tcPr>
          <w:p>
            <w:pPr>
              <w:spacing w:after="0"/>
              <w:rPr>
                <w:sz w:val="19"/>
                <w:szCs w:val="19"/>
                <w:color w:val="auto"/>
              </w:rPr>
            </w:pPr>
          </w:p>
        </w:tc>
        <w:tc>
          <w:tcPr>
            <w:tcW w:w="2020" w:type="dxa"/>
            <w:vAlign w:val="bottom"/>
            <w:tcBorders>
              <w:bottom w:val="single" w:sz="8" w:color="08228B"/>
            </w:tcBorders>
          </w:tcPr>
          <w:p>
            <w:pPr>
              <w:spacing w:after="0"/>
              <w:rPr>
                <w:sz w:val="19"/>
                <w:szCs w:val="19"/>
                <w:color w:val="auto"/>
              </w:rPr>
            </w:pPr>
          </w:p>
        </w:tc>
        <w:tc>
          <w:tcPr>
            <w:tcW w:w="1920" w:type="dxa"/>
            <w:vAlign w:val="bottom"/>
            <w:tcBorders>
              <w:bottom w:val="single" w:sz="8" w:color="08228B"/>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382" w:lineRule="exact"/>
        <w:rPr>
          <w:sz w:val="20"/>
          <w:szCs w:val="20"/>
          <w:color w:val="auto"/>
        </w:rPr>
      </w:pPr>
    </w:p>
    <w:p>
      <w:pPr>
        <w:spacing w:after="0"/>
        <w:rPr>
          <w:sz w:val="20"/>
          <w:szCs w:val="20"/>
          <w:color w:val="auto"/>
        </w:rPr>
      </w:pPr>
      <w:r>
        <w:rPr>
          <w:rFonts w:ascii="Arial" w:cs="Arial" w:eastAsia="Arial" w:hAnsi="Arial"/>
          <w:sz w:val="32"/>
          <w:szCs w:val="32"/>
          <w:color w:val="1C90D3"/>
        </w:rPr>
        <w:t>2015 Performance Results and Compensation Decisions</w:t>
      </w:r>
    </w:p>
    <w:p>
      <w:pPr>
        <w:spacing w:after="0" w:line="319" w:lineRule="exact"/>
        <w:rPr>
          <w:sz w:val="20"/>
          <w:szCs w:val="20"/>
          <w:color w:val="auto"/>
        </w:rPr>
      </w:pPr>
    </w:p>
    <w:p>
      <w:pPr>
        <w:ind w:left="500" w:hanging="492"/>
        <w:spacing w:after="0"/>
        <w:tabs>
          <w:tab w:leader="none" w:pos="500" w:val="left"/>
        </w:tabs>
        <w:numPr>
          <w:ilvl w:val="0"/>
          <w:numId w:val="62"/>
        </w:numPr>
        <w:rPr>
          <w:rFonts w:ascii="Arial" w:cs="Arial" w:eastAsia="Arial" w:hAnsi="Arial"/>
          <w:sz w:val="25"/>
          <w:szCs w:val="25"/>
          <w:color w:val="08228B"/>
        </w:rPr>
      </w:pPr>
      <w:r>
        <w:rPr>
          <w:rFonts w:ascii="Arial" w:cs="Arial" w:eastAsia="Arial" w:hAnsi="Arial"/>
          <w:sz w:val="25"/>
          <w:szCs w:val="25"/>
          <w:color w:val="auto"/>
        </w:rPr>
        <w:t>2015 Short-Term Incentive Plan</w:t>
      </w:r>
    </w:p>
    <w:p>
      <w:pPr>
        <w:spacing w:after="0" w:line="19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Company portion of the 2015 STIP award was calculated based on Company achievement of the following equally-weighted performance measures: EBIT–Adjusted, Adjusted AFCF, Global Market Share, and Quality. Actual 2015 Company performance in the combined measures produced an overall payout of 100 percent based on the achievement of the following levels for each measure as approved by the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7169150" cy="1714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6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jc w:val="right"/>
              <w:ind w:right="339"/>
              <w:spacing w:after="0"/>
              <w:rPr>
                <w:sz w:val="20"/>
                <w:szCs w:val="20"/>
                <w:color w:val="auto"/>
              </w:rPr>
            </w:pPr>
            <w:r>
              <w:rPr>
                <w:rFonts w:ascii="Arial" w:cs="Arial" w:eastAsia="Arial" w:hAnsi="Arial"/>
                <w:sz w:val="16"/>
                <w:szCs w:val="16"/>
                <w:b w:val="1"/>
                <w:bCs w:val="1"/>
                <w:color w:val="1C90D3"/>
              </w:rPr>
              <w:t>Performance</w:t>
            </w:r>
          </w:p>
        </w:tc>
        <w:tc>
          <w:tcPr>
            <w:tcW w:w="1320" w:type="dxa"/>
            <w:vAlign w:val="bottom"/>
          </w:tcPr>
          <w:p>
            <w:pPr>
              <w:jc w:val="right"/>
              <w:ind w:right="139"/>
              <w:spacing w:after="0"/>
              <w:rPr>
                <w:sz w:val="20"/>
                <w:szCs w:val="20"/>
                <w:color w:val="auto"/>
              </w:rPr>
            </w:pPr>
            <w:r>
              <w:rPr>
                <w:rFonts w:ascii="Arial" w:cs="Arial" w:eastAsia="Arial" w:hAnsi="Arial"/>
                <w:sz w:val="16"/>
                <w:szCs w:val="16"/>
                <w:b w:val="1"/>
                <w:bCs w:val="1"/>
                <w:color w:val="1C90D3"/>
              </w:rPr>
              <w:t>Performance</w:t>
            </w:r>
          </w:p>
        </w:tc>
      </w:tr>
      <w:tr>
        <w:trPr>
          <w:trHeight w:val="241"/>
        </w:trPr>
        <w:tc>
          <w:tcPr>
            <w:tcW w:w="2640" w:type="dxa"/>
            <w:vAlign w:val="bottom"/>
            <w:tcBorders>
              <w:bottom w:val="single" w:sz="8" w:color="1C90D3"/>
            </w:tcBorders>
          </w:tcPr>
          <w:p>
            <w:pPr>
              <w:ind w:left="60"/>
              <w:spacing w:after="0"/>
              <w:rPr>
                <w:sz w:val="20"/>
                <w:szCs w:val="20"/>
                <w:color w:val="auto"/>
              </w:rPr>
            </w:pPr>
            <w:r>
              <w:rPr>
                <w:rFonts w:ascii="Arial" w:cs="Arial" w:eastAsia="Arial" w:hAnsi="Arial"/>
                <w:sz w:val="16"/>
                <w:szCs w:val="16"/>
                <w:b w:val="1"/>
                <w:bCs w:val="1"/>
                <w:color w:val="1C90D3"/>
              </w:rPr>
              <w:t>STIP Measure</w:t>
            </w:r>
          </w:p>
        </w:tc>
        <w:tc>
          <w:tcPr>
            <w:tcW w:w="1760" w:type="dxa"/>
            <w:vAlign w:val="bottom"/>
            <w:tcBorders>
              <w:bottom w:val="single" w:sz="8" w:color="1C90D3"/>
            </w:tcBorders>
          </w:tcPr>
          <w:p>
            <w:pPr>
              <w:jc w:val="right"/>
              <w:ind w:right="159"/>
              <w:spacing w:after="0"/>
              <w:rPr>
                <w:sz w:val="20"/>
                <w:szCs w:val="20"/>
                <w:color w:val="auto"/>
              </w:rPr>
            </w:pPr>
            <w:r>
              <w:rPr>
                <w:rFonts w:ascii="Arial" w:cs="Arial" w:eastAsia="Arial" w:hAnsi="Arial"/>
                <w:sz w:val="16"/>
                <w:szCs w:val="16"/>
                <w:b w:val="1"/>
                <w:bCs w:val="1"/>
                <w:color w:val="1C90D3"/>
              </w:rPr>
              <w:t>Weight</w:t>
            </w:r>
          </w:p>
        </w:tc>
        <w:tc>
          <w:tcPr>
            <w:tcW w:w="240" w:type="dxa"/>
            <w:vAlign w:val="bottom"/>
            <w:tcBorders>
              <w:bottom w:val="single" w:sz="8" w:color="1C90D3"/>
            </w:tcBorders>
          </w:tcPr>
          <w:p>
            <w:pPr>
              <w:spacing w:after="0"/>
              <w:rPr>
                <w:sz w:val="20"/>
                <w:szCs w:val="20"/>
                <w:color w:val="auto"/>
              </w:rPr>
            </w:pPr>
          </w:p>
        </w:tc>
        <w:tc>
          <w:tcPr>
            <w:tcW w:w="1080" w:type="dxa"/>
            <w:vAlign w:val="bottom"/>
            <w:tcBorders>
              <w:bottom w:val="single" w:sz="8" w:color="1C90D3"/>
            </w:tcBorders>
          </w:tcPr>
          <w:p>
            <w:pPr>
              <w:jc w:val="right"/>
              <w:ind w:right="159"/>
              <w:spacing w:after="0"/>
              <w:rPr>
                <w:sz w:val="20"/>
                <w:szCs w:val="20"/>
                <w:color w:val="auto"/>
              </w:rPr>
            </w:pPr>
            <w:r>
              <w:rPr>
                <w:rFonts w:ascii="Arial" w:cs="Arial" w:eastAsia="Arial" w:hAnsi="Arial"/>
                <w:sz w:val="16"/>
                <w:szCs w:val="16"/>
                <w:b w:val="1"/>
                <w:bCs w:val="1"/>
                <w:color w:val="1C90D3"/>
              </w:rPr>
              <w:t>Threshold</w:t>
            </w:r>
          </w:p>
        </w:tc>
        <w:tc>
          <w:tcPr>
            <w:tcW w:w="400" w:type="dxa"/>
            <w:vAlign w:val="bottom"/>
            <w:tcBorders>
              <w:bottom w:val="single" w:sz="8" w:color="1C90D3"/>
            </w:tcBorders>
          </w:tcPr>
          <w:p>
            <w:pPr>
              <w:spacing w:after="0"/>
              <w:rPr>
                <w:sz w:val="20"/>
                <w:szCs w:val="20"/>
                <w:color w:val="auto"/>
              </w:rPr>
            </w:pPr>
          </w:p>
        </w:tc>
        <w:tc>
          <w:tcPr>
            <w:tcW w:w="920" w:type="dxa"/>
            <w:vAlign w:val="bottom"/>
            <w:tcBorders>
              <w:bottom w:val="single" w:sz="8" w:color="1C90D3"/>
            </w:tcBorders>
          </w:tcPr>
          <w:p>
            <w:pPr>
              <w:jc w:val="right"/>
              <w:ind w:right="159"/>
              <w:spacing w:after="0"/>
              <w:rPr>
                <w:sz w:val="20"/>
                <w:szCs w:val="20"/>
                <w:color w:val="auto"/>
              </w:rPr>
            </w:pPr>
            <w:r>
              <w:rPr>
                <w:rFonts w:ascii="Arial" w:cs="Arial" w:eastAsia="Arial" w:hAnsi="Arial"/>
                <w:sz w:val="16"/>
                <w:szCs w:val="16"/>
                <w:b w:val="1"/>
                <w:bCs w:val="1"/>
                <w:color w:val="1C90D3"/>
              </w:rPr>
              <w:t>Target</w:t>
            </w:r>
          </w:p>
        </w:tc>
        <w:tc>
          <w:tcPr>
            <w:tcW w:w="260" w:type="dxa"/>
            <w:vAlign w:val="bottom"/>
            <w:tcBorders>
              <w:bottom w:val="single" w:sz="8" w:color="1C90D3"/>
            </w:tcBorders>
          </w:tcPr>
          <w:p>
            <w:pPr>
              <w:spacing w:after="0"/>
              <w:rPr>
                <w:sz w:val="20"/>
                <w:szCs w:val="20"/>
                <w:color w:val="auto"/>
              </w:rPr>
            </w:pPr>
          </w:p>
        </w:tc>
        <w:tc>
          <w:tcPr>
            <w:tcW w:w="1060" w:type="dxa"/>
            <w:vAlign w:val="bottom"/>
            <w:tcBorders>
              <w:bottom w:val="single" w:sz="8" w:color="1C90D3"/>
            </w:tcBorders>
          </w:tcPr>
          <w:p>
            <w:pPr>
              <w:jc w:val="right"/>
              <w:ind w:right="159"/>
              <w:spacing w:after="0"/>
              <w:rPr>
                <w:sz w:val="20"/>
                <w:szCs w:val="20"/>
                <w:color w:val="auto"/>
              </w:rPr>
            </w:pPr>
            <w:r>
              <w:rPr>
                <w:rFonts w:ascii="Arial" w:cs="Arial" w:eastAsia="Arial" w:hAnsi="Arial"/>
                <w:sz w:val="16"/>
                <w:szCs w:val="16"/>
                <w:b w:val="1"/>
                <w:bCs w:val="1"/>
                <w:color w:val="1C90D3"/>
              </w:rPr>
              <w:t>Maximum</w:t>
            </w:r>
          </w:p>
        </w:tc>
        <w:tc>
          <w:tcPr>
            <w:tcW w:w="200" w:type="dxa"/>
            <w:vAlign w:val="bottom"/>
            <w:tcBorders>
              <w:bottom w:val="single" w:sz="8" w:color="1C90D3"/>
            </w:tcBorders>
          </w:tcPr>
          <w:p>
            <w:pPr>
              <w:spacing w:after="0"/>
              <w:rPr>
                <w:sz w:val="20"/>
                <w:szCs w:val="20"/>
                <w:color w:val="auto"/>
              </w:rPr>
            </w:pPr>
          </w:p>
        </w:tc>
        <w:tc>
          <w:tcPr>
            <w:tcW w:w="1420" w:type="dxa"/>
            <w:vAlign w:val="bottom"/>
            <w:tcBorders>
              <w:bottom w:val="single" w:sz="8" w:color="1C90D3"/>
            </w:tcBorders>
          </w:tcPr>
          <w:p>
            <w:pPr>
              <w:jc w:val="right"/>
              <w:ind w:right="339"/>
              <w:spacing w:after="0"/>
              <w:rPr>
                <w:sz w:val="20"/>
                <w:szCs w:val="20"/>
                <w:color w:val="auto"/>
              </w:rPr>
            </w:pPr>
            <w:r>
              <w:rPr>
                <w:rFonts w:ascii="Arial" w:cs="Arial" w:eastAsia="Arial" w:hAnsi="Arial"/>
                <w:sz w:val="16"/>
                <w:szCs w:val="16"/>
                <w:b w:val="1"/>
                <w:bCs w:val="1"/>
                <w:color w:val="1C90D3"/>
              </w:rPr>
              <w:t>Results</w:t>
            </w:r>
          </w:p>
        </w:tc>
        <w:tc>
          <w:tcPr>
            <w:tcW w:w="1320" w:type="dxa"/>
            <w:vAlign w:val="bottom"/>
            <w:tcBorders>
              <w:bottom w:val="single" w:sz="8" w:color="1C90D3"/>
            </w:tcBorders>
          </w:tcPr>
          <w:p>
            <w:pPr>
              <w:jc w:val="right"/>
              <w:ind w:right="139"/>
              <w:spacing w:after="0"/>
              <w:rPr>
                <w:sz w:val="20"/>
                <w:szCs w:val="20"/>
                <w:color w:val="auto"/>
              </w:rPr>
            </w:pPr>
            <w:r>
              <w:rPr>
                <w:rFonts w:ascii="Arial" w:cs="Arial" w:eastAsia="Arial" w:hAnsi="Arial"/>
                <w:sz w:val="16"/>
                <w:szCs w:val="16"/>
                <w:b w:val="1"/>
                <w:bCs w:val="1"/>
                <w:color w:val="1C90D3"/>
              </w:rPr>
              <w:t>Payout</w:t>
            </w:r>
          </w:p>
        </w:tc>
      </w:tr>
      <w:tr>
        <w:trPr>
          <w:trHeight w:val="237"/>
        </w:trPr>
        <w:tc>
          <w:tcPr>
            <w:tcW w:w="26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EBIT – Adjusted ($B)</w:t>
            </w:r>
          </w:p>
        </w:tc>
        <w:tc>
          <w:tcPr>
            <w:tcW w:w="1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6.6</w:t>
            </w:r>
          </w:p>
        </w:tc>
        <w:tc>
          <w:tcPr>
            <w:tcW w:w="40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10.3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13.2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10.8</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r>
      <w:tr>
        <w:trPr>
          <w:trHeight w:val="284"/>
        </w:trPr>
        <w:tc>
          <w:tcPr>
            <w:tcW w:w="2640" w:type="dxa"/>
            <w:vAlign w:val="bottom"/>
            <w:tcBorders>
              <w:bottom w:val="single" w:sz="8" w:color="auto"/>
            </w:tcBorders>
          </w:tcPr>
          <w:p>
            <w:pPr>
              <w:ind w:left="60"/>
              <w:spacing w:after="0" w:line="284" w:lineRule="exact"/>
              <w:rPr>
                <w:sz w:val="20"/>
                <w:szCs w:val="20"/>
                <w:color w:val="auto"/>
              </w:rPr>
            </w:pPr>
            <w:r>
              <w:rPr>
                <w:rFonts w:ascii="Arial" w:cs="Arial" w:eastAsia="Arial" w:hAnsi="Arial"/>
                <w:sz w:val="16"/>
                <w:szCs w:val="16"/>
                <w:color w:val="auto"/>
              </w:rPr>
              <w:t>Adjusted AFCF ($B)</w:t>
            </w:r>
            <w:r>
              <w:rPr>
                <w:rFonts w:ascii="Arial" w:cs="Arial" w:eastAsia="Arial" w:hAnsi="Arial"/>
                <w:sz w:val="27"/>
                <w:szCs w:val="27"/>
                <w:color w:val="auto"/>
                <w:vertAlign w:val="superscript"/>
              </w:rPr>
              <w:t>(1)</w:t>
            </w:r>
          </w:p>
        </w:tc>
        <w:tc>
          <w:tcPr>
            <w:tcW w:w="1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0.0</w:t>
            </w:r>
          </w:p>
        </w:tc>
        <w:tc>
          <w:tcPr>
            <w:tcW w:w="40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3.8</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6.7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4.5</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r>
      <w:tr>
        <w:trPr>
          <w:trHeight w:val="277"/>
        </w:trPr>
        <w:tc>
          <w:tcPr>
            <w:tcW w:w="26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Global Market Share</w:t>
            </w:r>
          </w:p>
        </w:tc>
        <w:tc>
          <w:tcPr>
            <w:tcW w:w="1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w:t>
            </w: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11.2%</w:t>
            </w:r>
          </w:p>
        </w:tc>
        <w:tc>
          <w:tcPr>
            <w:tcW w:w="4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11.7%</w:t>
            </w: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12.0%</w:t>
            </w:r>
          </w:p>
        </w:tc>
        <w:tc>
          <w:tcPr>
            <w:tcW w:w="2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39"/>
              <w:spacing w:after="0" w:line="277" w:lineRule="exact"/>
              <w:rPr>
                <w:sz w:val="20"/>
                <w:szCs w:val="20"/>
                <w:color w:val="auto"/>
              </w:rPr>
            </w:pPr>
            <w:r>
              <w:rPr>
                <w:rFonts w:ascii="Arial" w:cs="Arial" w:eastAsia="Arial" w:hAnsi="Arial"/>
                <w:sz w:val="16"/>
                <w:szCs w:val="16"/>
                <w:color w:val="auto"/>
              </w:rPr>
              <w:t>11.3%</w:t>
            </w:r>
            <w:r>
              <w:rPr>
                <w:rFonts w:ascii="Arial" w:cs="Arial" w:eastAsia="Arial" w:hAnsi="Arial"/>
                <w:sz w:val="27"/>
                <w:szCs w:val="27"/>
                <w:color w:val="auto"/>
                <w:vertAlign w:val="superscript"/>
              </w:rPr>
              <w:t>(2)</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r>
      <w:tr>
        <w:trPr>
          <w:trHeight w:val="277"/>
        </w:trPr>
        <w:tc>
          <w:tcPr>
            <w:tcW w:w="2640" w:type="dxa"/>
            <w:vAlign w:val="bottom"/>
            <w:tcBorders>
              <w:bottom w:val="single" w:sz="8" w:color="auto"/>
            </w:tcBorders>
          </w:tcPr>
          <w:p>
            <w:pPr>
              <w:ind w:left="60"/>
              <w:spacing w:after="0" w:line="277" w:lineRule="exact"/>
              <w:rPr>
                <w:sz w:val="20"/>
                <w:szCs w:val="20"/>
                <w:color w:val="auto"/>
              </w:rPr>
            </w:pPr>
            <w:r>
              <w:rPr>
                <w:rFonts w:ascii="Arial" w:cs="Arial" w:eastAsia="Arial" w:hAnsi="Arial"/>
                <w:sz w:val="16"/>
                <w:szCs w:val="16"/>
                <w:color w:val="auto"/>
              </w:rPr>
              <w:t>Global Quality</w:t>
            </w:r>
            <w:r>
              <w:rPr>
                <w:rFonts w:ascii="Arial" w:cs="Arial" w:eastAsia="Arial" w:hAnsi="Arial"/>
                <w:sz w:val="27"/>
                <w:szCs w:val="27"/>
                <w:color w:val="auto"/>
                <w:vertAlign w:val="superscript"/>
              </w:rPr>
              <w:t>(3)</w:t>
            </w:r>
          </w:p>
        </w:tc>
        <w:tc>
          <w:tcPr>
            <w:tcW w:w="1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w:t>
            </w: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color w:val="auto"/>
              </w:rPr>
              <w:t>Various Metrics</w:t>
            </w: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(4)</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r>
      <w:tr>
        <w:trPr>
          <w:trHeight w:val="244"/>
        </w:trPr>
        <w:tc>
          <w:tcPr>
            <w:tcW w:w="2640" w:type="dxa"/>
            <w:vAlign w:val="bottom"/>
            <w:tcBorders>
              <w:bottom w:val="single" w:sz="8" w:color="08228B"/>
            </w:tcBorders>
          </w:tcPr>
          <w:p>
            <w:pPr>
              <w:ind w:left="60"/>
              <w:spacing w:after="0"/>
              <w:rPr>
                <w:sz w:val="20"/>
                <w:szCs w:val="20"/>
                <w:color w:val="auto"/>
              </w:rPr>
            </w:pPr>
            <w:r>
              <w:rPr>
                <w:rFonts w:ascii="Arial" w:cs="Arial" w:eastAsia="Arial" w:hAnsi="Arial"/>
                <w:sz w:val="16"/>
                <w:szCs w:val="16"/>
                <w:b w:val="1"/>
                <w:bCs w:val="1"/>
                <w:color w:val="08228B"/>
              </w:rPr>
              <w:t>Result</w:t>
            </w:r>
          </w:p>
        </w:tc>
        <w:tc>
          <w:tcPr>
            <w:tcW w:w="1760" w:type="dxa"/>
            <w:vAlign w:val="bottom"/>
            <w:tcBorders>
              <w:bottom w:val="single" w:sz="8" w:color="08228B"/>
            </w:tcBorders>
          </w:tcPr>
          <w:p>
            <w:pPr>
              <w:spacing w:after="0"/>
              <w:rPr>
                <w:sz w:val="21"/>
                <w:szCs w:val="21"/>
                <w:color w:val="auto"/>
              </w:rPr>
            </w:pPr>
          </w:p>
        </w:tc>
        <w:tc>
          <w:tcPr>
            <w:tcW w:w="240" w:type="dxa"/>
            <w:vAlign w:val="bottom"/>
            <w:tcBorders>
              <w:bottom w:val="single" w:sz="8" w:color="08228B"/>
            </w:tcBorders>
          </w:tcPr>
          <w:p>
            <w:pPr>
              <w:spacing w:after="0"/>
              <w:rPr>
                <w:sz w:val="21"/>
                <w:szCs w:val="21"/>
                <w:color w:val="auto"/>
              </w:rPr>
            </w:pPr>
          </w:p>
        </w:tc>
        <w:tc>
          <w:tcPr>
            <w:tcW w:w="1080" w:type="dxa"/>
            <w:vAlign w:val="bottom"/>
            <w:tcBorders>
              <w:bottom w:val="single" w:sz="8" w:color="08228B"/>
            </w:tcBorders>
          </w:tcPr>
          <w:p>
            <w:pPr>
              <w:spacing w:after="0"/>
              <w:rPr>
                <w:sz w:val="21"/>
                <w:szCs w:val="21"/>
                <w:color w:val="auto"/>
              </w:rPr>
            </w:pPr>
          </w:p>
        </w:tc>
        <w:tc>
          <w:tcPr>
            <w:tcW w:w="400" w:type="dxa"/>
            <w:vAlign w:val="bottom"/>
            <w:tcBorders>
              <w:bottom w:val="single" w:sz="8" w:color="08228B"/>
            </w:tcBorders>
          </w:tcPr>
          <w:p>
            <w:pPr>
              <w:spacing w:after="0"/>
              <w:rPr>
                <w:sz w:val="21"/>
                <w:szCs w:val="21"/>
                <w:color w:val="auto"/>
              </w:rPr>
            </w:pPr>
          </w:p>
        </w:tc>
        <w:tc>
          <w:tcPr>
            <w:tcW w:w="920" w:type="dxa"/>
            <w:vAlign w:val="bottom"/>
            <w:tcBorders>
              <w:bottom w:val="single" w:sz="8" w:color="08228B"/>
            </w:tcBorders>
          </w:tcPr>
          <w:p>
            <w:pPr>
              <w:spacing w:after="0"/>
              <w:rPr>
                <w:sz w:val="21"/>
                <w:szCs w:val="21"/>
                <w:color w:val="auto"/>
              </w:rPr>
            </w:pPr>
          </w:p>
        </w:tc>
        <w:tc>
          <w:tcPr>
            <w:tcW w:w="260" w:type="dxa"/>
            <w:vAlign w:val="bottom"/>
            <w:tcBorders>
              <w:bottom w:val="single" w:sz="8" w:color="08228B"/>
            </w:tcBorders>
          </w:tcPr>
          <w:p>
            <w:pPr>
              <w:spacing w:after="0"/>
              <w:rPr>
                <w:sz w:val="21"/>
                <w:szCs w:val="21"/>
                <w:color w:val="auto"/>
              </w:rPr>
            </w:pPr>
          </w:p>
        </w:tc>
        <w:tc>
          <w:tcPr>
            <w:tcW w:w="1060" w:type="dxa"/>
            <w:vAlign w:val="bottom"/>
            <w:tcBorders>
              <w:bottom w:val="single" w:sz="8" w:color="08228B"/>
            </w:tcBorders>
          </w:tcPr>
          <w:p>
            <w:pPr>
              <w:spacing w:after="0"/>
              <w:rPr>
                <w:sz w:val="21"/>
                <w:szCs w:val="21"/>
                <w:color w:val="auto"/>
              </w:rPr>
            </w:pPr>
          </w:p>
        </w:tc>
        <w:tc>
          <w:tcPr>
            <w:tcW w:w="200" w:type="dxa"/>
            <w:vAlign w:val="bottom"/>
            <w:tcBorders>
              <w:bottom w:val="single" w:sz="8" w:color="08228B"/>
            </w:tcBorders>
          </w:tcPr>
          <w:p>
            <w:pPr>
              <w:spacing w:after="0"/>
              <w:rPr>
                <w:sz w:val="21"/>
                <w:szCs w:val="21"/>
                <w:color w:val="auto"/>
              </w:rPr>
            </w:pPr>
          </w:p>
        </w:tc>
        <w:tc>
          <w:tcPr>
            <w:tcW w:w="1420" w:type="dxa"/>
            <w:vAlign w:val="bottom"/>
            <w:tcBorders>
              <w:bottom w:val="single" w:sz="8" w:color="08228B"/>
            </w:tcBorders>
          </w:tcPr>
          <w:p>
            <w:pPr>
              <w:spacing w:after="0"/>
              <w:rPr>
                <w:sz w:val="21"/>
                <w:szCs w:val="21"/>
                <w:color w:val="auto"/>
              </w:rPr>
            </w:pPr>
          </w:p>
        </w:tc>
        <w:tc>
          <w:tcPr>
            <w:tcW w:w="1320" w:type="dxa"/>
            <w:vAlign w:val="bottom"/>
            <w:tcBorders>
              <w:bottom w:val="single" w:sz="8" w:color="08228B"/>
            </w:tcBorders>
          </w:tcPr>
          <w:p>
            <w:pPr>
              <w:jc w:val="right"/>
              <w:spacing w:after="0"/>
              <w:rPr>
                <w:sz w:val="20"/>
                <w:szCs w:val="20"/>
                <w:color w:val="auto"/>
              </w:rPr>
            </w:pPr>
            <w:r>
              <w:rPr>
                <w:rFonts w:ascii="Arial" w:cs="Arial" w:eastAsia="Arial" w:hAnsi="Arial"/>
                <w:sz w:val="16"/>
                <w:szCs w:val="16"/>
                <w:b w:val="1"/>
                <w:bCs w:val="1"/>
                <w:color w:val="08228B"/>
              </w:rPr>
              <w:t>100%</w:t>
            </w:r>
          </w:p>
        </w:tc>
      </w:tr>
    </w:tbl>
    <w:p>
      <w:pPr>
        <w:spacing w:after="0" w:line="58" w:lineRule="exact"/>
        <w:rPr>
          <w:sz w:val="20"/>
          <w:szCs w:val="20"/>
          <w:color w:val="auto"/>
        </w:rPr>
      </w:pPr>
    </w:p>
    <w:p>
      <w:pPr>
        <w:ind w:left="340" w:hanging="332"/>
        <w:spacing w:after="0"/>
        <w:tabs>
          <w:tab w:leader="none" w:pos="340" w:val="left"/>
        </w:tabs>
        <w:numPr>
          <w:ilvl w:val="0"/>
          <w:numId w:val="63"/>
        </w:numPr>
        <w:rPr>
          <w:rFonts w:ascii="Arial" w:cs="Arial" w:eastAsia="Arial" w:hAnsi="Arial"/>
          <w:sz w:val="14"/>
          <w:szCs w:val="14"/>
          <w:i w:val="1"/>
          <w:iCs w:val="1"/>
          <w:color w:val="auto"/>
        </w:rPr>
      </w:pPr>
      <w:r>
        <w:rPr>
          <w:rFonts w:ascii="Arial" w:cs="Arial" w:eastAsia="Arial" w:hAnsi="Arial"/>
          <w:sz w:val="14"/>
          <w:szCs w:val="14"/>
          <w:i w:val="1"/>
          <w:iCs w:val="1"/>
          <w:color w:val="auto"/>
        </w:rPr>
        <w:t>Adjusted AFCF for incentive purposes excludes payments related to certain recall-related expenses attributable to 2014.</w:t>
      </w:r>
    </w:p>
    <w:p>
      <w:pPr>
        <w:spacing w:after="0" w:line="68" w:lineRule="exact"/>
        <w:rPr>
          <w:rFonts w:ascii="Arial" w:cs="Arial" w:eastAsia="Arial" w:hAnsi="Arial"/>
          <w:sz w:val="14"/>
          <w:szCs w:val="14"/>
          <w:i w:val="1"/>
          <w:iCs w:val="1"/>
          <w:color w:val="auto"/>
        </w:rPr>
      </w:pPr>
    </w:p>
    <w:p>
      <w:pPr>
        <w:ind w:left="340" w:right="120" w:hanging="332"/>
        <w:spacing w:after="0" w:line="279" w:lineRule="auto"/>
        <w:tabs>
          <w:tab w:leader="none" w:pos="340" w:val="left"/>
        </w:tabs>
        <w:numPr>
          <w:ilvl w:val="0"/>
          <w:numId w:val="63"/>
        </w:numPr>
        <w:rPr>
          <w:rFonts w:ascii="Arial" w:cs="Arial" w:eastAsia="Arial" w:hAnsi="Arial"/>
          <w:sz w:val="14"/>
          <w:szCs w:val="14"/>
          <w:i w:val="1"/>
          <w:iCs w:val="1"/>
          <w:color w:val="auto"/>
        </w:rPr>
      </w:pPr>
      <w:r>
        <w:rPr>
          <w:rFonts w:ascii="Arial" w:cs="Arial" w:eastAsia="Arial" w:hAnsi="Arial"/>
          <w:sz w:val="14"/>
          <w:szCs w:val="14"/>
          <w:i w:val="1"/>
          <w:iCs w:val="1"/>
          <w:color w:val="auto"/>
        </w:rPr>
        <w:t>Global Market Share of 11.2% was achieved. When excluding the impact of the Company’s decision to exit unprofitable markets during 2015, the Global Market Share increases to 11.3%. The Compensation Committee determined the adjustment was warranted, which increased the payout from 13% to 15%.</w:t>
      </w:r>
    </w:p>
    <w:p>
      <w:pPr>
        <w:spacing w:after="0" w:line="17" w:lineRule="exact"/>
        <w:rPr>
          <w:rFonts w:ascii="Arial" w:cs="Arial" w:eastAsia="Arial" w:hAnsi="Arial"/>
          <w:sz w:val="14"/>
          <w:szCs w:val="14"/>
          <w:i w:val="1"/>
          <w:iCs w:val="1"/>
          <w:color w:val="auto"/>
        </w:rPr>
      </w:pPr>
    </w:p>
    <w:p>
      <w:pPr>
        <w:ind w:left="340" w:right="120" w:hanging="332"/>
        <w:spacing w:after="0" w:line="279" w:lineRule="auto"/>
        <w:tabs>
          <w:tab w:leader="none" w:pos="340" w:val="left"/>
        </w:tabs>
        <w:numPr>
          <w:ilvl w:val="0"/>
          <w:numId w:val="63"/>
        </w:numPr>
        <w:rPr>
          <w:rFonts w:ascii="Arial" w:cs="Arial" w:eastAsia="Arial" w:hAnsi="Arial"/>
          <w:sz w:val="14"/>
          <w:szCs w:val="14"/>
          <w:i w:val="1"/>
          <w:iCs w:val="1"/>
          <w:color w:val="auto"/>
        </w:rPr>
      </w:pPr>
      <w:r>
        <w:rPr>
          <w:rFonts w:ascii="Arial" w:cs="Arial" w:eastAsia="Arial" w:hAnsi="Arial"/>
          <w:sz w:val="14"/>
          <w:szCs w:val="14"/>
          <w:i w:val="1"/>
          <w:iCs w:val="1"/>
          <w:color w:val="auto"/>
        </w:rPr>
        <w:t>Global Quality Measures for 2015 included: Loyalty (10% Weight – Payout 14%), 12 Months-in-Service Warranty Frequency (10% Weight – Payout 7%), and Policy &amp; Warranty Expense (5% Weight – Payout 4%; see footnote 4 below).</w:t>
      </w:r>
    </w:p>
    <w:p>
      <w:pPr>
        <w:spacing w:after="0" w:line="17" w:lineRule="exact"/>
        <w:rPr>
          <w:rFonts w:ascii="Arial" w:cs="Arial" w:eastAsia="Arial" w:hAnsi="Arial"/>
          <w:sz w:val="14"/>
          <w:szCs w:val="14"/>
          <w:i w:val="1"/>
          <w:iCs w:val="1"/>
          <w:color w:val="auto"/>
        </w:rPr>
      </w:pPr>
    </w:p>
    <w:p>
      <w:pPr>
        <w:ind w:left="340" w:right="140" w:hanging="332"/>
        <w:spacing w:after="0" w:line="279" w:lineRule="auto"/>
        <w:tabs>
          <w:tab w:leader="none" w:pos="340" w:val="left"/>
        </w:tabs>
        <w:numPr>
          <w:ilvl w:val="0"/>
          <w:numId w:val="63"/>
        </w:numPr>
        <w:rPr>
          <w:rFonts w:ascii="Arial" w:cs="Arial" w:eastAsia="Arial" w:hAnsi="Arial"/>
          <w:sz w:val="14"/>
          <w:szCs w:val="14"/>
          <w:i w:val="1"/>
          <w:iCs w:val="1"/>
          <w:color w:val="auto"/>
        </w:rPr>
      </w:pPr>
      <w:r>
        <w:rPr>
          <w:rFonts w:ascii="Arial" w:cs="Arial" w:eastAsia="Arial" w:hAnsi="Arial"/>
          <w:sz w:val="14"/>
          <w:szCs w:val="14"/>
          <w:i w:val="1"/>
          <w:iCs w:val="1"/>
          <w:color w:val="auto"/>
        </w:rPr>
        <w:t>Policy &amp; Warranty Expense excludes certain recall campaign actions that resulted in true-ups to an initial reserve established in 2014 as a special charge. The Compensation Committee approved the adjustment to be consistent with how the target was set. This increased the Global Quality payout from 21% to 25%.</w:t>
      </w:r>
    </w:p>
    <w:p>
      <w:pPr>
        <w:spacing w:after="0" w:line="12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Individual performance may also influence final STIP awards. The compensation decision made for each individual executive is discussed beginning on the next page.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13"/>
        </w:trPr>
        <w:tc>
          <w:tcPr>
            <w:tcW w:w="4340" w:type="dxa"/>
            <w:vAlign w:val="bottom"/>
            <w:tcBorders>
              <w:bottom w:val="single" w:sz="8" w:color="08228B"/>
            </w:tcBorders>
          </w:tcPr>
          <w:p>
            <w:pPr>
              <w:spacing w:after="0"/>
              <w:rPr>
                <w:sz w:val="9"/>
                <w:szCs w:val="9"/>
                <w:color w:val="auto"/>
              </w:rPr>
            </w:pPr>
          </w:p>
        </w:tc>
        <w:tc>
          <w:tcPr>
            <w:tcW w:w="2060" w:type="dxa"/>
            <w:vAlign w:val="bottom"/>
            <w:vMerge w:val="restart"/>
          </w:tcPr>
          <w:p>
            <w:pPr>
              <w:ind w:left="60"/>
              <w:spacing w:after="0"/>
              <w:rPr>
                <w:sz w:val="20"/>
                <w:szCs w:val="20"/>
                <w:color w:val="auto"/>
              </w:rPr>
            </w:pPr>
            <w:r>
              <w:rPr>
                <w:rFonts w:ascii="Arial" w:cs="Arial" w:eastAsia="Arial" w:hAnsi="Arial"/>
                <w:sz w:val="16"/>
                <w:szCs w:val="16"/>
                <w:b w:val="1"/>
                <w:bCs w:val="1"/>
                <w:color w:val="1C90D3"/>
              </w:rPr>
              <w:t xml:space="preserve">2016 </w:t>
            </w:r>
            <w:r>
              <w:rPr>
                <w:rFonts w:ascii="Arial" w:cs="Arial" w:eastAsia="Arial" w:hAnsi="Arial"/>
                <w:sz w:val="16"/>
                <w:szCs w:val="16"/>
                <w:color w:val="08228B"/>
              </w:rPr>
              <w:t>PROXY STATEMENT</w:t>
            </w:r>
          </w:p>
        </w:tc>
        <w:tc>
          <w:tcPr>
            <w:tcW w:w="2400" w:type="dxa"/>
            <w:vAlign w:val="bottom"/>
            <w:tcBorders>
              <w:bottom w:val="single" w:sz="8" w:color="08228B"/>
            </w:tcBorders>
          </w:tcPr>
          <w:p>
            <w:pPr>
              <w:spacing w:after="0"/>
              <w:rPr>
                <w:sz w:val="9"/>
                <w:szCs w:val="9"/>
                <w:color w:val="auto"/>
              </w:rPr>
            </w:pPr>
          </w:p>
        </w:tc>
        <w:tc>
          <w:tcPr>
            <w:tcW w:w="2620" w:type="dxa"/>
            <w:vAlign w:val="bottom"/>
            <w:vMerge w:val="restart"/>
          </w:tcPr>
          <w:p>
            <w:pPr>
              <w:jc w:val="right"/>
              <w:ind w:right="39"/>
              <w:spacing w:after="0"/>
              <w:rPr>
                <w:sz w:val="20"/>
                <w:szCs w:val="20"/>
                <w:color w:val="auto"/>
              </w:rPr>
            </w:pPr>
            <w:r>
              <w:rPr>
                <w:rFonts w:ascii="Arial" w:cs="Arial" w:eastAsia="Arial" w:hAnsi="Arial"/>
                <w:sz w:val="16"/>
                <w:szCs w:val="16"/>
                <w:color w:val="08228B"/>
              </w:rPr>
              <w:t>46</w:t>
            </w:r>
          </w:p>
        </w:tc>
        <w:tc>
          <w:tcPr>
            <w:tcW w:w="0" w:type="dxa"/>
            <w:vAlign w:val="bottom"/>
          </w:tcPr>
          <w:p>
            <w:pPr>
              <w:spacing w:after="0"/>
              <w:rPr>
                <w:sz w:val="1"/>
                <w:szCs w:val="1"/>
                <w:color w:val="auto"/>
              </w:rPr>
            </w:pPr>
          </w:p>
        </w:tc>
      </w:tr>
      <w:tr>
        <w:trPr>
          <w:trHeight w:val="82"/>
        </w:trPr>
        <w:tc>
          <w:tcPr>
            <w:tcW w:w="4340" w:type="dxa"/>
            <w:vAlign w:val="bottom"/>
          </w:tcPr>
          <w:p>
            <w:pPr>
              <w:spacing w:after="0"/>
              <w:rPr>
                <w:sz w:val="7"/>
                <w:szCs w:val="7"/>
                <w:color w:val="auto"/>
              </w:rPr>
            </w:pPr>
          </w:p>
        </w:tc>
        <w:tc>
          <w:tcPr>
            <w:tcW w:w="2060" w:type="dxa"/>
            <w:vAlign w:val="bottom"/>
            <w:vMerge w:val="continue"/>
          </w:tcPr>
          <w:p>
            <w:pPr>
              <w:spacing w:after="0"/>
              <w:rPr>
                <w:sz w:val="7"/>
                <w:szCs w:val="7"/>
                <w:color w:val="auto"/>
              </w:rPr>
            </w:pPr>
          </w:p>
        </w:tc>
        <w:tc>
          <w:tcPr>
            <w:tcW w:w="2400" w:type="dxa"/>
            <w:vAlign w:val="bottom"/>
          </w:tcPr>
          <w:p>
            <w:pPr>
              <w:spacing w:after="0"/>
              <w:rPr>
                <w:sz w:val="7"/>
                <w:szCs w:val="7"/>
                <w:color w:val="auto"/>
              </w:rPr>
            </w:pPr>
          </w:p>
        </w:tc>
        <w:tc>
          <w:tcPr>
            <w:tcW w:w="2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7"/>
        </w:trPr>
        <w:tc>
          <w:tcPr>
            <w:tcW w:w="4340" w:type="dxa"/>
            <w:vAlign w:val="bottom"/>
            <w:tcBorders>
              <w:bottom w:val="single" w:sz="8" w:color="C0C0C0"/>
            </w:tcBorders>
          </w:tcPr>
          <w:p>
            <w:pPr>
              <w:spacing w:after="0"/>
              <w:rPr>
                <w:sz w:val="24"/>
                <w:szCs w:val="24"/>
                <w:color w:val="auto"/>
              </w:rPr>
            </w:pPr>
          </w:p>
        </w:tc>
        <w:tc>
          <w:tcPr>
            <w:tcW w:w="2060" w:type="dxa"/>
            <w:vAlign w:val="bottom"/>
            <w:tcBorders>
              <w:bottom w:val="single" w:sz="8" w:color="C0C0C0"/>
            </w:tcBorders>
          </w:tcPr>
          <w:p>
            <w:pPr>
              <w:spacing w:after="0"/>
              <w:rPr>
                <w:sz w:val="24"/>
                <w:szCs w:val="24"/>
                <w:color w:val="auto"/>
              </w:rPr>
            </w:pPr>
          </w:p>
        </w:tc>
        <w:tc>
          <w:tcPr>
            <w:tcW w:w="2400" w:type="dxa"/>
            <w:vAlign w:val="bottom"/>
            <w:tcBorders>
              <w:bottom w:val="single" w:sz="8" w:color="C0C0C0"/>
            </w:tcBorders>
          </w:tcPr>
          <w:p>
            <w:pPr>
              <w:spacing w:after="0"/>
              <w:rPr>
                <w:sz w:val="24"/>
                <w:szCs w:val="24"/>
                <w:color w:val="auto"/>
              </w:rPr>
            </w:pPr>
          </w:p>
        </w:tc>
        <w:tc>
          <w:tcPr>
            <w:tcW w:w="262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5613400</wp:posOffset>
            </wp:positionH>
            <wp:positionV relativeFrom="paragraph">
              <wp:posOffset>-334010</wp:posOffset>
            </wp:positionV>
            <wp:extent cx="1286510" cy="8572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1286510" cy="8572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Back to Contents</w:t>
        </w:r>
      </w:hyperlink>
    </w:p>
    <w:p>
      <w:pPr>
        <w:spacing w:after="0" w:line="196" w:lineRule="exact"/>
        <w:rPr>
          <w:sz w:val="20"/>
          <w:szCs w:val="20"/>
          <w:color w:val="auto"/>
        </w:rPr>
      </w:pPr>
    </w:p>
    <w:p>
      <w:pPr>
        <w:ind w:left="500" w:hanging="492"/>
        <w:spacing w:after="0"/>
        <w:tabs>
          <w:tab w:leader="none" w:pos="500" w:val="left"/>
        </w:tabs>
        <w:numPr>
          <w:ilvl w:val="0"/>
          <w:numId w:val="64"/>
        </w:numPr>
        <w:rPr>
          <w:rFonts w:ascii="Arial" w:cs="Arial" w:eastAsia="Arial" w:hAnsi="Arial"/>
          <w:sz w:val="25"/>
          <w:szCs w:val="25"/>
          <w:color w:val="08228B"/>
        </w:rPr>
      </w:pPr>
      <w:r>
        <w:rPr>
          <w:rFonts w:ascii="Arial" w:cs="Arial" w:eastAsia="Arial" w:hAnsi="Arial"/>
          <w:sz w:val="25"/>
          <w:szCs w:val="25"/>
          <w:color w:val="auto"/>
        </w:rPr>
        <w:t>Compensation Decisions for Mary T. Barra</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08228B"/>
        </w:rPr>
        <w:t xml:space="preserve">Mary T. Barra, </w:t>
      </w:r>
      <w:r>
        <w:rPr>
          <w:rFonts w:ascii="Arial" w:cs="Arial" w:eastAsia="Arial" w:hAnsi="Arial"/>
          <w:sz w:val="18"/>
          <w:szCs w:val="18"/>
          <w:b w:val="1"/>
          <w:bCs w:val="1"/>
          <w:color w:val="000000"/>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69150" cy="283845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169150" cy="2838450"/>
                    </a:xfrm>
                    <a:prstGeom prst="rect">
                      <a:avLst/>
                    </a:prstGeom>
                    <a:noFill/>
                  </pic:spPr>
                </pic:pic>
              </a:graphicData>
            </a:graphic>
          </wp:anchor>
        </w:drawing>
      </w:r>
    </w:p>
    <w:p>
      <w:pPr>
        <w:spacing w:after="0" w:line="27" w:lineRule="exact"/>
        <w:rPr>
          <w:sz w:val="20"/>
          <w:szCs w:val="20"/>
          <w:color w:val="auto"/>
        </w:rPr>
      </w:pPr>
    </w:p>
    <w:p>
      <w:pPr>
        <w:ind w:left="40"/>
        <w:spacing w:after="0"/>
        <w:rPr>
          <w:sz w:val="20"/>
          <w:szCs w:val="20"/>
          <w:color w:val="auto"/>
        </w:rPr>
      </w:pPr>
      <w:r>
        <w:rPr>
          <w:rFonts w:ascii="Arial" w:cs="Arial" w:eastAsia="Arial" w:hAnsi="Arial"/>
          <w:sz w:val="16"/>
          <w:szCs w:val="16"/>
          <w:color w:val="auto"/>
        </w:rPr>
        <w:t>Ms. Barra’s performance for 2015 was directly aligned with the Company’s 2015 strategic objectives:</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Earn Customers for Life</w:t>
      </w:r>
    </w:p>
    <w:p>
      <w:pPr>
        <w:spacing w:after="0" w:line="120" w:lineRule="exact"/>
        <w:rPr>
          <w:sz w:val="20"/>
          <w:szCs w:val="20"/>
          <w:color w:val="auto"/>
        </w:rPr>
      </w:pPr>
    </w:p>
    <w:p>
      <w:pPr>
        <w:ind w:left="260" w:right="160" w:hanging="216"/>
        <w:spacing w:after="0" w:line="260" w:lineRule="auto"/>
        <w:tabs>
          <w:tab w:leader="none" w:pos="249" w:val="left"/>
        </w:tabs>
        <w:numPr>
          <w:ilvl w:val="0"/>
          <w:numId w:val="65"/>
        </w:numPr>
        <w:rPr>
          <w:rFonts w:ascii="Arial" w:cs="Arial" w:eastAsia="Arial" w:hAnsi="Arial"/>
          <w:sz w:val="16"/>
          <w:szCs w:val="16"/>
          <w:color w:val="08228B"/>
        </w:rPr>
      </w:pPr>
      <w:r>
        <w:rPr>
          <w:rFonts w:ascii="Arial" w:cs="Arial" w:eastAsia="Arial" w:hAnsi="Arial"/>
          <w:sz w:val="16"/>
          <w:szCs w:val="16"/>
          <w:color w:val="auto"/>
        </w:rPr>
        <w:t>Continued relentless focus on safety, quality, innovation, customer preferences, and the overall ownership experience that puts the customer at the center of everything we do.</w:t>
      </w:r>
    </w:p>
    <w:p>
      <w:pPr>
        <w:spacing w:after="0" w:line="14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Grow Our Brands</w:t>
      </w:r>
    </w:p>
    <w:p>
      <w:pPr>
        <w:spacing w:after="0" w:line="120" w:lineRule="exact"/>
        <w:rPr>
          <w:sz w:val="20"/>
          <w:szCs w:val="20"/>
          <w:color w:val="auto"/>
        </w:rPr>
      </w:pPr>
    </w:p>
    <w:p>
      <w:pPr>
        <w:ind w:left="300" w:hanging="256"/>
        <w:spacing w:after="0"/>
        <w:tabs>
          <w:tab w:leader="none" w:pos="300" w:val="left"/>
        </w:tabs>
        <w:numPr>
          <w:ilvl w:val="0"/>
          <w:numId w:val="66"/>
        </w:numPr>
        <w:rPr>
          <w:rFonts w:ascii="Arial" w:cs="Arial" w:eastAsia="Arial" w:hAnsi="Arial"/>
          <w:sz w:val="16"/>
          <w:szCs w:val="16"/>
          <w:color w:val="08228B"/>
        </w:rPr>
      </w:pPr>
      <w:r>
        <w:rPr>
          <w:rFonts w:ascii="Arial" w:cs="Arial" w:eastAsia="Arial" w:hAnsi="Arial"/>
          <w:sz w:val="16"/>
          <w:szCs w:val="16"/>
          <w:color w:val="auto"/>
        </w:rPr>
        <w:t>Launched 25 vehicles and strengthened all brands.</w:t>
      </w:r>
    </w:p>
    <w:p>
      <w:pPr>
        <w:spacing w:after="0" w:line="5" w:lineRule="exact"/>
        <w:rPr>
          <w:rFonts w:ascii="Arial" w:cs="Arial" w:eastAsia="Arial" w:hAnsi="Arial"/>
          <w:sz w:val="16"/>
          <w:szCs w:val="16"/>
          <w:color w:val="08228B"/>
        </w:rPr>
      </w:pPr>
    </w:p>
    <w:p>
      <w:pPr>
        <w:ind w:left="300" w:hanging="256"/>
        <w:spacing w:after="0"/>
        <w:tabs>
          <w:tab w:leader="none" w:pos="300" w:val="left"/>
        </w:tabs>
        <w:numPr>
          <w:ilvl w:val="0"/>
          <w:numId w:val="66"/>
        </w:numPr>
        <w:rPr>
          <w:rFonts w:ascii="Arial" w:cs="Arial" w:eastAsia="Arial" w:hAnsi="Arial"/>
          <w:sz w:val="16"/>
          <w:szCs w:val="16"/>
          <w:color w:val="08228B"/>
        </w:rPr>
      </w:pPr>
      <w:r>
        <w:rPr>
          <w:rFonts w:ascii="Arial" w:cs="Arial" w:eastAsia="Arial" w:hAnsi="Arial"/>
          <w:sz w:val="16"/>
          <w:szCs w:val="16"/>
          <w:color w:val="auto"/>
        </w:rPr>
        <w:t>Redefined the Cadillac brand image, focused on vehicle design and engineering, and premiered the “Dare Greatly” marketing and advertising campaign.</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Lead in Technology and Innovation</w:t>
      </w:r>
    </w:p>
    <w:p>
      <w:pPr>
        <w:spacing w:after="0" w:line="120" w:lineRule="exact"/>
        <w:rPr>
          <w:sz w:val="20"/>
          <w:szCs w:val="20"/>
          <w:color w:val="auto"/>
        </w:rPr>
      </w:pPr>
    </w:p>
    <w:p>
      <w:pPr>
        <w:jc w:val="both"/>
        <w:ind w:left="260" w:right="200" w:hanging="216"/>
        <w:spacing w:after="0" w:line="253" w:lineRule="auto"/>
        <w:tabs>
          <w:tab w:leader="none" w:pos="249" w:val="left"/>
        </w:tabs>
        <w:numPr>
          <w:ilvl w:val="0"/>
          <w:numId w:val="67"/>
        </w:numPr>
        <w:rPr>
          <w:rFonts w:ascii="Arial" w:cs="Arial" w:eastAsia="Arial" w:hAnsi="Arial"/>
          <w:sz w:val="16"/>
          <w:szCs w:val="16"/>
          <w:color w:val="08228B"/>
        </w:rPr>
      </w:pPr>
      <w:r>
        <w:rPr>
          <w:rFonts w:ascii="Arial" w:cs="Arial" w:eastAsia="Arial" w:hAnsi="Arial"/>
          <w:sz w:val="16"/>
          <w:szCs w:val="16"/>
          <w:color w:val="auto"/>
        </w:rPr>
        <w:t>Focused on technology and innovation with several key programs, including our car-sharing programs, which we combined under our Maven brand in January 2016; next generation Volt and all-new Bolt concept; OnStar in vehicles on four continents; and introduced 4G LTE with Android Auto and Apple CarPlay.</w:t>
      </w:r>
    </w:p>
    <w:p>
      <w:pPr>
        <w:spacing w:after="0" w:line="15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Drive Core Efficiencies</w:t>
      </w:r>
    </w:p>
    <w:p>
      <w:pPr>
        <w:spacing w:after="0" w:line="120" w:lineRule="exact"/>
        <w:rPr>
          <w:sz w:val="20"/>
          <w:szCs w:val="20"/>
          <w:color w:val="auto"/>
        </w:rPr>
      </w:pPr>
    </w:p>
    <w:p>
      <w:pPr>
        <w:ind w:left="300" w:hanging="256"/>
        <w:spacing w:after="0"/>
        <w:tabs>
          <w:tab w:leader="none" w:pos="300" w:val="left"/>
        </w:tabs>
        <w:numPr>
          <w:ilvl w:val="0"/>
          <w:numId w:val="68"/>
        </w:numPr>
        <w:rPr>
          <w:rFonts w:ascii="Arial" w:cs="Arial" w:eastAsia="Arial" w:hAnsi="Arial"/>
          <w:sz w:val="16"/>
          <w:szCs w:val="16"/>
          <w:color w:val="08228B"/>
        </w:rPr>
      </w:pPr>
      <w:r>
        <w:rPr>
          <w:rFonts w:ascii="Arial" w:cs="Arial" w:eastAsia="Arial" w:hAnsi="Arial"/>
          <w:sz w:val="16"/>
          <w:szCs w:val="16"/>
          <w:color w:val="auto"/>
        </w:rPr>
        <w:t>Expanded Operational Excellence training in 2015 and executed projects that resulted in savings exceeding $475 million.</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Culture to Win</w:t>
      </w:r>
    </w:p>
    <w:p>
      <w:pPr>
        <w:spacing w:after="0" w:line="120" w:lineRule="exact"/>
        <w:rPr>
          <w:sz w:val="20"/>
          <w:szCs w:val="20"/>
          <w:color w:val="auto"/>
        </w:rPr>
      </w:pPr>
    </w:p>
    <w:p>
      <w:pPr>
        <w:ind w:left="300" w:hanging="256"/>
        <w:spacing w:after="0"/>
        <w:tabs>
          <w:tab w:leader="none" w:pos="300" w:val="left"/>
        </w:tabs>
        <w:numPr>
          <w:ilvl w:val="0"/>
          <w:numId w:val="69"/>
        </w:numPr>
        <w:rPr>
          <w:rFonts w:ascii="Arial" w:cs="Arial" w:eastAsia="Arial" w:hAnsi="Arial"/>
          <w:sz w:val="16"/>
          <w:szCs w:val="16"/>
          <w:color w:val="08228B"/>
        </w:rPr>
      </w:pPr>
      <w:r>
        <w:rPr>
          <w:rFonts w:ascii="Arial" w:cs="Arial" w:eastAsia="Arial" w:hAnsi="Arial"/>
          <w:sz w:val="16"/>
          <w:szCs w:val="16"/>
          <w:color w:val="auto"/>
        </w:rPr>
        <w:t>Delivered on business plan and commitments two years in a row.</w:t>
      </w:r>
    </w:p>
    <w:p>
      <w:pPr>
        <w:spacing w:after="0" w:line="5" w:lineRule="exact"/>
        <w:rPr>
          <w:rFonts w:ascii="Arial" w:cs="Arial" w:eastAsia="Arial" w:hAnsi="Arial"/>
          <w:sz w:val="16"/>
          <w:szCs w:val="16"/>
          <w:color w:val="08228B"/>
        </w:rPr>
      </w:pPr>
    </w:p>
    <w:p>
      <w:pPr>
        <w:ind w:left="300" w:hanging="256"/>
        <w:spacing w:after="0"/>
        <w:tabs>
          <w:tab w:leader="none" w:pos="300" w:val="left"/>
        </w:tabs>
        <w:numPr>
          <w:ilvl w:val="0"/>
          <w:numId w:val="69"/>
        </w:numPr>
        <w:rPr>
          <w:rFonts w:ascii="Arial" w:cs="Arial" w:eastAsia="Arial" w:hAnsi="Arial"/>
          <w:sz w:val="16"/>
          <w:szCs w:val="16"/>
          <w:color w:val="08228B"/>
        </w:rPr>
      </w:pPr>
      <w:r>
        <w:rPr>
          <w:rFonts w:ascii="Arial" w:cs="Arial" w:eastAsia="Arial" w:hAnsi="Arial"/>
          <w:sz w:val="16"/>
          <w:szCs w:val="16"/>
          <w:color w:val="auto"/>
        </w:rPr>
        <w:t>Continued to attract top talent to the leadership team.</w:t>
      </w:r>
    </w:p>
    <w:p>
      <w:pPr>
        <w:spacing w:after="0" w:line="19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Effective January 1, 2015, the Compensation Committee increased Ms. Barra’s base salary from $1,600,000 to $1,750,000 based on her individual performance and the competitive market analysis provided by the Compensation Committee’s independent compensation consultant. The Compensation Committee awarded Ms. Barra an annual equity grant of $12 million consisting of 75 percent PSUs and 25 percent RSUs as discussed above. Ms. Barra participated in the one-time DSV Option Grant during 2015.</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The total compensation for Ms. Barra in 2015, including salary, bonus, STIP and LTIP awards, and options is displayed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820" w:type="dxa"/>
            <w:vAlign w:val="bottom"/>
            <w:tcBorders>
              <w:top w:val="single" w:sz="8" w:color="1C90D3"/>
              <w:bottom w:val="single" w:sz="8" w:color="1C90D3"/>
            </w:tcBorders>
          </w:tcPr>
          <w:p>
            <w:pPr>
              <w:ind w:left="40"/>
              <w:spacing w:after="0"/>
              <w:rPr>
                <w:sz w:val="20"/>
                <w:szCs w:val="20"/>
                <w:color w:val="auto"/>
              </w:rPr>
            </w:pPr>
            <w:r>
              <w:rPr>
                <w:rFonts w:ascii="Arial" w:cs="Arial" w:eastAsia="Arial" w:hAnsi="Arial"/>
                <w:sz w:val="16"/>
                <w:szCs w:val="16"/>
                <w:b w:val="1"/>
                <w:bCs w:val="1"/>
                <w:color w:val="1C90D3"/>
              </w:rPr>
              <w:t>Pay Element</w:t>
            </w:r>
          </w:p>
        </w:tc>
        <w:tc>
          <w:tcPr>
            <w:tcW w:w="6460" w:type="dxa"/>
            <w:vAlign w:val="bottom"/>
            <w:tcBorders>
              <w:top w:val="single" w:sz="8" w:color="1C90D3"/>
              <w:bottom w:val="single" w:sz="8" w:color="1C90D3"/>
            </w:tcBorders>
          </w:tcPr>
          <w:p>
            <w:pPr>
              <w:ind w:left="680"/>
              <w:spacing w:after="0"/>
              <w:rPr>
                <w:sz w:val="20"/>
                <w:szCs w:val="20"/>
                <w:color w:val="auto"/>
              </w:rPr>
            </w:pPr>
            <w:r>
              <w:rPr>
                <w:rFonts w:ascii="Arial" w:cs="Arial" w:eastAsia="Arial" w:hAnsi="Arial"/>
                <w:sz w:val="16"/>
                <w:szCs w:val="16"/>
                <w:b w:val="1"/>
                <w:bCs w:val="1"/>
                <w:color w:val="1C90D3"/>
              </w:rPr>
              <w:t>Majority of Pay Is At-Risk</w:t>
            </w:r>
          </w:p>
        </w:tc>
        <w:tc>
          <w:tcPr>
            <w:tcW w:w="1540" w:type="dxa"/>
            <w:vAlign w:val="bottom"/>
            <w:tcBorders>
              <w:top w:val="single" w:sz="8" w:color="1C90D3"/>
              <w:bottom w:val="single" w:sz="8" w:color="1C90D3"/>
            </w:tcBorders>
          </w:tcPr>
          <w:p>
            <w:pPr>
              <w:spacing w:after="0"/>
              <w:rPr>
                <w:sz w:val="19"/>
                <w:szCs w:val="19"/>
                <w:color w:val="auto"/>
              </w:rPr>
            </w:pPr>
          </w:p>
        </w:tc>
        <w:tc>
          <w:tcPr>
            <w:tcW w:w="1480" w:type="dxa"/>
            <w:vAlign w:val="bottom"/>
            <w:tcBorders>
              <w:top w:val="single" w:sz="8" w:color="1C90D3"/>
              <w:bottom w:val="single" w:sz="8" w:color="1C90D3"/>
            </w:tcBorders>
          </w:tcPr>
          <w:p>
            <w:pPr>
              <w:jc w:val="right"/>
              <w:ind w:right="19"/>
              <w:spacing w:after="0"/>
              <w:rPr>
                <w:sz w:val="20"/>
                <w:szCs w:val="20"/>
                <w:color w:val="auto"/>
              </w:rPr>
            </w:pPr>
            <w:r>
              <w:rPr>
                <w:rFonts w:ascii="Arial" w:cs="Arial" w:eastAsia="Arial" w:hAnsi="Arial"/>
                <w:sz w:val="16"/>
                <w:szCs w:val="16"/>
                <w:b w:val="1"/>
                <w:bCs w:val="1"/>
                <w:color w:val="1C90D3"/>
              </w:rPr>
              <w:t>Awarded Value</w:t>
            </w:r>
          </w:p>
        </w:tc>
      </w:tr>
      <w:tr>
        <w:trPr>
          <w:trHeight w:val="189"/>
        </w:trPr>
        <w:tc>
          <w:tcPr>
            <w:tcW w:w="18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Base Salary</w:t>
            </w:r>
          </w:p>
        </w:tc>
        <w:tc>
          <w:tcPr>
            <w:tcW w:w="6460" w:type="dxa"/>
            <w:vAlign w:val="bottom"/>
            <w:tcBorders>
              <w:bottom w:val="single" w:sz="8" w:color="auto"/>
            </w:tcBorders>
          </w:tcPr>
          <w:p>
            <w:pPr>
              <w:ind w:left="680"/>
              <w:spacing w:after="0"/>
              <w:rPr>
                <w:sz w:val="20"/>
                <w:szCs w:val="20"/>
                <w:color w:val="auto"/>
              </w:rPr>
            </w:pPr>
            <w:r>
              <w:rPr>
                <w:rFonts w:ascii="Arial" w:cs="Arial" w:eastAsia="Arial" w:hAnsi="Arial"/>
                <w:sz w:val="16"/>
                <w:szCs w:val="16"/>
                <w:color w:val="auto"/>
              </w:rPr>
              <w:t>Fixed – Only Guaranteed Pay Element</w:t>
            </w:r>
          </w:p>
        </w:tc>
        <w:tc>
          <w:tcPr>
            <w:tcW w:w="15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1,750,000</w:t>
            </w:r>
          </w:p>
        </w:tc>
      </w:tr>
      <w:tr>
        <w:trPr>
          <w:trHeight w:val="183"/>
        </w:trPr>
        <w:tc>
          <w:tcPr>
            <w:tcW w:w="1820" w:type="dxa"/>
            <w:vAlign w:val="bottom"/>
            <w:tcBorders>
              <w:bottom w:val="single" w:sz="8" w:color="auto"/>
            </w:tcBorders>
          </w:tcPr>
          <w:p>
            <w:pPr>
              <w:ind w:left="40"/>
              <w:spacing w:after="0" w:line="183" w:lineRule="exact"/>
              <w:rPr>
                <w:sz w:val="20"/>
                <w:szCs w:val="20"/>
                <w:color w:val="auto"/>
              </w:rPr>
            </w:pPr>
            <w:r>
              <w:rPr>
                <w:rFonts w:ascii="Arial" w:cs="Arial" w:eastAsia="Arial" w:hAnsi="Arial"/>
                <w:sz w:val="16"/>
                <w:szCs w:val="16"/>
                <w:color w:val="auto"/>
              </w:rPr>
              <w:t>STIP</w:t>
            </w:r>
          </w:p>
        </w:tc>
        <w:tc>
          <w:tcPr>
            <w:tcW w:w="6460" w:type="dxa"/>
            <w:vAlign w:val="bottom"/>
            <w:tcBorders>
              <w:bottom w:val="single" w:sz="8" w:color="auto"/>
            </w:tcBorders>
          </w:tcPr>
          <w:p>
            <w:pPr>
              <w:ind w:left="680"/>
              <w:spacing w:after="0" w:line="183" w:lineRule="exact"/>
              <w:rPr>
                <w:sz w:val="20"/>
                <w:szCs w:val="20"/>
                <w:color w:val="auto"/>
              </w:rPr>
            </w:pPr>
            <w:r>
              <w:rPr>
                <w:rFonts w:ascii="Arial" w:cs="Arial" w:eastAsia="Arial" w:hAnsi="Arial"/>
                <w:sz w:val="16"/>
                <w:szCs w:val="16"/>
                <w:color w:val="auto"/>
              </w:rPr>
              <w:t>Performance to Company Metrics</w:t>
            </w:r>
          </w:p>
        </w:tc>
        <w:tc>
          <w:tcPr>
            <w:tcW w:w="1540" w:type="dxa"/>
            <w:vAlign w:val="bottom"/>
            <w:tcBorders>
              <w:bottom w:val="single" w:sz="8" w:color="auto"/>
            </w:tcBorders>
          </w:tcPr>
          <w:p>
            <w:pPr>
              <w:jc w:val="right"/>
              <w:ind w:right="139"/>
              <w:spacing w:after="0" w:line="183" w:lineRule="exact"/>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3,062,500</w:t>
            </w:r>
          </w:p>
        </w:tc>
      </w:tr>
      <w:tr>
        <w:trPr>
          <w:trHeight w:val="223"/>
        </w:trPr>
        <w:tc>
          <w:tcPr>
            <w:tcW w:w="1820" w:type="dxa"/>
            <w:vAlign w:val="bottom"/>
            <w:tcBorders>
              <w:bottom w:val="single" w:sz="8" w:color="auto"/>
            </w:tcBorders>
          </w:tcPr>
          <w:p>
            <w:pPr>
              <w:ind w:left="40"/>
              <w:spacing w:after="0" w:line="223" w:lineRule="exact"/>
              <w:rPr>
                <w:sz w:val="20"/>
                <w:szCs w:val="20"/>
                <w:color w:val="auto"/>
              </w:rPr>
            </w:pPr>
            <w:r>
              <w:rPr>
                <w:rFonts w:ascii="Arial" w:cs="Arial" w:eastAsia="Arial" w:hAnsi="Arial"/>
                <w:sz w:val="15"/>
                <w:szCs w:val="15"/>
                <w:color w:val="auto"/>
              </w:rPr>
              <w:t>PSUs</w:t>
            </w:r>
            <w:r>
              <w:rPr>
                <w:rFonts w:ascii="Arial" w:cs="Arial" w:eastAsia="Arial" w:hAnsi="Arial"/>
                <w:sz w:val="25"/>
                <w:szCs w:val="25"/>
                <w:color w:val="auto"/>
                <w:vertAlign w:val="superscript"/>
              </w:rPr>
              <w:t>(1)</w:t>
            </w:r>
          </w:p>
        </w:tc>
        <w:tc>
          <w:tcPr>
            <w:tcW w:w="6460" w:type="dxa"/>
            <w:vAlign w:val="bottom"/>
            <w:tcBorders>
              <w:bottom w:val="single" w:sz="8" w:color="auto"/>
            </w:tcBorders>
          </w:tcPr>
          <w:p>
            <w:pPr>
              <w:ind w:left="680"/>
              <w:spacing w:after="0"/>
              <w:rPr>
                <w:sz w:val="20"/>
                <w:szCs w:val="20"/>
                <w:color w:val="auto"/>
              </w:rPr>
            </w:pPr>
            <w:r>
              <w:rPr>
                <w:rFonts w:ascii="Arial" w:cs="Arial" w:eastAsia="Arial" w:hAnsi="Arial"/>
                <w:sz w:val="16"/>
                <w:szCs w:val="16"/>
                <w:color w:val="auto"/>
              </w:rPr>
              <w:t>Performance to Company Metrics and Stock Price</w:t>
            </w:r>
          </w:p>
        </w:tc>
        <w:tc>
          <w:tcPr>
            <w:tcW w:w="15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9,000,003</w:t>
            </w:r>
          </w:p>
        </w:tc>
      </w:tr>
      <w:tr>
        <w:trPr>
          <w:trHeight w:val="230"/>
        </w:trPr>
        <w:tc>
          <w:tcPr>
            <w:tcW w:w="1820" w:type="dxa"/>
            <w:vAlign w:val="bottom"/>
            <w:tcBorders>
              <w:bottom w:val="single" w:sz="8" w:color="08228B"/>
            </w:tcBorders>
          </w:tcPr>
          <w:p>
            <w:pPr>
              <w:ind w:left="40"/>
              <w:spacing w:after="0" w:line="223" w:lineRule="exact"/>
              <w:rPr>
                <w:sz w:val="20"/>
                <w:szCs w:val="20"/>
                <w:color w:val="auto"/>
              </w:rPr>
            </w:pPr>
            <w:r>
              <w:rPr>
                <w:rFonts w:ascii="Arial" w:cs="Arial" w:eastAsia="Arial" w:hAnsi="Arial"/>
                <w:sz w:val="15"/>
                <w:szCs w:val="15"/>
                <w:color w:val="auto"/>
              </w:rPr>
              <w:t>RSUs</w:t>
            </w:r>
            <w:r>
              <w:rPr>
                <w:rFonts w:ascii="Arial" w:cs="Arial" w:eastAsia="Arial" w:hAnsi="Arial"/>
                <w:sz w:val="25"/>
                <w:szCs w:val="25"/>
                <w:color w:val="auto"/>
                <w:vertAlign w:val="superscript"/>
              </w:rPr>
              <w:t>(2)</w:t>
            </w:r>
          </w:p>
        </w:tc>
        <w:tc>
          <w:tcPr>
            <w:tcW w:w="6460" w:type="dxa"/>
            <w:vAlign w:val="bottom"/>
            <w:tcBorders>
              <w:bottom w:val="single" w:sz="8" w:color="08228B"/>
            </w:tcBorders>
          </w:tcPr>
          <w:p>
            <w:pPr>
              <w:ind w:left="680"/>
              <w:spacing w:after="0"/>
              <w:rPr>
                <w:sz w:val="20"/>
                <w:szCs w:val="20"/>
                <w:color w:val="auto"/>
              </w:rPr>
            </w:pPr>
            <w:r>
              <w:rPr>
                <w:rFonts w:ascii="Arial" w:cs="Arial" w:eastAsia="Arial" w:hAnsi="Arial"/>
                <w:sz w:val="16"/>
                <w:szCs w:val="16"/>
                <w:color w:val="auto"/>
              </w:rPr>
              <w:t>Performance to Stock Price</w:t>
            </w:r>
          </w:p>
        </w:tc>
        <w:tc>
          <w:tcPr>
            <w:tcW w:w="1540" w:type="dxa"/>
            <w:vAlign w:val="bottom"/>
            <w:tcBorders>
              <w:bottom w:val="single" w:sz="8" w:color="08228B"/>
            </w:tcBorders>
          </w:tcPr>
          <w:p>
            <w:pPr>
              <w:jc w:val="right"/>
              <w:ind w:right="1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08228B"/>
            </w:tcBorders>
          </w:tcPr>
          <w:p>
            <w:pPr>
              <w:jc w:val="right"/>
              <w:ind w:right="19"/>
              <w:spacing w:after="0"/>
              <w:rPr>
                <w:sz w:val="20"/>
                <w:szCs w:val="20"/>
                <w:color w:val="auto"/>
              </w:rPr>
            </w:pPr>
            <w:r>
              <w:rPr>
                <w:rFonts w:ascii="Arial" w:cs="Arial" w:eastAsia="Arial" w:hAnsi="Arial"/>
                <w:sz w:val="16"/>
                <w:szCs w:val="16"/>
                <w:color w:val="auto"/>
              </w:rPr>
              <w:t>3,000,001</w:t>
            </w:r>
          </w:p>
        </w:tc>
      </w:tr>
      <w:tr>
        <w:trPr>
          <w:trHeight w:val="196"/>
        </w:trPr>
        <w:tc>
          <w:tcPr>
            <w:tcW w:w="1820" w:type="dxa"/>
            <w:vAlign w:val="bottom"/>
            <w:tcBorders>
              <w:bottom w:val="single" w:sz="8" w:color="08228B"/>
            </w:tcBorders>
          </w:tcPr>
          <w:p>
            <w:pPr>
              <w:ind w:left="40"/>
              <w:spacing w:after="0"/>
              <w:rPr>
                <w:sz w:val="20"/>
                <w:szCs w:val="20"/>
                <w:color w:val="auto"/>
              </w:rPr>
            </w:pPr>
            <w:r>
              <w:rPr>
                <w:rFonts w:ascii="Arial" w:cs="Arial" w:eastAsia="Arial" w:hAnsi="Arial"/>
                <w:sz w:val="16"/>
                <w:szCs w:val="16"/>
                <w:b w:val="1"/>
                <w:bCs w:val="1"/>
                <w:color w:val="08228B"/>
              </w:rPr>
              <w:t>TOTAL</w:t>
            </w:r>
          </w:p>
        </w:tc>
        <w:tc>
          <w:tcPr>
            <w:tcW w:w="6460" w:type="dxa"/>
            <w:vAlign w:val="bottom"/>
            <w:tcBorders>
              <w:bottom w:val="single" w:sz="8" w:color="08228B"/>
            </w:tcBorders>
          </w:tcPr>
          <w:p>
            <w:pPr>
              <w:spacing w:after="0"/>
              <w:rPr>
                <w:sz w:val="17"/>
                <w:szCs w:val="17"/>
                <w:color w:val="auto"/>
              </w:rPr>
            </w:pPr>
          </w:p>
        </w:tc>
        <w:tc>
          <w:tcPr>
            <w:tcW w:w="1540" w:type="dxa"/>
            <w:vAlign w:val="bottom"/>
            <w:tcBorders>
              <w:bottom w:val="single" w:sz="8" w:color="08228B"/>
            </w:tcBorders>
          </w:tcPr>
          <w:p>
            <w:pPr>
              <w:jc w:val="right"/>
              <w:ind w:right="139"/>
              <w:spacing w:after="0"/>
              <w:rPr>
                <w:sz w:val="20"/>
                <w:szCs w:val="20"/>
                <w:color w:val="auto"/>
              </w:rPr>
            </w:pPr>
            <w:r>
              <w:rPr>
                <w:rFonts w:ascii="Arial" w:cs="Arial" w:eastAsia="Arial" w:hAnsi="Arial"/>
                <w:sz w:val="16"/>
                <w:szCs w:val="16"/>
                <w:b w:val="1"/>
                <w:bCs w:val="1"/>
                <w:color w:val="08228B"/>
              </w:rPr>
              <w:t>$</w:t>
            </w:r>
          </w:p>
        </w:tc>
        <w:tc>
          <w:tcPr>
            <w:tcW w:w="1480" w:type="dxa"/>
            <w:vAlign w:val="bottom"/>
            <w:tcBorders>
              <w:bottom w:val="single" w:sz="8" w:color="08228B"/>
            </w:tcBorders>
          </w:tcPr>
          <w:p>
            <w:pPr>
              <w:jc w:val="right"/>
              <w:ind w:right="19"/>
              <w:spacing w:after="0"/>
              <w:rPr>
                <w:sz w:val="20"/>
                <w:szCs w:val="20"/>
                <w:color w:val="auto"/>
              </w:rPr>
            </w:pPr>
            <w:r>
              <w:rPr>
                <w:rFonts w:ascii="Arial" w:cs="Arial" w:eastAsia="Arial" w:hAnsi="Arial"/>
                <w:sz w:val="16"/>
                <w:szCs w:val="16"/>
                <w:b w:val="1"/>
                <w:bCs w:val="1"/>
                <w:color w:val="08228B"/>
              </w:rPr>
              <w:t>16,812,504</w:t>
            </w:r>
          </w:p>
        </w:tc>
      </w:tr>
      <w:tr>
        <w:trPr>
          <w:trHeight w:val="237"/>
        </w:trPr>
        <w:tc>
          <w:tcPr>
            <w:tcW w:w="1820" w:type="dxa"/>
            <w:vAlign w:val="bottom"/>
            <w:tcBorders>
              <w:bottom w:val="single" w:sz="8" w:color="08228B"/>
            </w:tcBorders>
          </w:tcPr>
          <w:p>
            <w:pPr>
              <w:ind w:left="40"/>
              <w:spacing w:after="0" w:line="230" w:lineRule="exact"/>
              <w:rPr>
                <w:sz w:val="20"/>
                <w:szCs w:val="20"/>
                <w:color w:val="auto"/>
              </w:rPr>
            </w:pPr>
            <w:r>
              <w:rPr>
                <w:rFonts w:ascii="Arial" w:cs="Arial" w:eastAsia="Arial" w:hAnsi="Arial"/>
                <w:sz w:val="16"/>
                <w:szCs w:val="16"/>
                <w:color w:val="auto"/>
              </w:rPr>
              <w:t>DSV Options</w:t>
            </w:r>
            <w:r>
              <w:rPr>
                <w:rFonts w:ascii="Arial" w:cs="Arial" w:eastAsia="Arial" w:hAnsi="Arial"/>
                <w:sz w:val="26"/>
                <w:szCs w:val="26"/>
                <w:color w:val="auto"/>
                <w:vertAlign w:val="superscript"/>
              </w:rPr>
              <w:t>(1)</w:t>
            </w:r>
          </w:p>
        </w:tc>
        <w:tc>
          <w:tcPr>
            <w:tcW w:w="6460" w:type="dxa"/>
            <w:vAlign w:val="bottom"/>
            <w:tcBorders>
              <w:bottom w:val="single" w:sz="8" w:color="08228B"/>
            </w:tcBorders>
          </w:tcPr>
          <w:p>
            <w:pPr>
              <w:ind w:left="680"/>
              <w:spacing w:after="0"/>
              <w:rPr>
                <w:sz w:val="20"/>
                <w:szCs w:val="20"/>
                <w:color w:val="auto"/>
              </w:rPr>
            </w:pPr>
            <w:r>
              <w:rPr>
                <w:rFonts w:ascii="Arial" w:cs="Arial" w:eastAsia="Arial" w:hAnsi="Arial"/>
                <w:sz w:val="16"/>
                <w:szCs w:val="16"/>
                <w:color w:val="auto"/>
              </w:rPr>
              <w:t>Performance to Stock Price and TSR Against OEM Peer Group</w:t>
            </w:r>
          </w:p>
        </w:tc>
        <w:tc>
          <w:tcPr>
            <w:tcW w:w="1540" w:type="dxa"/>
            <w:vAlign w:val="bottom"/>
            <w:tcBorders>
              <w:bottom w:val="single" w:sz="8" w:color="08228B"/>
            </w:tcBorders>
          </w:tcPr>
          <w:p>
            <w:pPr>
              <w:jc w:val="right"/>
              <w:ind w:right="1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08228B"/>
            </w:tcBorders>
          </w:tcPr>
          <w:p>
            <w:pPr>
              <w:jc w:val="right"/>
              <w:ind w:right="19"/>
              <w:spacing w:after="0"/>
              <w:rPr>
                <w:sz w:val="20"/>
                <w:szCs w:val="20"/>
                <w:color w:val="auto"/>
              </w:rPr>
            </w:pPr>
            <w:r>
              <w:rPr>
                <w:rFonts w:ascii="Arial" w:cs="Arial" w:eastAsia="Arial" w:hAnsi="Arial"/>
                <w:sz w:val="16"/>
                <w:szCs w:val="16"/>
                <w:color w:val="auto"/>
              </w:rPr>
              <w:t>11,167,029</w:t>
            </w:r>
          </w:p>
        </w:tc>
      </w:tr>
      <w:tr>
        <w:trPr>
          <w:trHeight w:val="196"/>
        </w:trPr>
        <w:tc>
          <w:tcPr>
            <w:tcW w:w="8280" w:type="dxa"/>
            <w:vAlign w:val="bottom"/>
            <w:tcBorders>
              <w:bottom w:val="single" w:sz="8" w:color="08228B"/>
            </w:tcBorders>
            <w:gridSpan w:val="2"/>
          </w:tcPr>
          <w:p>
            <w:pPr>
              <w:ind w:left="40"/>
              <w:spacing w:after="0"/>
              <w:rPr>
                <w:sz w:val="20"/>
                <w:szCs w:val="20"/>
                <w:color w:val="auto"/>
              </w:rPr>
            </w:pPr>
            <w:r>
              <w:rPr>
                <w:rFonts w:ascii="Arial" w:cs="Arial" w:eastAsia="Arial" w:hAnsi="Arial"/>
                <w:sz w:val="16"/>
                <w:szCs w:val="16"/>
                <w:b w:val="1"/>
                <w:bCs w:val="1"/>
                <w:color w:val="08228B"/>
              </w:rPr>
              <w:t>TOTAL WITH ONE-TIME AWARDS</w:t>
            </w:r>
          </w:p>
        </w:tc>
        <w:tc>
          <w:tcPr>
            <w:tcW w:w="1540" w:type="dxa"/>
            <w:vAlign w:val="bottom"/>
            <w:tcBorders>
              <w:bottom w:val="single" w:sz="8" w:color="08228B"/>
            </w:tcBorders>
          </w:tcPr>
          <w:p>
            <w:pPr>
              <w:jc w:val="right"/>
              <w:ind w:right="139"/>
              <w:spacing w:after="0"/>
              <w:rPr>
                <w:sz w:val="20"/>
                <w:szCs w:val="20"/>
                <w:color w:val="auto"/>
              </w:rPr>
            </w:pPr>
            <w:r>
              <w:rPr>
                <w:rFonts w:ascii="Arial" w:cs="Arial" w:eastAsia="Arial" w:hAnsi="Arial"/>
                <w:sz w:val="16"/>
                <w:szCs w:val="16"/>
                <w:b w:val="1"/>
                <w:bCs w:val="1"/>
                <w:color w:val="08228B"/>
              </w:rPr>
              <w:t>$</w:t>
            </w:r>
          </w:p>
        </w:tc>
        <w:tc>
          <w:tcPr>
            <w:tcW w:w="1480" w:type="dxa"/>
            <w:vAlign w:val="bottom"/>
            <w:tcBorders>
              <w:bottom w:val="single" w:sz="8" w:color="08228B"/>
            </w:tcBorders>
          </w:tcPr>
          <w:p>
            <w:pPr>
              <w:jc w:val="right"/>
              <w:ind w:right="19"/>
              <w:spacing w:after="0"/>
              <w:rPr>
                <w:sz w:val="20"/>
                <w:szCs w:val="20"/>
                <w:color w:val="auto"/>
              </w:rPr>
            </w:pPr>
            <w:r>
              <w:rPr>
                <w:rFonts w:ascii="Arial" w:cs="Arial" w:eastAsia="Arial" w:hAnsi="Arial"/>
                <w:sz w:val="16"/>
                <w:szCs w:val="16"/>
                <w:b w:val="1"/>
                <w:bCs w:val="1"/>
                <w:color w:val="08228B"/>
              </w:rPr>
              <w:t>27,979,533</w:t>
            </w:r>
          </w:p>
        </w:tc>
      </w:tr>
    </w:tbl>
    <w:p>
      <w:pPr>
        <w:spacing w:after="0" w:line="58" w:lineRule="exact"/>
        <w:rPr>
          <w:sz w:val="20"/>
          <w:szCs w:val="20"/>
          <w:color w:val="auto"/>
        </w:rPr>
      </w:pPr>
    </w:p>
    <w:p>
      <w:pPr>
        <w:ind w:left="340" w:hanging="332"/>
        <w:spacing w:after="0"/>
        <w:tabs>
          <w:tab w:leader="none" w:pos="340" w:val="left"/>
        </w:tabs>
        <w:numPr>
          <w:ilvl w:val="0"/>
          <w:numId w:val="70"/>
        </w:numPr>
        <w:rPr>
          <w:rFonts w:ascii="Arial" w:cs="Arial" w:eastAsia="Arial" w:hAnsi="Arial"/>
          <w:sz w:val="14"/>
          <w:szCs w:val="14"/>
          <w:i w:val="1"/>
          <w:iCs w:val="1"/>
          <w:color w:val="auto"/>
        </w:rPr>
      </w:pPr>
      <w:r>
        <w:rPr>
          <w:rFonts w:ascii="Arial" w:cs="Arial" w:eastAsia="Arial" w:hAnsi="Arial"/>
          <w:sz w:val="14"/>
          <w:szCs w:val="14"/>
          <w:i w:val="1"/>
          <w:iCs w:val="1"/>
          <w:color w:val="auto"/>
        </w:rPr>
        <w:t>PSUs and DSV Options are subject to performance vesting, and not all awards may vest as displayed.</w:t>
      </w:r>
    </w:p>
    <w:p>
      <w:pPr>
        <w:spacing w:after="0" w:line="15" w:lineRule="exact"/>
        <w:rPr>
          <w:rFonts w:ascii="Arial" w:cs="Arial" w:eastAsia="Arial" w:hAnsi="Arial"/>
          <w:sz w:val="14"/>
          <w:szCs w:val="14"/>
          <w:i w:val="1"/>
          <w:iCs w:val="1"/>
          <w:color w:val="auto"/>
        </w:rPr>
      </w:pPr>
    </w:p>
    <w:p>
      <w:pPr>
        <w:ind w:left="340" w:hanging="332"/>
        <w:spacing w:after="0"/>
        <w:tabs>
          <w:tab w:leader="none" w:pos="340" w:val="left"/>
        </w:tabs>
        <w:numPr>
          <w:ilvl w:val="0"/>
          <w:numId w:val="70"/>
        </w:numPr>
        <w:rPr>
          <w:rFonts w:ascii="Arial" w:cs="Arial" w:eastAsia="Arial" w:hAnsi="Arial"/>
          <w:sz w:val="14"/>
          <w:szCs w:val="14"/>
          <w:i w:val="1"/>
          <w:iCs w:val="1"/>
          <w:color w:val="auto"/>
        </w:rPr>
      </w:pPr>
      <w:r>
        <w:rPr>
          <w:rFonts w:ascii="Arial" w:cs="Arial" w:eastAsia="Arial" w:hAnsi="Arial"/>
          <w:sz w:val="14"/>
          <w:szCs w:val="14"/>
          <w:i w:val="1"/>
          <w:iCs w:val="1"/>
          <w:color w:val="auto"/>
        </w:rPr>
        <w:t>RSUs are subject to time-based 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69150" cy="1714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13"/>
        </w:trPr>
        <w:tc>
          <w:tcPr>
            <w:tcW w:w="4340" w:type="dxa"/>
            <w:vAlign w:val="bottom"/>
            <w:tcBorders>
              <w:bottom w:val="single" w:sz="8" w:color="08228B"/>
            </w:tcBorders>
          </w:tcPr>
          <w:p>
            <w:pPr>
              <w:spacing w:after="0"/>
              <w:rPr>
                <w:sz w:val="9"/>
                <w:szCs w:val="9"/>
                <w:color w:val="auto"/>
              </w:rPr>
            </w:pPr>
          </w:p>
        </w:tc>
        <w:tc>
          <w:tcPr>
            <w:tcW w:w="2060" w:type="dxa"/>
            <w:vAlign w:val="bottom"/>
            <w:vMerge w:val="restart"/>
          </w:tcPr>
          <w:p>
            <w:pPr>
              <w:ind w:left="60"/>
              <w:spacing w:after="0"/>
              <w:rPr>
                <w:sz w:val="20"/>
                <w:szCs w:val="20"/>
                <w:color w:val="auto"/>
              </w:rPr>
            </w:pPr>
            <w:r>
              <w:rPr>
                <w:rFonts w:ascii="Arial" w:cs="Arial" w:eastAsia="Arial" w:hAnsi="Arial"/>
                <w:sz w:val="16"/>
                <w:szCs w:val="16"/>
                <w:b w:val="1"/>
                <w:bCs w:val="1"/>
                <w:color w:val="1C90D3"/>
              </w:rPr>
              <w:t xml:space="preserve">2016 </w:t>
            </w:r>
            <w:r>
              <w:rPr>
                <w:rFonts w:ascii="Arial" w:cs="Arial" w:eastAsia="Arial" w:hAnsi="Arial"/>
                <w:sz w:val="16"/>
                <w:szCs w:val="16"/>
                <w:color w:val="08228B"/>
              </w:rPr>
              <w:t>PROXY STATEMENT</w:t>
            </w:r>
          </w:p>
        </w:tc>
        <w:tc>
          <w:tcPr>
            <w:tcW w:w="2400" w:type="dxa"/>
            <w:vAlign w:val="bottom"/>
            <w:tcBorders>
              <w:bottom w:val="single" w:sz="8" w:color="08228B"/>
            </w:tcBorders>
          </w:tcPr>
          <w:p>
            <w:pPr>
              <w:spacing w:after="0"/>
              <w:rPr>
                <w:sz w:val="9"/>
                <w:szCs w:val="9"/>
                <w:color w:val="auto"/>
              </w:rPr>
            </w:pPr>
          </w:p>
        </w:tc>
        <w:tc>
          <w:tcPr>
            <w:tcW w:w="2620" w:type="dxa"/>
            <w:vAlign w:val="bottom"/>
            <w:vMerge w:val="restart"/>
          </w:tcPr>
          <w:p>
            <w:pPr>
              <w:jc w:val="right"/>
              <w:ind w:right="39"/>
              <w:spacing w:after="0"/>
              <w:rPr>
                <w:sz w:val="20"/>
                <w:szCs w:val="20"/>
                <w:color w:val="auto"/>
              </w:rPr>
            </w:pPr>
            <w:r>
              <w:rPr>
                <w:rFonts w:ascii="Arial" w:cs="Arial" w:eastAsia="Arial" w:hAnsi="Arial"/>
                <w:sz w:val="16"/>
                <w:szCs w:val="16"/>
                <w:color w:val="08228B"/>
              </w:rPr>
              <w:t>47</w:t>
            </w:r>
          </w:p>
        </w:tc>
        <w:tc>
          <w:tcPr>
            <w:tcW w:w="0" w:type="dxa"/>
            <w:vAlign w:val="bottom"/>
          </w:tcPr>
          <w:p>
            <w:pPr>
              <w:spacing w:after="0"/>
              <w:rPr>
                <w:sz w:val="1"/>
                <w:szCs w:val="1"/>
                <w:color w:val="auto"/>
              </w:rPr>
            </w:pPr>
          </w:p>
        </w:tc>
      </w:tr>
      <w:tr>
        <w:trPr>
          <w:trHeight w:val="82"/>
        </w:trPr>
        <w:tc>
          <w:tcPr>
            <w:tcW w:w="4340" w:type="dxa"/>
            <w:vAlign w:val="bottom"/>
          </w:tcPr>
          <w:p>
            <w:pPr>
              <w:spacing w:after="0"/>
              <w:rPr>
                <w:sz w:val="7"/>
                <w:szCs w:val="7"/>
                <w:color w:val="auto"/>
              </w:rPr>
            </w:pPr>
          </w:p>
        </w:tc>
        <w:tc>
          <w:tcPr>
            <w:tcW w:w="2060" w:type="dxa"/>
            <w:vAlign w:val="bottom"/>
            <w:vMerge w:val="continue"/>
          </w:tcPr>
          <w:p>
            <w:pPr>
              <w:spacing w:after="0"/>
              <w:rPr>
                <w:sz w:val="7"/>
                <w:szCs w:val="7"/>
                <w:color w:val="auto"/>
              </w:rPr>
            </w:pPr>
          </w:p>
        </w:tc>
        <w:tc>
          <w:tcPr>
            <w:tcW w:w="2400" w:type="dxa"/>
            <w:vAlign w:val="bottom"/>
          </w:tcPr>
          <w:p>
            <w:pPr>
              <w:spacing w:after="0"/>
              <w:rPr>
                <w:sz w:val="7"/>
                <w:szCs w:val="7"/>
                <w:color w:val="auto"/>
              </w:rPr>
            </w:pPr>
          </w:p>
        </w:tc>
        <w:tc>
          <w:tcPr>
            <w:tcW w:w="2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7"/>
        </w:trPr>
        <w:tc>
          <w:tcPr>
            <w:tcW w:w="4340" w:type="dxa"/>
            <w:vAlign w:val="bottom"/>
            <w:tcBorders>
              <w:bottom w:val="single" w:sz="8" w:color="C0C0C0"/>
            </w:tcBorders>
          </w:tcPr>
          <w:p>
            <w:pPr>
              <w:spacing w:after="0"/>
              <w:rPr>
                <w:sz w:val="24"/>
                <w:szCs w:val="24"/>
                <w:color w:val="auto"/>
              </w:rPr>
            </w:pPr>
          </w:p>
        </w:tc>
        <w:tc>
          <w:tcPr>
            <w:tcW w:w="2060" w:type="dxa"/>
            <w:vAlign w:val="bottom"/>
            <w:tcBorders>
              <w:bottom w:val="single" w:sz="8" w:color="C0C0C0"/>
            </w:tcBorders>
          </w:tcPr>
          <w:p>
            <w:pPr>
              <w:spacing w:after="0"/>
              <w:rPr>
                <w:sz w:val="24"/>
                <w:szCs w:val="24"/>
                <w:color w:val="auto"/>
              </w:rPr>
            </w:pPr>
          </w:p>
        </w:tc>
        <w:tc>
          <w:tcPr>
            <w:tcW w:w="2400" w:type="dxa"/>
            <w:vAlign w:val="bottom"/>
            <w:tcBorders>
              <w:bottom w:val="single" w:sz="8" w:color="C0C0C0"/>
            </w:tcBorders>
          </w:tcPr>
          <w:p>
            <w:pPr>
              <w:spacing w:after="0"/>
              <w:rPr>
                <w:sz w:val="24"/>
                <w:szCs w:val="24"/>
                <w:color w:val="auto"/>
              </w:rPr>
            </w:pPr>
          </w:p>
        </w:tc>
        <w:tc>
          <w:tcPr>
            <w:tcW w:w="262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5613400</wp:posOffset>
            </wp:positionH>
            <wp:positionV relativeFrom="paragraph">
              <wp:posOffset>-334010</wp:posOffset>
            </wp:positionV>
            <wp:extent cx="1286510" cy="8572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1286510" cy="8572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Back to Contents</w:t>
        </w:r>
      </w:hyperlink>
    </w:p>
    <w:p>
      <w:pPr>
        <w:spacing w:after="0" w:line="196" w:lineRule="exact"/>
        <w:rPr>
          <w:sz w:val="20"/>
          <w:szCs w:val="20"/>
          <w:color w:val="auto"/>
        </w:rPr>
      </w:pPr>
    </w:p>
    <w:p>
      <w:pPr>
        <w:ind w:left="500" w:hanging="492"/>
        <w:spacing w:after="0"/>
        <w:tabs>
          <w:tab w:leader="none" w:pos="500" w:val="left"/>
        </w:tabs>
        <w:numPr>
          <w:ilvl w:val="0"/>
          <w:numId w:val="71"/>
        </w:numPr>
        <w:rPr>
          <w:rFonts w:ascii="Arial" w:cs="Arial" w:eastAsia="Arial" w:hAnsi="Arial"/>
          <w:sz w:val="25"/>
          <w:szCs w:val="25"/>
          <w:color w:val="08228B"/>
        </w:rPr>
      </w:pPr>
      <w:r>
        <w:rPr>
          <w:rFonts w:ascii="Arial" w:cs="Arial" w:eastAsia="Arial" w:hAnsi="Arial"/>
          <w:sz w:val="25"/>
          <w:szCs w:val="25"/>
          <w:color w:val="auto"/>
        </w:rPr>
        <w:t>Compensation Decisions for Charles K. Stevens, III</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08228B"/>
        </w:rPr>
        <w:t xml:space="preserve">Charles K. Stevens, III, </w:t>
      </w:r>
      <w:r>
        <w:rPr>
          <w:rFonts w:ascii="Arial" w:cs="Arial" w:eastAsia="Arial" w:hAnsi="Arial"/>
          <w:sz w:val="18"/>
          <w:szCs w:val="18"/>
          <w:b w:val="1"/>
          <w:bCs w:val="1"/>
          <w:color w:val="000000"/>
        </w:rPr>
        <w:t>Executive Vice President &amp;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69150" cy="85788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169150" cy="857885"/>
                    </a:xfrm>
                    <a:prstGeom prst="rect">
                      <a:avLst/>
                    </a:prstGeom>
                    <a:noFill/>
                  </pic:spPr>
                </pic:pic>
              </a:graphicData>
            </a:graphic>
          </wp:anchor>
        </w:drawing>
      </w:r>
    </w:p>
    <w:p>
      <w:pPr>
        <w:spacing w:after="0" w:line="27" w:lineRule="exact"/>
        <w:rPr>
          <w:sz w:val="20"/>
          <w:szCs w:val="20"/>
          <w:color w:val="auto"/>
        </w:rPr>
      </w:pPr>
    </w:p>
    <w:p>
      <w:pPr>
        <w:ind w:left="40"/>
        <w:spacing w:after="0"/>
        <w:rPr>
          <w:sz w:val="20"/>
          <w:szCs w:val="20"/>
          <w:color w:val="auto"/>
        </w:rPr>
      </w:pPr>
      <w:r>
        <w:rPr>
          <w:rFonts w:ascii="Arial" w:cs="Arial" w:eastAsia="Arial" w:hAnsi="Arial"/>
          <w:sz w:val="16"/>
          <w:szCs w:val="16"/>
          <w:color w:val="auto"/>
        </w:rPr>
        <w:t>Mr. Stevens met several objectives for 2015 performance against his goals including:</w:t>
      </w:r>
    </w:p>
    <w:p>
      <w:pPr>
        <w:spacing w:after="0" w:line="194" w:lineRule="exact"/>
        <w:rPr>
          <w:sz w:val="20"/>
          <w:szCs w:val="20"/>
          <w:color w:val="auto"/>
        </w:rPr>
      </w:pPr>
    </w:p>
    <w:p>
      <w:pPr>
        <w:ind w:left="300" w:hanging="256"/>
        <w:spacing w:after="0"/>
        <w:tabs>
          <w:tab w:leader="none" w:pos="300" w:val="left"/>
        </w:tabs>
        <w:numPr>
          <w:ilvl w:val="0"/>
          <w:numId w:val="72"/>
        </w:numPr>
        <w:rPr>
          <w:rFonts w:ascii="Arial" w:cs="Arial" w:eastAsia="Arial" w:hAnsi="Arial"/>
          <w:sz w:val="16"/>
          <w:szCs w:val="16"/>
          <w:color w:val="08228B"/>
        </w:rPr>
      </w:pPr>
      <w:r>
        <w:rPr>
          <w:rFonts w:ascii="Arial" w:cs="Arial" w:eastAsia="Arial" w:hAnsi="Arial"/>
          <w:sz w:val="16"/>
          <w:szCs w:val="16"/>
          <w:color w:val="auto"/>
        </w:rPr>
        <w:t>Executed a comprehensive, aggressive, and proactive investor outreach program.</w:t>
      </w:r>
    </w:p>
    <w:p>
      <w:pPr>
        <w:spacing w:after="0" w:line="5" w:lineRule="exact"/>
        <w:rPr>
          <w:rFonts w:ascii="Arial" w:cs="Arial" w:eastAsia="Arial" w:hAnsi="Arial"/>
          <w:sz w:val="16"/>
          <w:szCs w:val="16"/>
          <w:color w:val="08228B"/>
        </w:rPr>
      </w:pPr>
    </w:p>
    <w:p>
      <w:pPr>
        <w:ind w:left="300" w:hanging="256"/>
        <w:spacing w:after="0"/>
        <w:tabs>
          <w:tab w:leader="none" w:pos="300" w:val="left"/>
        </w:tabs>
        <w:numPr>
          <w:ilvl w:val="0"/>
          <w:numId w:val="72"/>
        </w:numPr>
        <w:rPr>
          <w:rFonts w:ascii="Arial" w:cs="Arial" w:eastAsia="Arial" w:hAnsi="Arial"/>
          <w:sz w:val="16"/>
          <w:szCs w:val="16"/>
          <w:color w:val="08228B"/>
        </w:rPr>
      </w:pPr>
      <w:r>
        <w:rPr>
          <w:rFonts w:ascii="Arial" w:cs="Arial" w:eastAsia="Arial" w:hAnsi="Arial"/>
          <w:sz w:val="16"/>
          <w:szCs w:val="16"/>
          <w:color w:val="auto"/>
        </w:rPr>
        <w:t>Maintained strong external reporting, accounting, and control environment.</w:t>
      </w:r>
    </w:p>
    <w:p>
      <w:pPr>
        <w:spacing w:after="0" w:line="5" w:lineRule="exact"/>
        <w:rPr>
          <w:rFonts w:ascii="Arial" w:cs="Arial" w:eastAsia="Arial" w:hAnsi="Arial"/>
          <w:sz w:val="16"/>
          <w:szCs w:val="16"/>
          <w:color w:val="08228B"/>
        </w:rPr>
      </w:pPr>
    </w:p>
    <w:p>
      <w:pPr>
        <w:ind w:left="300" w:hanging="256"/>
        <w:spacing w:after="0"/>
        <w:tabs>
          <w:tab w:leader="none" w:pos="300" w:val="left"/>
        </w:tabs>
        <w:numPr>
          <w:ilvl w:val="0"/>
          <w:numId w:val="72"/>
        </w:numPr>
        <w:rPr>
          <w:rFonts w:ascii="Arial" w:cs="Arial" w:eastAsia="Arial" w:hAnsi="Arial"/>
          <w:sz w:val="16"/>
          <w:szCs w:val="16"/>
          <w:color w:val="08228B"/>
        </w:rPr>
      </w:pPr>
      <w:r>
        <w:rPr>
          <w:rFonts w:ascii="Arial" w:cs="Arial" w:eastAsia="Arial" w:hAnsi="Arial"/>
          <w:sz w:val="16"/>
          <w:szCs w:val="16"/>
          <w:color w:val="auto"/>
        </w:rPr>
        <w:t>Improved long-term cost benchmarks and action items.</w:t>
      </w:r>
    </w:p>
    <w:p>
      <w:pPr>
        <w:spacing w:after="0" w:line="5" w:lineRule="exact"/>
        <w:rPr>
          <w:rFonts w:ascii="Arial" w:cs="Arial" w:eastAsia="Arial" w:hAnsi="Arial"/>
          <w:sz w:val="16"/>
          <w:szCs w:val="16"/>
          <w:color w:val="08228B"/>
        </w:rPr>
      </w:pPr>
    </w:p>
    <w:p>
      <w:pPr>
        <w:ind w:left="300" w:right="160" w:hanging="256"/>
        <w:spacing w:after="0" w:line="260" w:lineRule="auto"/>
        <w:tabs>
          <w:tab w:leader="none" w:pos="325" w:val="left"/>
        </w:tabs>
        <w:numPr>
          <w:ilvl w:val="0"/>
          <w:numId w:val="72"/>
        </w:numPr>
        <w:rPr>
          <w:rFonts w:ascii="Arial" w:cs="Arial" w:eastAsia="Arial" w:hAnsi="Arial"/>
          <w:sz w:val="16"/>
          <w:szCs w:val="16"/>
          <w:color w:val="08228B"/>
        </w:rPr>
      </w:pPr>
      <w:r>
        <w:rPr>
          <w:rFonts w:ascii="Arial" w:cs="Arial" w:eastAsia="Arial" w:hAnsi="Arial"/>
          <w:sz w:val="16"/>
          <w:szCs w:val="16"/>
          <w:color w:val="auto"/>
        </w:rPr>
        <w:t>Executed on several key Finance priority initiatives and further improved the overall efficiencies of the Global Business Services organization, driving organizational savings.</w:t>
      </w:r>
    </w:p>
    <w:p>
      <w:pPr>
        <w:spacing w:after="0" w:line="16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Effective January 1, 2015, the Compensation Committee increased Mr. Stevens’ base salary from $700,000 to $1,000,000 based on his individual performance and the competitive market analysis provided by the Compensation Committee’s independent compensation consultant. The Compensation Committee awarded Mr. Stevens an annual equity grant of $2.875 million, consisting of 75 percent PSUs and 25 percent RSUs. Mr. Stevens participated in the one-time DSV Option Grant during 2015.</w:t>
      </w:r>
    </w:p>
    <w:p>
      <w:pPr>
        <w:spacing w:after="0" w:line="176"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The Compensation Committee elected to provide an individual STIP adjustment for the 2015 performance year in the amount of $125,000 for Mr. Stevens as a result of his performance. The total compensation for Mr. Stevens in 2015, including salary, bonus, STIP and LTIP awards, and options is displayed below.</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240" w:type="dxa"/>
            <w:vAlign w:val="bottom"/>
            <w:tcBorders>
              <w:top w:val="single" w:sz="8" w:color="1C90D3"/>
              <w:bottom w:val="single" w:sz="8" w:color="1C90D3"/>
            </w:tcBorders>
          </w:tcPr>
          <w:p>
            <w:pPr>
              <w:ind w:left="40"/>
              <w:spacing w:after="0"/>
              <w:rPr>
                <w:sz w:val="20"/>
                <w:szCs w:val="20"/>
                <w:color w:val="auto"/>
              </w:rPr>
            </w:pPr>
            <w:r>
              <w:rPr>
                <w:rFonts w:ascii="Arial" w:cs="Arial" w:eastAsia="Arial" w:hAnsi="Arial"/>
                <w:sz w:val="16"/>
                <w:szCs w:val="16"/>
                <w:b w:val="1"/>
                <w:bCs w:val="1"/>
                <w:color w:val="1C90D3"/>
              </w:rPr>
              <w:t>Pay Element</w:t>
            </w:r>
          </w:p>
        </w:tc>
        <w:tc>
          <w:tcPr>
            <w:tcW w:w="6040" w:type="dxa"/>
            <w:vAlign w:val="bottom"/>
            <w:tcBorders>
              <w:top w:val="single" w:sz="8" w:color="1C90D3"/>
              <w:bottom w:val="single" w:sz="8" w:color="1C90D3"/>
            </w:tcBorders>
          </w:tcPr>
          <w:p>
            <w:pPr>
              <w:ind w:left="260"/>
              <w:spacing w:after="0"/>
              <w:rPr>
                <w:sz w:val="20"/>
                <w:szCs w:val="20"/>
                <w:color w:val="auto"/>
              </w:rPr>
            </w:pPr>
            <w:r>
              <w:rPr>
                <w:rFonts w:ascii="Arial" w:cs="Arial" w:eastAsia="Arial" w:hAnsi="Arial"/>
                <w:sz w:val="16"/>
                <w:szCs w:val="16"/>
                <w:b w:val="1"/>
                <w:bCs w:val="1"/>
                <w:color w:val="1C90D3"/>
              </w:rPr>
              <w:t>Majority of Pay Is At-Risk</w:t>
            </w:r>
          </w:p>
        </w:tc>
        <w:tc>
          <w:tcPr>
            <w:tcW w:w="1540" w:type="dxa"/>
            <w:vAlign w:val="bottom"/>
            <w:tcBorders>
              <w:top w:val="single" w:sz="8" w:color="1C90D3"/>
              <w:bottom w:val="single" w:sz="8" w:color="1C90D3"/>
            </w:tcBorders>
          </w:tcPr>
          <w:p>
            <w:pPr>
              <w:spacing w:after="0"/>
              <w:rPr>
                <w:sz w:val="19"/>
                <w:szCs w:val="19"/>
                <w:color w:val="auto"/>
              </w:rPr>
            </w:pPr>
          </w:p>
        </w:tc>
        <w:tc>
          <w:tcPr>
            <w:tcW w:w="1480" w:type="dxa"/>
            <w:vAlign w:val="bottom"/>
            <w:tcBorders>
              <w:top w:val="single" w:sz="8" w:color="1C90D3"/>
              <w:bottom w:val="single" w:sz="8" w:color="1C90D3"/>
            </w:tcBorders>
          </w:tcPr>
          <w:p>
            <w:pPr>
              <w:jc w:val="right"/>
              <w:ind w:right="19"/>
              <w:spacing w:after="0"/>
              <w:rPr>
                <w:sz w:val="20"/>
                <w:szCs w:val="20"/>
                <w:color w:val="auto"/>
              </w:rPr>
            </w:pPr>
            <w:r>
              <w:rPr>
                <w:rFonts w:ascii="Arial" w:cs="Arial" w:eastAsia="Arial" w:hAnsi="Arial"/>
                <w:sz w:val="16"/>
                <w:szCs w:val="16"/>
                <w:b w:val="1"/>
                <w:bCs w:val="1"/>
                <w:color w:val="1C90D3"/>
              </w:rPr>
              <w:t>Awarded Value</w:t>
            </w:r>
          </w:p>
        </w:tc>
      </w:tr>
      <w:tr>
        <w:trPr>
          <w:trHeight w:val="189"/>
        </w:trPr>
        <w:tc>
          <w:tcPr>
            <w:tcW w:w="22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Base Salary</w:t>
            </w:r>
          </w:p>
        </w:tc>
        <w:tc>
          <w:tcPr>
            <w:tcW w:w="604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Fixed – Only Guaranteed Pay Element</w:t>
            </w:r>
          </w:p>
        </w:tc>
        <w:tc>
          <w:tcPr>
            <w:tcW w:w="15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1,000,000</w:t>
            </w:r>
          </w:p>
        </w:tc>
      </w:tr>
      <w:tr>
        <w:trPr>
          <w:trHeight w:val="183"/>
        </w:trPr>
        <w:tc>
          <w:tcPr>
            <w:tcW w:w="2240" w:type="dxa"/>
            <w:vAlign w:val="bottom"/>
            <w:tcBorders>
              <w:bottom w:val="single" w:sz="8" w:color="auto"/>
            </w:tcBorders>
          </w:tcPr>
          <w:p>
            <w:pPr>
              <w:ind w:left="40"/>
              <w:spacing w:after="0" w:line="183" w:lineRule="exact"/>
              <w:rPr>
                <w:sz w:val="20"/>
                <w:szCs w:val="20"/>
                <w:color w:val="auto"/>
              </w:rPr>
            </w:pPr>
            <w:r>
              <w:rPr>
                <w:rFonts w:ascii="Arial" w:cs="Arial" w:eastAsia="Arial" w:hAnsi="Arial"/>
                <w:sz w:val="16"/>
                <w:szCs w:val="16"/>
                <w:color w:val="auto"/>
              </w:rPr>
              <w:t>STIP</w:t>
            </w:r>
          </w:p>
        </w:tc>
        <w:tc>
          <w:tcPr>
            <w:tcW w:w="6040" w:type="dxa"/>
            <w:vAlign w:val="bottom"/>
            <w:tcBorders>
              <w:bottom w:val="single" w:sz="8" w:color="auto"/>
            </w:tcBorders>
          </w:tcPr>
          <w:p>
            <w:pPr>
              <w:ind w:left="260"/>
              <w:spacing w:after="0" w:line="183" w:lineRule="exact"/>
              <w:rPr>
                <w:sz w:val="20"/>
                <w:szCs w:val="20"/>
                <w:color w:val="auto"/>
              </w:rPr>
            </w:pPr>
            <w:r>
              <w:rPr>
                <w:rFonts w:ascii="Arial" w:cs="Arial" w:eastAsia="Arial" w:hAnsi="Arial"/>
                <w:sz w:val="16"/>
                <w:szCs w:val="16"/>
                <w:color w:val="auto"/>
              </w:rPr>
              <w:t>Performance to Metrics</w:t>
            </w:r>
          </w:p>
        </w:tc>
        <w:tc>
          <w:tcPr>
            <w:tcW w:w="1540" w:type="dxa"/>
            <w:vAlign w:val="bottom"/>
            <w:tcBorders>
              <w:bottom w:val="single" w:sz="8" w:color="auto"/>
            </w:tcBorders>
          </w:tcPr>
          <w:p>
            <w:pPr>
              <w:jc w:val="right"/>
              <w:ind w:right="139"/>
              <w:spacing w:after="0" w:line="183" w:lineRule="exact"/>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1,250,000</w:t>
            </w:r>
          </w:p>
        </w:tc>
      </w:tr>
      <w:tr>
        <w:trPr>
          <w:trHeight w:val="183"/>
        </w:trPr>
        <w:tc>
          <w:tcPr>
            <w:tcW w:w="2240" w:type="dxa"/>
            <w:vAlign w:val="bottom"/>
            <w:tcBorders>
              <w:bottom w:val="single" w:sz="8" w:color="auto"/>
            </w:tcBorders>
          </w:tcPr>
          <w:p>
            <w:pPr>
              <w:ind w:left="40"/>
              <w:spacing w:after="0" w:line="183" w:lineRule="exact"/>
              <w:rPr>
                <w:sz w:val="20"/>
                <w:szCs w:val="20"/>
                <w:color w:val="auto"/>
              </w:rPr>
            </w:pPr>
            <w:r>
              <w:rPr>
                <w:rFonts w:ascii="Arial" w:cs="Arial" w:eastAsia="Arial" w:hAnsi="Arial"/>
                <w:sz w:val="16"/>
                <w:szCs w:val="16"/>
                <w:color w:val="auto"/>
              </w:rPr>
              <w:t>STIP Individual Adjustment</w:t>
            </w:r>
          </w:p>
        </w:tc>
        <w:tc>
          <w:tcPr>
            <w:tcW w:w="6040" w:type="dxa"/>
            <w:vAlign w:val="bottom"/>
            <w:tcBorders>
              <w:bottom w:val="single" w:sz="8" w:color="auto"/>
            </w:tcBorders>
          </w:tcPr>
          <w:p>
            <w:pPr>
              <w:ind w:left="260"/>
              <w:spacing w:after="0" w:line="183" w:lineRule="exact"/>
              <w:rPr>
                <w:sz w:val="20"/>
                <w:szCs w:val="20"/>
                <w:color w:val="auto"/>
              </w:rPr>
            </w:pPr>
            <w:r>
              <w:rPr>
                <w:rFonts w:ascii="Arial" w:cs="Arial" w:eastAsia="Arial" w:hAnsi="Arial"/>
                <w:sz w:val="16"/>
                <w:szCs w:val="16"/>
                <w:color w:val="auto"/>
              </w:rPr>
              <w:t>Performance – Based on Individual Results</w:t>
            </w:r>
          </w:p>
        </w:tc>
        <w:tc>
          <w:tcPr>
            <w:tcW w:w="1540" w:type="dxa"/>
            <w:vAlign w:val="bottom"/>
            <w:tcBorders>
              <w:bottom w:val="single" w:sz="8" w:color="auto"/>
            </w:tcBorders>
          </w:tcPr>
          <w:p>
            <w:pPr>
              <w:jc w:val="right"/>
              <w:ind w:right="139"/>
              <w:spacing w:after="0" w:line="183" w:lineRule="exact"/>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125,000</w:t>
            </w:r>
          </w:p>
        </w:tc>
      </w:tr>
      <w:tr>
        <w:trPr>
          <w:trHeight w:val="223"/>
        </w:trPr>
        <w:tc>
          <w:tcPr>
            <w:tcW w:w="2240" w:type="dxa"/>
            <w:vAlign w:val="bottom"/>
            <w:tcBorders>
              <w:bottom w:val="single" w:sz="8" w:color="auto"/>
            </w:tcBorders>
          </w:tcPr>
          <w:p>
            <w:pPr>
              <w:ind w:left="40"/>
              <w:spacing w:after="0" w:line="223" w:lineRule="exact"/>
              <w:rPr>
                <w:sz w:val="20"/>
                <w:szCs w:val="20"/>
                <w:color w:val="auto"/>
              </w:rPr>
            </w:pPr>
            <w:r>
              <w:rPr>
                <w:rFonts w:ascii="Arial" w:cs="Arial" w:eastAsia="Arial" w:hAnsi="Arial"/>
                <w:sz w:val="15"/>
                <w:szCs w:val="15"/>
                <w:color w:val="auto"/>
              </w:rPr>
              <w:t>PSUs</w:t>
            </w:r>
            <w:r>
              <w:rPr>
                <w:rFonts w:ascii="Arial" w:cs="Arial" w:eastAsia="Arial" w:hAnsi="Arial"/>
                <w:sz w:val="25"/>
                <w:szCs w:val="25"/>
                <w:color w:val="auto"/>
                <w:vertAlign w:val="superscript"/>
              </w:rPr>
              <w:t>(1)</w:t>
            </w:r>
          </w:p>
        </w:tc>
        <w:tc>
          <w:tcPr>
            <w:tcW w:w="604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Performance to Metrics and Stock Price</w:t>
            </w:r>
          </w:p>
        </w:tc>
        <w:tc>
          <w:tcPr>
            <w:tcW w:w="15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2,156,268</w:t>
            </w:r>
          </w:p>
        </w:tc>
      </w:tr>
      <w:tr>
        <w:trPr>
          <w:trHeight w:val="230"/>
        </w:trPr>
        <w:tc>
          <w:tcPr>
            <w:tcW w:w="2240" w:type="dxa"/>
            <w:vAlign w:val="bottom"/>
            <w:tcBorders>
              <w:bottom w:val="single" w:sz="8" w:color="08228B"/>
            </w:tcBorders>
          </w:tcPr>
          <w:p>
            <w:pPr>
              <w:ind w:left="40"/>
              <w:spacing w:after="0" w:line="223" w:lineRule="exact"/>
              <w:rPr>
                <w:sz w:val="20"/>
                <w:szCs w:val="20"/>
                <w:color w:val="auto"/>
              </w:rPr>
            </w:pPr>
            <w:r>
              <w:rPr>
                <w:rFonts w:ascii="Arial" w:cs="Arial" w:eastAsia="Arial" w:hAnsi="Arial"/>
                <w:sz w:val="15"/>
                <w:szCs w:val="15"/>
                <w:color w:val="auto"/>
              </w:rPr>
              <w:t>RSUs</w:t>
            </w:r>
            <w:r>
              <w:rPr>
                <w:rFonts w:ascii="Arial" w:cs="Arial" w:eastAsia="Arial" w:hAnsi="Arial"/>
                <w:sz w:val="25"/>
                <w:szCs w:val="25"/>
                <w:color w:val="auto"/>
                <w:vertAlign w:val="superscript"/>
              </w:rPr>
              <w:t>(2)</w:t>
            </w:r>
          </w:p>
        </w:tc>
        <w:tc>
          <w:tcPr>
            <w:tcW w:w="6040" w:type="dxa"/>
            <w:vAlign w:val="bottom"/>
            <w:tcBorders>
              <w:bottom w:val="single" w:sz="8" w:color="08228B"/>
            </w:tcBorders>
          </w:tcPr>
          <w:p>
            <w:pPr>
              <w:ind w:left="260"/>
              <w:spacing w:after="0"/>
              <w:rPr>
                <w:sz w:val="20"/>
                <w:szCs w:val="20"/>
                <w:color w:val="auto"/>
              </w:rPr>
            </w:pPr>
            <w:r>
              <w:rPr>
                <w:rFonts w:ascii="Arial" w:cs="Arial" w:eastAsia="Arial" w:hAnsi="Arial"/>
                <w:sz w:val="16"/>
                <w:szCs w:val="16"/>
                <w:color w:val="auto"/>
              </w:rPr>
              <w:t>Performance to Stock Price</w:t>
            </w:r>
          </w:p>
        </w:tc>
        <w:tc>
          <w:tcPr>
            <w:tcW w:w="1540" w:type="dxa"/>
            <w:vAlign w:val="bottom"/>
            <w:tcBorders>
              <w:bottom w:val="single" w:sz="8" w:color="08228B"/>
            </w:tcBorders>
          </w:tcPr>
          <w:p>
            <w:pPr>
              <w:jc w:val="right"/>
              <w:ind w:right="1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08228B"/>
            </w:tcBorders>
          </w:tcPr>
          <w:p>
            <w:pPr>
              <w:jc w:val="right"/>
              <w:ind w:right="19"/>
              <w:spacing w:after="0"/>
              <w:rPr>
                <w:sz w:val="20"/>
                <w:szCs w:val="20"/>
                <w:color w:val="auto"/>
              </w:rPr>
            </w:pPr>
            <w:r>
              <w:rPr>
                <w:rFonts w:ascii="Arial" w:cs="Arial" w:eastAsia="Arial" w:hAnsi="Arial"/>
                <w:sz w:val="16"/>
                <w:szCs w:val="16"/>
                <w:color w:val="auto"/>
              </w:rPr>
              <w:t>718,781</w:t>
            </w:r>
          </w:p>
        </w:tc>
      </w:tr>
      <w:tr>
        <w:trPr>
          <w:trHeight w:val="196"/>
        </w:trPr>
        <w:tc>
          <w:tcPr>
            <w:tcW w:w="2240" w:type="dxa"/>
            <w:vAlign w:val="bottom"/>
            <w:tcBorders>
              <w:bottom w:val="single" w:sz="8" w:color="08228B"/>
            </w:tcBorders>
          </w:tcPr>
          <w:p>
            <w:pPr>
              <w:ind w:left="40"/>
              <w:spacing w:after="0"/>
              <w:rPr>
                <w:sz w:val="20"/>
                <w:szCs w:val="20"/>
                <w:color w:val="auto"/>
              </w:rPr>
            </w:pPr>
            <w:r>
              <w:rPr>
                <w:rFonts w:ascii="Arial" w:cs="Arial" w:eastAsia="Arial" w:hAnsi="Arial"/>
                <w:sz w:val="16"/>
                <w:szCs w:val="16"/>
                <w:b w:val="1"/>
                <w:bCs w:val="1"/>
                <w:color w:val="08228B"/>
              </w:rPr>
              <w:t>TOTAL</w:t>
            </w:r>
          </w:p>
        </w:tc>
        <w:tc>
          <w:tcPr>
            <w:tcW w:w="6040" w:type="dxa"/>
            <w:vAlign w:val="bottom"/>
            <w:tcBorders>
              <w:bottom w:val="single" w:sz="8" w:color="08228B"/>
            </w:tcBorders>
          </w:tcPr>
          <w:p>
            <w:pPr>
              <w:spacing w:after="0"/>
              <w:rPr>
                <w:sz w:val="17"/>
                <w:szCs w:val="17"/>
                <w:color w:val="auto"/>
              </w:rPr>
            </w:pPr>
          </w:p>
        </w:tc>
        <w:tc>
          <w:tcPr>
            <w:tcW w:w="1540" w:type="dxa"/>
            <w:vAlign w:val="bottom"/>
            <w:tcBorders>
              <w:bottom w:val="single" w:sz="8" w:color="08228B"/>
            </w:tcBorders>
          </w:tcPr>
          <w:p>
            <w:pPr>
              <w:jc w:val="right"/>
              <w:ind w:right="139"/>
              <w:spacing w:after="0"/>
              <w:rPr>
                <w:sz w:val="20"/>
                <w:szCs w:val="20"/>
                <w:color w:val="auto"/>
              </w:rPr>
            </w:pPr>
            <w:r>
              <w:rPr>
                <w:rFonts w:ascii="Arial" w:cs="Arial" w:eastAsia="Arial" w:hAnsi="Arial"/>
                <w:sz w:val="16"/>
                <w:szCs w:val="16"/>
                <w:b w:val="1"/>
                <w:bCs w:val="1"/>
                <w:color w:val="08228B"/>
              </w:rPr>
              <w:t>$</w:t>
            </w:r>
          </w:p>
        </w:tc>
        <w:tc>
          <w:tcPr>
            <w:tcW w:w="1480" w:type="dxa"/>
            <w:vAlign w:val="bottom"/>
            <w:tcBorders>
              <w:bottom w:val="single" w:sz="8" w:color="08228B"/>
            </w:tcBorders>
          </w:tcPr>
          <w:p>
            <w:pPr>
              <w:jc w:val="right"/>
              <w:ind w:right="19"/>
              <w:spacing w:after="0"/>
              <w:rPr>
                <w:sz w:val="20"/>
                <w:szCs w:val="20"/>
                <w:color w:val="auto"/>
              </w:rPr>
            </w:pPr>
            <w:r>
              <w:rPr>
                <w:rFonts w:ascii="Arial" w:cs="Arial" w:eastAsia="Arial" w:hAnsi="Arial"/>
                <w:sz w:val="16"/>
                <w:szCs w:val="16"/>
                <w:b w:val="1"/>
                <w:bCs w:val="1"/>
                <w:color w:val="08228B"/>
              </w:rPr>
              <w:t>5,250,049</w:t>
            </w:r>
          </w:p>
        </w:tc>
      </w:tr>
      <w:tr>
        <w:trPr>
          <w:trHeight w:val="237"/>
        </w:trPr>
        <w:tc>
          <w:tcPr>
            <w:tcW w:w="2240" w:type="dxa"/>
            <w:vAlign w:val="bottom"/>
            <w:tcBorders>
              <w:bottom w:val="single" w:sz="8" w:color="08228B"/>
            </w:tcBorders>
          </w:tcPr>
          <w:p>
            <w:pPr>
              <w:ind w:left="40"/>
              <w:spacing w:after="0" w:line="230" w:lineRule="exact"/>
              <w:rPr>
                <w:sz w:val="20"/>
                <w:szCs w:val="20"/>
                <w:color w:val="auto"/>
              </w:rPr>
            </w:pPr>
            <w:r>
              <w:rPr>
                <w:rFonts w:ascii="Arial" w:cs="Arial" w:eastAsia="Arial" w:hAnsi="Arial"/>
                <w:sz w:val="16"/>
                <w:szCs w:val="16"/>
                <w:color w:val="auto"/>
              </w:rPr>
              <w:t>DSV Options</w:t>
            </w:r>
            <w:r>
              <w:rPr>
                <w:rFonts w:ascii="Arial" w:cs="Arial" w:eastAsia="Arial" w:hAnsi="Arial"/>
                <w:sz w:val="26"/>
                <w:szCs w:val="26"/>
                <w:color w:val="auto"/>
                <w:vertAlign w:val="superscript"/>
              </w:rPr>
              <w:t>(1)</w:t>
            </w:r>
          </w:p>
        </w:tc>
        <w:tc>
          <w:tcPr>
            <w:tcW w:w="6040" w:type="dxa"/>
            <w:vAlign w:val="bottom"/>
            <w:tcBorders>
              <w:bottom w:val="single" w:sz="8" w:color="08228B"/>
            </w:tcBorders>
          </w:tcPr>
          <w:p>
            <w:pPr>
              <w:ind w:left="260"/>
              <w:spacing w:after="0"/>
              <w:rPr>
                <w:sz w:val="20"/>
                <w:szCs w:val="20"/>
                <w:color w:val="auto"/>
              </w:rPr>
            </w:pPr>
            <w:r>
              <w:rPr>
                <w:rFonts w:ascii="Arial" w:cs="Arial" w:eastAsia="Arial" w:hAnsi="Arial"/>
                <w:sz w:val="16"/>
                <w:szCs w:val="16"/>
                <w:color w:val="auto"/>
              </w:rPr>
              <w:t>Performance to Stock Price and TSR Against OEM Peer Group</w:t>
            </w:r>
          </w:p>
        </w:tc>
        <w:tc>
          <w:tcPr>
            <w:tcW w:w="1540" w:type="dxa"/>
            <w:vAlign w:val="bottom"/>
            <w:tcBorders>
              <w:bottom w:val="single" w:sz="8" w:color="08228B"/>
            </w:tcBorders>
          </w:tcPr>
          <w:p>
            <w:pPr>
              <w:jc w:val="right"/>
              <w:ind w:right="1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08228B"/>
            </w:tcBorders>
          </w:tcPr>
          <w:p>
            <w:pPr>
              <w:jc w:val="right"/>
              <w:ind w:right="19"/>
              <w:spacing w:after="0"/>
              <w:rPr>
                <w:sz w:val="20"/>
                <w:szCs w:val="20"/>
                <w:color w:val="auto"/>
              </w:rPr>
            </w:pPr>
            <w:r>
              <w:rPr>
                <w:rFonts w:ascii="Arial" w:cs="Arial" w:eastAsia="Arial" w:hAnsi="Arial"/>
                <w:sz w:val="16"/>
                <w:szCs w:val="16"/>
                <w:color w:val="auto"/>
              </w:rPr>
              <w:t>2,675,437</w:t>
            </w:r>
          </w:p>
        </w:tc>
      </w:tr>
      <w:tr>
        <w:trPr>
          <w:trHeight w:val="196"/>
        </w:trPr>
        <w:tc>
          <w:tcPr>
            <w:tcW w:w="8280" w:type="dxa"/>
            <w:vAlign w:val="bottom"/>
            <w:tcBorders>
              <w:bottom w:val="single" w:sz="8" w:color="08228B"/>
            </w:tcBorders>
            <w:gridSpan w:val="2"/>
          </w:tcPr>
          <w:p>
            <w:pPr>
              <w:ind w:left="40"/>
              <w:spacing w:after="0"/>
              <w:rPr>
                <w:sz w:val="20"/>
                <w:szCs w:val="20"/>
                <w:color w:val="auto"/>
              </w:rPr>
            </w:pPr>
            <w:r>
              <w:rPr>
                <w:rFonts w:ascii="Arial" w:cs="Arial" w:eastAsia="Arial" w:hAnsi="Arial"/>
                <w:sz w:val="16"/>
                <w:szCs w:val="16"/>
                <w:b w:val="1"/>
                <w:bCs w:val="1"/>
                <w:color w:val="08228B"/>
              </w:rPr>
              <w:t>TOTAL WITH ONE-TIME AWARDS</w:t>
            </w:r>
          </w:p>
        </w:tc>
        <w:tc>
          <w:tcPr>
            <w:tcW w:w="1540" w:type="dxa"/>
            <w:vAlign w:val="bottom"/>
            <w:tcBorders>
              <w:bottom w:val="single" w:sz="8" w:color="08228B"/>
            </w:tcBorders>
          </w:tcPr>
          <w:p>
            <w:pPr>
              <w:jc w:val="right"/>
              <w:ind w:right="1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08228B"/>
            </w:tcBorders>
          </w:tcPr>
          <w:p>
            <w:pPr>
              <w:jc w:val="right"/>
              <w:ind w:right="19"/>
              <w:spacing w:after="0"/>
              <w:rPr>
                <w:sz w:val="20"/>
                <w:szCs w:val="20"/>
                <w:color w:val="auto"/>
              </w:rPr>
            </w:pPr>
            <w:r>
              <w:rPr>
                <w:rFonts w:ascii="Arial" w:cs="Arial" w:eastAsia="Arial" w:hAnsi="Arial"/>
                <w:sz w:val="16"/>
                <w:szCs w:val="16"/>
                <w:b w:val="1"/>
                <w:bCs w:val="1"/>
                <w:color w:val="08228B"/>
              </w:rPr>
              <w:t>7,925,486</w:t>
            </w:r>
          </w:p>
        </w:tc>
      </w:tr>
    </w:tbl>
    <w:p>
      <w:pPr>
        <w:spacing w:after="0" w:line="58" w:lineRule="exact"/>
        <w:rPr>
          <w:sz w:val="20"/>
          <w:szCs w:val="20"/>
          <w:color w:val="auto"/>
        </w:rPr>
      </w:pPr>
    </w:p>
    <w:p>
      <w:pPr>
        <w:ind w:left="340" w:hanging="332"/>
        <w:spacing w:after="0"/>
        <w:tabs>
          <w:tab w:leader="none" w:pos="340" w:val="left"/>
        </w:tabs>
        <w:numPr>
          <w:ilvl w:val="0"/>
          <w:numId w:val="73"/>
        </w:numPr>
        <w:rPr>
          <w:rFonts w:ascii="Arial" w:cs="Arial" w:eastAsia="Arial" w:hAnsi="Arial"/>
          <w:sz w:val="14"/>
          <w:szCs w:val="14"/>
          <w:i w:val="1"/>
          <w:iCs w:val="1"/>
          <w:color w:val="auto"/>
        </w:rPr>
      </w:pPr>
      <w:r>
        <w:rPr>
          <w:rFonts w:ascii="Arial" w:cs="Arial" w:eastAsia="Arial" w:hAnsi="Arial"/>
          <w:sz w:val="14"/>
          <w:szCs w:val="14"/>
          <w:i w:val="1"/>
          <w:iCs w:val="1"/>
          <w:color w:val="auto"/>
        </w:rPr>
        <w:t>PSUs and DSV Options are subject to performance vesting, and not all awards may vest as displayed.</w:t>
      </w:r>
    </w:p>
    <w:p>
      <w:pPr>
        <w:spacing w:after="0" w:line="15" w:lineRule="exact"/>
        <w:rPr>
          <w:rFonts w:ascii="Arial" w:cs="Arial" w:eastAsia="Arial" w:hAnsi="Arial"/>
          <w:sz w:val="14"/>
          <w:szCs w:val="14"/>
          <w:i w:val="1"/>
          <w:iCs w:val="1"/>
          <w:color w:val="auto"/>
        </w:rPr>
      </w:pPr>
    </w:p>
    <w:p>
      <w:pPr>
        <w:ind w:left="340" w:hanging="332"/>
        <w:spacing w:after="0"/>
        <w:tabs>
          <w:tab w:leader="none" w:pos="340" w:val="left"/>
        </w:tabs>
        <w:numPr>
          <w:ilvl w:val="0"/>
          <w:numId w:val="73"/>
        </w:numPr>
        <w:rPr>
          <w:rFonts w:ascii="Arial" w:cs="Arial" w:eastAsia="Arial" w:hAnsi="Arial"/>
          <w:sz w:val="14"/>
          <w:szCs w:val="14"/>
          <w:i w:val="1"/>
          <w:iCs w:val="1"/>
          <w:color w:val="auto"/>
        </w:rPr>
      </w:pPr>
      <w:r>
        <w:rPr>
          <w:rFonts w:ascii="Arial" w:cs="Arial" w:eastAsia="Arial" w:hAnsi="Arial"/>
          <w:sz w:val="14"/>
          <w:szCs w:val="14"/>
          <w:i w:val="1"/>
          <w:iCs w:val="1"/>
          <w:color w:val="auto"/>
        </w:rPr>
        <w:t>RSUs are subject to time-based 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69150" cy="1714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13"/>
        </w:trPr>
        <w:tc>
          <w:tcPr>
            <w:tcW w:w="4340" w:type="dxa"/>
            <w:vAlign w:val="bottom"/>
            <w:tcBorders>
              <w:bottom w:val="single" w:sz="8" w:color="08228B"/>
            </w:tcBorders>
          </w:tcPr>
          <w:p>
            <w:pPr>
              <w:spacing w:after="0"/>
              <w:rPr>
                <w:sz w:val="9"/>
                <w:szCs w:val="9"/>
                <w:color w:val="auto"/>
              </w:rPr>
            </w:pPr>
          </w:p>
        </w:tc>
        <w:tc>
          <w:tcPr>
            <w:tcW w:w="2060" w:type="dxa"/>
            <w:vAlign w:val="bottom"/>
            <w:vMerge w:val="restart"/>
          </w:tcPr>
          <w:p>
            <w:pPr>
              <w:ind w:left="60"/>
              <w:spacing w:after="0"/>
              <w:rPr>
                <w:sz w:val="20"/>
                <w:szCs w:val="20"/>
                <w:color w:val="auto"/>
              </w:rPr>
            </w:pPr>
            <w:r>
              <w:rPr>
                <w:rFonts w:ascii="Arial" w:cs="Arial" w:eastAsia="Arial" w:hAnsi="Arial"/>
                <w:sz w:val="16"/>
                <w:szCs w:val="16"/>
                <w:b w:val="1"/>
                <w:bCs w:val="1"/>
                <w:color w:val="1C90D3"/>
              </w:rPr>
              <w:t xml:space="preserve">2016 </w:t>
            </w:r>
            <w:r>
              <w:rPr>
                <w:rFonts w:ascii="Arial" w:cs="Arial" w:eastAsia="Arial" w:hAnsi="Arial"/>
                <w:sz w:val="16"/>
                <w:szCs w:val="16"/>
                <w:color w:val="08228B"/>
              </w:rPr>
              <w:t>PROXY STATEMENT</w:t>
            </w:r>
          </w:p>
        </w:tc>
        <w:tc>
          <w:tcPr>
            <w:tcW w:w="2400" w:type="dxa"/>
            <w:vAlign w:val="bottom"/>
            <w:tcBorders>
              <w:bottom w:val="single" w:sz="8" w:color="08228B"/>
            </w:tcBorders>
          </w:tcPr>
          <w:p>
            <w:pPr>
              <w:spacing w:after="0"/>
              <w:rPr>
                <w:sz w:val="9"/>
                <w:szCs w:val="9"/>
                <w:color w:val="auto"/>
              </w:rPr>
            </w:pPr>
          </w:p>
        </w:tc>
        <w:tc>
          <w:tcPr>
            <w:tcW w:w="2620" w:type="dxa"/>
            <w:vAlign w:val="bottom"/>
            <w:vMerge w:val="restart"/>
          </w:tcPr>
          <w:p>
            <w:pPr>
              <w:jc w:val="right"/>
              <w:ind w:right="39"/>
              <w:spacing w:after="0"/>
              <w:rPr>
                <w:sz w:val="20"/>
                <w:szCs w:val="20"/>
                <w:color w:val="auto"/>
              </w:rPr>
            </w:pPr>
            <w:r>
              <w:rPr>
                <w:rFonts w:ascii="Arial" w:cs="Arial" w:eastAsia="Arial" w:hAnsi="Arial"/>
                <w:sz w:val="16"/>
                <w:szCs w:val="16"/>
                <w:color w:val="08228B"/>
              </w:rPr>
              <w:t>48</w:t>
            </w:r>
          </w:p>
        </w:tc>
        <w:tc>
          <w:tcPr>
            <w:tcW w:w="0" w:type="dxa"/>
            <w:vAlign w:val="bottom"/>
          </w:tcPr>
          <w:p>
            <w:pPr>
              <w:spacing w:after="0"/>
              <w:rPr>
                <w:sz w:val="1"/>
                <w:szCs w:val="1"/>
                <w:color w:val="auto"/>
              </w:rPr>
            </w:pPr>
          </w:p>
        </w:tc>
      </w:tr>
      <w:tr>
        <w:trPr>
          <w:trHeight w:val="82"/>
        </w:trPr>
        <w:tc>
          <w:tcPr>
            <w:tcW w:w="4340" w:type="dxa"/>
            <w:vAlign w:val="bottom"/>
          </w:tcPr>
          <w:p>
            <w:pPr>
              <w:spacing w:after="0"/>
              <w:rPr>
                <w:sz w:val="7"/>
                <w:szCs w:val="7"/>
                <w:color w:val="auto"/>
              </w:rPr>
            </w:pPr>
          </w:p>
        </w:tc>
        <w:tc>
          <w:tcPr>
            <w:tcW w:w="2060" w:type="dxa"/>
            <w:vAlign w:val="bottom"/>
            <w:vMerge w:val="continue"/>
          </w:tcPr>
          <w:p>
            <w:pPr>
              <w:spacing w:after="0"/>
              <w:rPr>
                <w:sz w:val="7"/>
                <w:szCs w:val="7"/>
                <w:color w:val="auto"/>
              </w:rPr>
            </w:pPr>
          </w:p>
        </w:tc>
        <w:tc>
          <w:tcPr>
            <w:tcW w:w="2400" w:type="dxa"/>
            <w:vAlign w:val="bottom"/>
          </w:tcPr>
          <w:p>
            <w:pPr>
              <w:spacing w:after="0"/>
              <w:rPr>
                <w:sz w:val="7"/>
                <w:szCs w:val="7"/>
                <w:color w:val="auto"/>
              </w:rPr>
            </w:pPr>
          </w:p>
        </w:tc>
        <w:tc>
          <w:tcPr>
            <w:tcW w:w="2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7"/>
        </w:trPr>
        <w:tc>
          <w:tcPr>
            <w:tcW w:w="4340" w:type="dxa"/>
            <w:vAlign w:val="bottom"/>
            <w:tcBorders>
              <w:bottom w:val="single" w:sz="8" w:color="C0C0C0"/>
            </w:tcBorders>
          </w:tcPr>
          <w:p>
            <w:pPr>
              <w:spacing w:after="0"/>
              <w:rPr>
                <w:sz w:val="24"/>
                <w:szCs w:val="24"/>
                <w:color w:val="auto"/>
              </w:rPr>
            </w:pPr>
          </w:p>
        </w:tc>
        <w:tc>
          <w:tcPr>
            <w:tcW w:w="2060" w:type="dxa"/>
            <w:vAlign w:val="bottom"/>
            <w:tcBorders>
              <w:bottom w:val="single" w:sz="8" w:color="C0C0C0"/>
            </w:tcBorders>
          </w:tcPr>
          <w:p>
            <w:pPr>
              <w:spacing w:after="0"/>
              <w:rPr>
                <w:sz w:val="24"/>
                <w:szCs w:val="24"/>
                <w:color w:val="auto"/>
              </w:rPr>
            </w:pPr>
          </w:p>
        </w:tc>
        <w:tc>
          <w:tcPr>
            <w:tcW w:w="2400" w:type="dxa"/>
            <w:vAlign w:val="bottom"/>
            <w:tcBorders>
              <w:bottom w:val="single" w:sz="8" w:color="C0C0C0"/>
            </w:tcBorders>
          </w:tcPr>
          <w:p>
            <w:pPr>
              <w:spacing w:after="0"/>
              <w:rPr>
                <w:sz w:val="24"/>
                <w:szCs w:val="24"/>
                <w:color w:val="auto"/>
              </w:rPr>
            </w:pPr>
          </w:p>
        </w:tc>
        <w:tc>
          <w:tcPr>
            <w:tcW w:w="262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5613400</wp:posOffset>
            </wp:positionH>
            <wp:positionV relativeFrom="paragraph">
              <wp:posOffset>-334010</wp:posOffset>
            </wp:positionV>
            <wp:extent cx="1286510" cy="8572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1286510" cy="8572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Back to Contents</w:t>
        </w:r>
      </w:hyperlink>
    </w:p>
    <w:p>
      <w:pPr>
        <w:spacing w:after="0" w:line="196" w:lineRule="exact"/>
        <w:rPr>
          <w:sz w:val="20"/>
          <w:szCs w:val="20"/>
          <w:color w:val="auto"/>
        </w:rPr>
      </w:pPr>
    </w:p>
    <w:p>
      <w:pPr>
        <w:ind w:left="500" w:hanging="492"/>
        <w:spacing w:after="0"/>
        <w:tabs>
          <w:tab w:leader="none" w:pos="500" w:val="left"/>
        </w:tabs>
        <w:numPr>
          <w:ilvl w:val="0"/>
          <w:numId w:val="74"/>
        </w:numPr>
        <w:rPr>
          <w:rFonts w:ascii="Arial" w:cs="Arial" w:eastAsia="Arial" w:hAnsi="Arial"/>
          <w:sz w:val="25"/>
          <w:szCs w:val="25"/>
          <w:color w:val="08228B"/>
        </w:rPr>
      </w:pPr>
      <w:r>
        <w:rPr>
          <w:rFonts w:ascii="Arial" w:cs="Arial" w:eastAsia="Arial" w:hAnsi="Arial"/>
          <w:sz w:val="25"/>
          <w:szCs w:val="25"/>
          <w:color w:val="auto"/>
        </w:rPr>
        <w:t>Compensation Decisions for Daniel Ammann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08228B"/>
        </w:rPr>
        <w:t xml:space="preserve">Daniel Ammann, </w:t>
      </w:r>
      <w:r>
        <w:rPr>
          <w:rFonts w:ascii="Arial" w:cs="Arial" w:eastAsia="Arial" w:hAnsi="Arial"/>
          <w:sz w:val="18"/>
          <w:szCs w:val="18"/>
          <w:b w:val="1"/>
          <w:bCs w:val="1"/>
          <w:color w:val="000000"/>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69150" cy="85788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169150" cy="857885"/>
                    </a:xfrm>
                    <a:prstGeom prst="rect">
                      <a:avLst/>
                    </a:prstGeom>
                    <a:noFill/>
                  </pic:spPr>
                </pic:pic>
              </a:graphicData>
            </a:graphic>
          </wp:anchor>
        </w:drawing>
      </w:r>
    </w:p>
    <w:p>
      <w:pPr>
        <w:spacing w:after="0" w:line="27" w:lineRule="exact"/>
        <w:rPr>
          <w:sz w:val="20"/>
          <w:szCs w:val="20"/>
          <w:color w:val="auto"/>
        </w:rPr>
      </w:pPr>
    </w:p>
    <w:p>
      <w:pPr>
        <w:ind w:left="40"/>
        <w:spacing w:after="0"/>
        <w:rPr>
          <w:sz w:val="20"/>
          <w:szCs w:val="20"/>
          <w:color w:val="auto"/>
        </w:rPr>
      </w:pPr>
      <w:r>
        <w:rPr>
          <w:rFonts w:ascii="Arial" w:cs="Arial" w:eastAsia="Arial" w:hAnsi="Arial"/>
          <w:sz w:val="16"/>
          <w:szCs w:val="16"/>
          <w:color w:val="auto"/>
        </w:rPr>
        <w:t>Mr. Ammann met several objectives for 2015 performance against his goals including:</w:t>
      </w:r>
    </w:p>
    <w:p>
      <w:pPr>
        <w:spacing w:after="0" w:line="194" w:lineRule="exact"/>
        <w:rPr>
          <w:sz w:val="20"/>
          <w:szCs w:val="20"/>
          <w:color w:val="auto"/>
        </w:rPr>
      </w:pPr>
    </w:p>
    <w:p>
      <w:pPr>
        <w:ind w:left="300" w:hanging="256"/>
        <w:spacing w:after="0"/>
        <w:tabs>
          <w:tab w:leader="none" w:pos="300" w:val="left"/>
        </w:tabs>
        <w:numPr>
          <w:ilvl w:val="0"/>
          <w:numId w:val="75"/>
        </w:numPr>
        <w:rPr>
          <w:rFonts w:ascii="Arial" w:cs="Arial" w:eastAsia="Arial" w:hAnsi="Arial"/>
          <w:sz w:val="16"/>
          <w:szCs w:val="16"/>
          <w:color w:val="08228B"/>
        </w:rPr>
      </w:pPr>
      <w:r>
        <w:rPr>
          <w:rFonts w:ascii="Arial" w:cs="Arial" w:eastAsia="Arial" w:hAnsi="Arial"/>
          <w:sz w:val="16"/>
          <w:szCs w:val="16"/>
          <w:color w:val="auto"/>
        </w:rPr>
        <w:t>Launched GM Financial as a full automotive captive in the United States for all GM brands.</w:t>
      </w:r>
    </w:p>
    <w:p>
      <w:pPr>
        <w:spacing w:after="0" w:line="5" w:lineRule="exact"/>
        <w:rPr>
          <w:rFonts w:ascii="Arial" w:cs="Arial" w:eastAsia="Arial" w:hAnsi="Arial"/>
          <w:sz w:val="16"/>
          <w:szCs w:val="16"/>
          <w:color w:val="08228B"/>
        </w:rPr>
      </w:pPr>
    </w:p>
    <w:p>
      <w:pPr>
        <w:ind w:left="300" w:right="160" w:hanging="256"/>
        <w:spacing w:after="0" w:line="246" w:lineRule="auto"/>
        <w:tabs>
          <w:tab w:leader="none" w:pos="298" w:val="left"/>
        </w:tabs>
        <w:numPr>
          <w:ilvl w:val="0"/>
          <w:numId w:val="75"/>
        </w:numPr>
        <w:rPr>
          <w:rFonts w:ascii="Arial" w:cs="Arial" w:eastAsia="Arial" w:hAnsi="Arial"/>
          <w:sz w:val="16"/>
          <w:szCs w:val="16"/>
          <w:color w:val="08228B"/>
        </w:rPr>
      </w:pPr>
      <w:r>
        <w:rPr>
          <w:rFonts w:ascii="Arial" w:cs="Arial" w:eastAsia="Arial" w:hAnsi="Arial"/>
          <w:sz w:val="16"/>
          <w:szCs w:val="16"/>
          <w:color w:val="auto"/>
        </w:rPr>
        <w:t>Improved the Chevrolet brand opinion, resulting in record high momentum in the U.S. and significantly improved the brand opinion in other key countries, including Argentina, South Korea, and India.</w:t>
      </w:r>
    </w:p>
    <w:p>
      <w:pPr>
        <w:ind w:left="300" w:hanging="256"/>
        <w:spacing w:after="0"/>
        <w:tabs>
          <w:tab w:leader="none" w:pos="300" w:val="left"/>
        </w:tabs>
        <w:numPr>
          <w:ilvl w:val="0"/>
          <w:numId w:val="75"/>
        </w:numPr>
        <w:rPr>
          <w:rFonts w:ascii="Arial" w:cs="Arial" w:eastAsia="Arial" w:hAnsi="Arial"/>
          <w:sz w:val="16"/>
          <w:szCs w:val="16"/>
          <w:color w:val="08228B"/>
        </w:rPr>
      </w:pPr>
      <w:r>
        <w:rPr>
          <w:rFonts w:ascii="Arial" w:cs="Arial" w:eastAsia="Arial" w:hAnsi="Arial"/>
          <w:sz w:val="16"/>
          <w:szCs w:val="16"/>
          <w:color w:val="auto"/>
        </w:rPr>
        <w:t>Redefined the Cadillac brand positioning, brand values, and brand campaign with the successful “Dare Greatly” advertising campaign.</w:t>
      </w:r>
    </w:p>
    <w:p>
      <w:pPr>
        <w:spacing w:after="0" w:line="5" w:lineRule="exact"/>
        <w:rPr>
          <w:rFonts w:ascii="Arial" w:cs="Arial" w:eastAsia="Arial" w:hAnsi="Arial"/>
          <w:sz w:val="16"/>
          <w:szCs w:val="16"/>
          <w:color w:val="08228B"/>
        </w:rPr>
      </w:pPr>
    </w:p>
    <w:p>
      <w:pPr>
        <w:ind w:left="300" w:hanging="256"/>
        <w:spacing w:after="0"/>
        <w:tabs>
          <w:tab w:leader="none" w:pos="300" w:val="left"/>
        </w:tabs>
        <w:numPr>
          <w:ilvl w:val="0"/>
          <w:numId w:val="75"/>
        </w:numPr>
        <w:rPr>
          <w:rFonts w:ascii="Arial" w:cs="Arial" w:eastAsia="Arial" w:hAnsi="Arial"/>
          <w:sz w:val="16"/>
          <w:szCs w:val="16"/>
          <w:color w:val="08228B"/>
        </w:rPr>
      </w:pPr>
      <w:r>
        <w:rPr>
          <w:rFonts w:ascii="Arial" w:cs="Arial" w:eastAsia="Arial" w:hAnsi="Arial"/>
          <w:sz w:val="16"/>
          <w:szCs w:val="16"/>
          <w:color w:val="auto"/>
        </w:rPr>
        <w:t>Improved the financial position of General Motors Europe and made significant progress toward profitability in the region.</w:t>
      </w:r>
    </w:p>
    <w:p>
      <w:pPr>
        <w:spacing w:after="0" w:line="19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Effective January 1, 2015, the Compensation Committee increased Mr. Ammann’s base salary from $1,000,000 to $1,200,000 based on his individual performance and the competitive market analysis provided by the Compensation Committee’s independent compensation consultant. The Compensation Committee awarded Mr. Ammann an annual equity grant of $4.5 million, consisting of 75 percent PSUs and 25 percent RSUs. Mr. Ammann participated in the one-time DSV Option Grant during 2015.</w:t>
      </w:r>
    </w:p>
    <w:p>
      <w:pPr>
        <w:spacing w:after="0" w:line="176"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The Compensation Committee elected to provide an individual performance adjustment to Mr. Ammann’s 2015 STIP award for $150,000 due to the key business results achieved. The total compensation for Mr. Ammann in 2015, including salary, bonus, STIP and LTIP awards, and options is displayed below.</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2220" w:type="dxa"/>
            <w:vAlign w:val="bottom"/>
            <w:tcBorders>
              <w:top w:val="single" w:sz="8" w:color="1C90D3"/>
              <w:bottom w:val="single" w:sz="8" w:color="1C90D3"/>
            </w:tcBorders>
          </w:tcPr>
          <w:p>
            <w:pPr>
              <w:ind w:left="20"/>
              <w:spacing w:after="0"/>
              <w:rPr>
                <w:sz w:val="20"/>
                <w:szCs w:val="20"/>
                <w:color w:val="auto"/>
              </w:rPr>
            </w:pPr>
            <w:r>
              <w:rPr>
                <w:rFonts w:ascii="Arial" w:cs="Arial" w:eastAsia="Arial" w:hAnsi="Arial"/>
                <w:sz w:val="16"/>
                <w:szCs w:val="16"/>
                <w:b w:val="1"/>
                <w:bCs w:val="1"/>
                <w:color w:val="1C90D3"/>
              </w:rPr>
              <w:t>Pay Element</w:t>
            </w:r>
          </w:p>
        </w:tc>
        <w:tc>
          <w:tcPr>
            <w:tcW w:w="6040" w:type="dxa"/>
            <w:vAlign w:val="bottom"/>
            <w:tcBorders>
              <w:top w:val="single" w:sz="8" w:color="1C90D3"/>
              <w:bottom w:val="single" w:sz="8" w:color="1C90D3"/>
            </w:tcBorders>
          </w:tcPr>
          <w:p>
            <w:pPr>
              <w:ind w:left="260"/>
              <w:spacing w:after="0"/>
              <w:rPr>
                <w:sz w:val="20"/>
                <w:szCs w:val="20"/>
                <w:color w:val="auto"/>
              </w:rPr>
            </w:pPr>
            <w:r>
              <w:rPr>
                <w:rFonts w:ascii="Arial" w:cs="Arial" w:eastAsia="Arial" w:hAnsi="Arial"/>
                <w:sz w:val="16"/>
                <w:szCs w:val="16"/>
                <w:b w:val="1"/>
                <w:bCs w:val="1"/>
                <w:color w:val="1C90D3"/>
              </w:rPr>
              <w:t>Majority of Pay Is At-Risk</w:t>
            </w:r>
          </w:p>
        </w:tc>
        <w:tc>
          <w:tcPr>
            <w:tcW w:w="1540" w:type="dxa"/>
            <w:vAlign w:val="bottom"/>
            <w:tcBorders>
              <w:top w:val="single" w:sz="8" w:color="1C90D3"/>
              <w:bottom w:val="single" w:sz="8" w:color="1C90D3"/>
            </w:tcBorders>
          </w:tcPr>
          <w:p>
            <w:pPr>
              <w:spacing w:after="0"/>
              <w:rPr>
                <w:sz w:val="19"/>
                <w:szCs w:val="19"/>
                <w:color w:val="auto"/>
              </w:rPr>
            </w:pPr>
          </w:p>
        </w:tc>
        <w:tc>
          <w:tcPr>
            <w:tcW w:w="1480" w:type="dxa"/>
            <w:vAlign w:val="bottom"/>
            <w:tcBorders>
              <w:top w:val="single" w:sz="8" w:color="1C90D3"/>
              <w:bottom w:val="single" w:sz="8" w:color="1C90D3"/>
            </w:tcBorders>
          </w:tcPr>
          <w:p>
            <w:pPr>
              <w:jc w:val="right"/>
              <w:ind w:right="19"/>
              <w:spacing w:after="0"/>
              <w:rPr>
                <w:sz w:val="20"/>
                <w:szCs w:val="20"/>
                <w:color w:val="auto"/>
              </w:rPr>
            </w:pPr>
            <w:r>
              <w:rPr>
                <w:rFonts w:ascii="Arial" w:cs="Arial" w:eastAsia="Arial" w:hAnsi="Arial"/>
                <w:sz w:val="16"/>
                <w:szCs w:val="16"/>
                <w:b w:val="1"/>
                <w:bCs w:val="1"/>
                <w:color w:val="1C90D3"/>
              </w:rPr>
              <w:t>Awarded Value</w:t>
            </w:r>
          </w:p>
        </w:tc>
      </w:tr>
      <w:tr>
        <w:trPr>
          <w:trHeight w:val="189"/>
        </w:trPr>
        <w:tc>
          <w:tcPr>
            <w:tcW w:w="20" w:type="dxa"/>
            <w:vAlign w:val="bottom"/>
          </w:tcPr>
          <w:p>
            <w:pPr>
              <w:spacing w:after="0"/>
              <w:rPr>
                <w:sz w:val="16"/>
                <w:szCs w:val="16"/>
                <w:color w:val="auto"/>
              </w:rPr>
            </w:pPr>
          </w:p>
        </w:tc>
        <w:tc>
          <w:tcPr>
            <w:tcW w:w="2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Base Salary</w:t>
            </w:r>
          </w:p>
        </w:tc>
        <w:tc>
          <w:tcPr>
            <w:tcW w:w="604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Fixed – Only Guaranteed Pay Element</w:t>
            </w:r>
          </w:p>
        </w:tc>
        <w:tc>
          <w:tcPr>
            <w:tcW w:w="15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1,200,000</w:t>
            </w:r>
          </w:p>
        </w:tc>
      </w:tr>
      <w:tr>
        <w:trPr>
          <w:trHeight w:val="183"/>
        </w:trPr>
        <w:tc>
          <w:tcPr>
            <w:tcW w:w="20" w:type="dxa"/>
            <w:vAlign w:val="bottom"/>
          </w:tcPr>
          <w:p>
            <w:pPr>
              <w:spacing w:after="0"/>
              <w:rPr>
                <w:sz w:val="15"/>
                <w:szCs w:val="15"/>
                <w:color w:val="auto"/>
              </w:rPr>
            </w:pPr>
          </w:p>
        </w:tc>
        <w:tc>
          <w:tcPr>
            <w:tcW w:w="2220" w:type="dxa"/>
            <w:vAlign w:val="bottom"/>
            <w:tcBorders>
              <w:bottom w:val="single" w:sz="8" w:color="auto"/>
            </w:tcBorders>
          </w:tcPr>
          <w:p>
            <w:pPr>
              <w:ind w:left="20"/>
              <w:spacing w:after="0" w:line="183" w:lineRule="exact"/>
              <w:rPr>
                <w:sz w:val="20"/>
                <w:szCs w:val="20"/>
                <w:color w:val="auto"/>
              </w:rPr>
            </w:pPr>
            <w:r>
              <w:rPr>
                <w:rFonts w:ascii="Arial" w:cs="Arial" w:eastAsia="Arial" w:hAnsi="Arial"/>
                <w:sz w:val="16"/>
                <w:szCs w:val="16"/>
                <w:color w:val="auto"/>
              </w:rPr>
              <w:t>STIP</w:t>
            </w:r>
          </w:p>
        </w:tc>
        <w:tc>
          <w:tcPr>
            <w:tcW w:w="6040" w:type="dxa"/>
            <w:vAlign w:val="bottom"/>
            <w:tcBorders>
              <w:bottom w:val="single" w:sz="8" w:color="auto"/>
            </w:tcBorders>
          </w:tcPr>
          <w:p>
            <w:pPr>
              <w:ind w:left="260"/>
              <w:spacing w:after="0" w:line="183" w:lineRule="exact"/>
              <w:rPr>
                <w:sz w:val="20"/>
                <w:szCs w:val="20"/>
                <w:color w:val="auto"/>
              </w:rPr>
            </w:pPr>
            <w:r>
              <w:rPr>
                <w:rFonts w:ascii="Arial" w:cs="Arial" w:eastAsia="Arial" w:hAnsi="Arial"/>
                <w:sz w:val="16"/>
                <w:szCs w:val="16"/>
                <w:color w:val="auto"/>
              </w:rPr>
              <w:t>Performance to Metrics</w:t>
            </w:r>
          </w:p>
        </w:tc>
        <w:tc>
          <w:tcPr>
            <w:tcW w:w="1540" w:type="dxa"/>
            <w:vAlign w:val="bottom"/>
            <w:tcBorders>
              <w:bottom w:val="single" w:sz="8" w:color="auto"/>
            </w:tcBorders>
          </w:tcPr>
          <w:p>
            <w:pPr>
              <w:jc w:val="right"/>
              <w:ind w:right="139"/>
              <w:spacing w:after="0" w:line="183" w:lineRule="exact"/>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1,500,000</w:t>
            </w:r>
          </w:p>
        </w:tc>
      </w:tr>
      <w:tr>
        <w:trPr>
          <w:trHeight w:val="183"/>
        </w:trPr>
        <w:tc>
          <w:tcPr>
            <w:tcW w:w="20" w:type="dxa"/>
            <w:vAlign w:val="bottom"/>
          </w:tcPr>
          <w:p>
            <w:pPr>
              <w:spacing w:after="0"/>
              <w:rPr>
                <w:sz w:val="15"/>
                <w:szCs w:val="15"/>
                <w:color w:val="auto"/>
              </w:rPr>
            </w:pPr>
          </w:p>
        </w:tc>
        <w:tc>
          <w:tcPr>
            <w:tcW w:w="2220" w:type="dxa"/>
            <w:vAlign w:val="bottom"/>
            <w:tcBorders>
              <w:bottom w:val="single" w:sz="8" w:color="auto"/>
            </w:tcBorders>
          </w:tcPr>
          <w:p>
            <w:pPr>
              <w:ind w:left="20"/>
              <w:spacing w:after="0" w:line="183" w:lineRule="exact"/>
              <w:rPr>
                <w:sz w:val="20"/>
                <w:szCs w:val="20"/>
                <w:color w:val="auto"/>
              </w:rPr>
            </w:pPr>
            <w:r>
              <w:rPr>
                <w:rFonts w:ascii="Arial" w:cs="Arial" w:eastAsia="Arial" w:hAnsi="Arial"/>
                <w:sz w:val="16"/>
                <w:szCs w:val="16"/>
                <w:color w:val="auto"/>
              </w:rPr>
              <w:t>STIP Individual Adjustment</w:t>
            </w:r>
          </w:p>
        </w:tc>
        <w:tc>
          <w:tcPr>
            <w:tcW w:w="6040" w:type="dxa"/>
            <w:vAlign w:val="bottom"/>
            <w:tcBorders>
              <w:bottom w:val="single" w:sz="8" w:color="auto"/>
            </w:tcBorders>
          </w:tcPr>
          <w:p>
            <w:pPr>
              <w:ind w:left="260"/>
              <w:spacing w:after="0" w:line="183" w:lineRule="exact"/>
              <w:rPr>
                <w:sz w:val="20"/>
                <w:szCs w:val="20"/>
                <w:color w:val="auto"/>
              </w:rPr>
            </w:pPr>
            <w:r>
              <w:rPr>
                <w:rFonts w:ascii="Arial" w:cs="Arial" w:eastAsia="Arial" w:hAnsi="Arial"/>
                <w:sz w:val="16"/>
                <w:szCs w:val="16"/>
                <w:color w:val="auto"/>
              </w:rPr>
              <w:t>Performance – Based on Individual Results</w:t>
            </w:r>
          </w:p>
        </w:tc>
        <w:tc>
          <w:tcPr>
            <w:tcW w:w="1540" w:type="dxa"/>
            <w:vAlign w:val="bottom"/>
            <w:tcBorders>
              <w:bottom w:val="single" w:sz="8" w:color="auto"/>
            </w:tcBorders>
          </w:tcPr>
          <w:p>
            <w:pPr>
              <w:jc w:val="right"/>
              <w:ind w:right="139"/>
              <w:spacing w:after="0" w:line="183" w:lineRule="exact"/>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150,000</w:t>
            </w:r>
          </w:p>
        </w:tc>
      </w:tr>
      <w:tr>
        <w:trPr>
          <w:trHeight w:val="223"/>
        </w:trPr>
        <w:tc>
          <w:tcPr>
            <w:tcW w:w="20" w:type="dxa"/>
            <w:vAlign w:val="bottom"/>
          </w:tcPr>
          <w:p>
            <w:pPr>
              <w:spacing w:after="0"/>
              <w:rPr>
                <w:sz w:val="19"/>
                <w:szCs w:val="19"/>
                <w:color w:val="auto"/>
              </w:rPr>
            </w:pPr>
          </w:p>
        </w:tc>
        <w:tc>
          <w:tcPr>
            <w:tcW w:w="2220" w:type="dxa"/>
            <w:vAlign w:val="bottom"/>
            <w:tcBorders>
              <w:bottom w:val="single" w:sz="8" w:color="auto"/>
            </w:tcBorders>
          </w:tcPr>
          <w:p>
            <w:pPr>
              <w:ind w:left="20"/>
              <w:spacing w:after="0" w:line="223" w:lineRule="exact"/>
              <w:rPr>
                <w:sz w:val="20"/>
                <w:szCs w:val="20"/>
                <w:color w:val="auto"/>
              </w:rPr>
            </w:pPr>
            <w:r>
              <w:rPr>
                <w:rFonts w:ascii="Arial" w:cs="Arial" w:eastAsia="Arial" w:hAnsi="Arial"/>
                <w:sz w:val="15"/>
                <w:szCs w:val="15"/>
                <w:color w:val="auto"/>
              </w:rPr>
              <w:t>PSUs</w:t>
            </w:r>
            <w:r>
              <w:rPr>
                <w:rFonts w:ascii="Arial" w:cs="Arial" w:eastAsia="Arial" w:hAnsi="Arial"/>
                <w:sz w:val="25"/>
                <w:szCs w:val="25"/>
                <w:color w:val="auto"/>
                <w:vertAlign w:val="superscript"/>
              </w:rPr>
              <w:t>(1)</w:t>
            </w:r>
          </w:p>
        </w:tc>
        <w:tc>
          <w:tcPr>
            <w:tcW w:w="604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Performance to Metrics and Stock Price</w:t>
            </w:r>
          </w:p>
        </w:tc>
        <w:tc>
          <w:tcPr>
            <w:tcW w:w="15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3,375,006</w:t>
            </w:r>
          </w:p>
        </w:tc>
      </w:tr>
      <w:tr>
        <w:trPr>
          <w:trHeight w:val="230"/>
        </w:trPr>
        <w:tc>
          <w:tcPr>
            <w:tcW w:w="20" w:type="dxa"/>
            <w:vAlign w:val="bottom"/>
          </w:tcPr>
          <w:p>
            <w:pPr>
              <w:spacing w:after="0"/>
              <w:rPr>
                <w:sz w:val="20"/>
                <w:szCs w:val="20"/>
                <w:color w:val="auto"/>
              </w:rPr>
            </w:pPr>
          </w:p>
        </w:tc>
        <w:tc>
          <w:tcPr>
            <w:tcW w:w="2220" w:type="dxa"/>
            <w:vAlign w:val="bottom"/>
            <w:tcBorders>
              <w:bottom w:val="single" w:sz="8" w:color="08228B"/>
            </w:tcBorders>
          </w:tcPr>
          <w:p>
            <w:pPr>
              <w:ind w:left="20"/>
              <w:spacing w:after="0" w:line="223" w:lineRule="exact"/>
              <w:rPr>
                <w:sz w:val="20"/>
                <w:szCs w:val="20"/>
                <w:color w:val="auto"/>
              </w:rPr>
            </w:pPr>
            <w:r>
              <w:rPr>
                <w:rFonts w:ascii="Arial" w:cs="Arial" w:eastAsia="Arial" w:hAnsi="Arial"/>
                <w:sz w:val="15"/>
                <w:szCs w:val="15"/>
                <w:color w:val="auto"/>
              </w:rPr>
              <w:t>RSUs</w:t>
            </w:r>
            <w:r>
              <w:rPr>
                <w:rFonts w:ascii="Arial" w:cs="Arial" w:eastAsia="Arial" w:hAnsi="Arial"/>
                <w:sz w:val="25"/>
                <w:szCs w:val="25"/>
                <w:color w:val="auto"/>
                <w:vertAlign w:val="superscript"/>
              </w:rPr>
              <w:t>(2)</w:t>
            </w:r>
          </w:p>
        </w:tc>
        <w:tc>
          <w:tcPr>
            <w:tcW w:w="6040" w:type="dxa"/>
            <w:vAlign w:val="bottom"/>
            <w:tcBorders>
              <w:bottom w:val="single" w:sz="8" w:color="08228B"/>
            </w:tcBorders>
          </w:tcPr>
          <w:p>
            <w:pPr>
              <w:ind w:left="260"/>
              <w:spacing w:after="0"/>
              <w:rPr>
                <w:sz w:val="20"/>
                <w:szCs w:val="20"/>
                <w:color w:val="auto"/>
              </w:rPr>
            </w:pPr>
            <w:r>
              <w:rPr>
                <w:rFonts w:ascii="Arial" w:cs="Arial" w:eastAsia="Arial" w:hAnsi="Arial"/>
                <w:sz w:val="16"/>
                <w:szCs w:val="16"/>
                <w:color w:val="auto"/>
              </w:rPr>
              <w:t>Performance to Stock Price</w:t>
            </w:r>
          </w:p>
        </w:tc>
        <w:tc>
          <w:tcPr>
            <w:tcW w:w="1540" w:type="dxa"/>
            <w:vAlign w:val="bottom"/>
            <w:tcBorders>
              <w:bottom w:val="single" w:sz="8" w:color="08228B"/>
            </w:tcBorders>
          </w:tcPr>
          <w:p>
            <w:pPr>
              <w:jc w:val="right"/>
              <w:ind w:right="1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08228B"/>
            </w:tcBorders>
          </w:tcPr>
          <w:p>
            <w:pPr>
              <w:jc w:val="right"/>
              <w:ind w:right="19"/>
              <w:spacing w:after="0"/>
              <w:rPr>
                <w:sz w:val="20"/>
                <w:szCs w:val="20"/>
                <w:color w:val="auto"/>
              </w:rPr>
            </w:pPr>
            <w:r>
              <w:rPr>
                <w:rFonts w:ascii="Arial" w:cs="Arial" w:eastAsia="Arial" w:hAnsi="Arial"/>
                <w:sz w:val="16"/>
                <w:szCs w:val="16"/>
                <w:color w:val="auto"/>
              </w:rPr>
              <w:t>1,125,015</w:t>
            </w:r>
          </w:p>
        </w:tc>
      </w:tr>
      <w:tr>
        <w:trPr>
          <w:trHeight w:val="196"/>
        </w:trPr>
        <w:tc>
          <w:tcPr>
            <w:tcW w:w="20" w:type="dxa"/>
            <w:vAlign w:val="bottom"/>
          </w:tcPr>
          <w:p>
            <w:pPr>
              <w:spacing w:after="0"/>
              <w:rPr>
                <w:sz w:val="17"/>
                <w:szCs w:val="17"/>
                <w:color w:val="auto"/>
              </w:rPr>
            </w:pPr>
          </w:p>
        </w:tc>
        <w:tc>
          <w:tcPr>
            <w:tcW w:w="2220" w:type="dxa"/>
            <w:vAlign w:val="bottom"/>
            <w:tcBorders>
              <w:bottom w:val="single" w:sz="8" w:color="08228B"/>
            </w:tcBorders>
          </w:tcPr>
          <w:p>
            <w:pPr>
              <w:ind w:left="20"/>
              <w:spacing w:after="0"/>
              <w:rPr>
                <w:sz w:val="20"/>
                <w:szCs w:val="20"/>
                <w:color w:val="auto"/>
              </w:rPr>
            </w:pPr>
            <w:r>
              <w:rPr>
                <w:rFonts w:ascii="Arial" w:cs="Arial" w:eastAsia="Arial" w:hAnsi="Arial"/>
                <w:sz w:val="16"/>
                <w:szCs w:val="16"/>
                <w:b w:val="1"/>
                <w:bCs w:val="1"/>
                <w:color w:val="08228B"/>
              </w:rPr>
              <w:t>TOTAL</w:t>
            </w:r>
          </w:p>
        </w:tc>
        <w:tc>
          <w:tcPr>
            <w:tcW w:w="6040" w:type="dxa"/>
            <w:vAlign w:val="bottom"/>
            <w:tcBorders>
              <w:bottom w:val="single" w:sz="8" w:color="08228B"/>
            </w:tcBorders>
          </w:tcPr>
          <w:p>
            <w:pPr>
              <w:spacing w:after="0"/>
              <w:rPr>
                <w:sz w:val="17"/>
                <w:szCs w:val="17"/>
                <w:color w:val="auto"/>
              </w:rPr>
            </w:pPr>
          </w:p>
        </w:tc>
        <w:tc>
          <w:tcPr>
            <w:tcW w:w="1540" w:type="dxa"/>
            <w:vAlign w:val="bottom"/>
            <w:tcBorders>
              <w:bottom w:val="single" w:sz="8" w:color="08228B"/>
            </w:tcBorders>
          </w:tcPr>
          <w:p>
            <w:pPr>
              <w:jc w:val="right"/>
              <w:ind w:right="139"/>
              <w:spacing w:after="0"/>
              <w:rPr>
                <w:sz w:val="20"/>
                <w:szCs w:val="20"/>
                <w:color w:val="auto"/>
              </w:rPr>
            </w:pPr>
            <w:r>
              <w:rPr>
                <w:rFonts w:ascii="Arial" w:cs="Arial" w:eastAsia="Arial" w:hAnsi="Arial"/>
                <w:sz w:val="16"/>
                <w:szCs w:val="16"/>
                <w:b w:val="1"/>
                <w:bCs w:val="1"/>
                <w:color w:val="08228B"/>
              </w:rPr>
              <w:t>$</w:t>
            </w:r>
          </w:p>
        </w:tc>
        <w:tc>
          <w:tcPr>
            <w:tcW w:w="1480" w:type="dxa"/>
            <w:vAlign w:val="bottom"/>
            <w:tcBorders>
              <w:bottom w:val="single" w:sz="8" w:color="08228B"/>
            </w:tcBorders>
          </w:tcPr>
          <w:p>
            <w:pPr>
              <w:jc w:val="right"/>
              <w:ind w:right="19"/>
              <w:spacing w:after="0"/>
              <w:rPr>
                <w:sz w:val="20"/>
                <w:szCs w:val="20"/>
                <w:color w:val="auto"/>
              </w:rPr>
            </w:pPr>
            <w:r>
              <w:rPr>
                <w:rFonts w:ascii="Arial" w:cs="Arial" w:eastAsia="Arial" w:hAnsi="Arial"/>
                <w:sz w:val="16"/>
                <w:szCs w:val="16"/>
                <w:b w:val="1"/>
                <w:bCs w:val="1"/>
                <w:color w:val="08228B"/>
              </w:rPr>
              <w:t>7,350,021</w:t>
            </w:r>
          </w:p>
        </w:tc>
      </w:tr>
      <w:tr>
        <w:trPr>
          <w:trHeight w:val="237"/>
        </w:trPr>
        <w:tc>
          <w:tcPr>
            <w:tcW w:w="20" w:type="dxa"/>
            <w:vAlign w:val="bottom"/>
          </w:tcPr>
          <w:p>
            <w:pPr>
              <w:spacing w:after="0"/>
              <w:rPr>
                <w:sz w:val="20"/>
                <w:szCs w:val="20"/>
                <w:color w:val="auto"/>
              </w:rPr>
            </w:pPr>
          </w:p>
        </w:tc>
        <w:tc>
          <w:tcPr>
            <w:tcW w:w="2220" w:type="dxa"/>
            <w:vAlign w:val="bottom"/>
            <w:tcBorders>
              <w:bottom w:val="single" w:sz="8" w:color="08228B"/>
            </w:tcBorders>
          </w:tcPr>
          <w:p>
            <w:pPr>
              <w:ind w:left="20"/>
              <w:spacing w:after="0" w:line="230" w:lineRule="exact"/>
              <w:rPr>
                <w:sz w:val="20"/>
                <w:szCs w:val="20"/>
                <w:color w:val="auto"/>
              </w:rPr>
            </w:pPr>
            <w:r>
              <w:rPr>
                <w:rFonts w:ascii="Arial" w:cs="Arial" w:eastAsia="Arial" w:hAnsi="Arial"/>
                <w:sz w:val="16"/>
                <w:szCs w:val="16"/>
                <w:color w:val="auto"/>
              </w:rPr>
              <w:t>DSV Options</w:t>
            </w:r>
            <w:r>
              <w:rPr>
                <w:rFonts w:ascii="Arial" w:cs="Arial" w:eastAsia="Arial" w:hAnsi="Arial"/>
                <w:sz w:val="26"/>
                <w:szCs w:val="26"/>
                <w:color w:val="auto"/>
                <w:vertAlign w:val="superscript"/>
              </w:rPr>
              <w:t>(1)</w:t>
            </w:r>
          </w:p>
        </w:tc>
        <w:tc>
          <w:tcPr>
            <w:tcW w:w="6040" w:type="dxa"/>
            <w:vAlign w:val="bottom"/>
            <w:tcBorders>
              <w:bottom w:val="single" w:sz="8" w:color="08228B"/>
            </w:tcBorders>
          </w:tcPr>
          <w:p>
            <w:pPr>
              <w:ind w:left="260"/>
              <w:spacing w:after="0"/>
              <w:rPr>
                <w:sz w:val="20"/>
                <w:szCs w:val="20"/>
                <w:color w:val="auto"/>
              </w:rPr>
            </w:pPr>
            <w:r>
              <w:rPr>
                <w:rFonts w:ascii="Arial" w:cs="Arial" w:eastAsia="Arial" w:hAnsi="Arial"/>
                <w:sz w:val="16"/>
                <w:szCs w:val="16"/>
                <w:color w:val="auto"/>
              </w:rPr>
              <w:t>Performance to Stock Price and TSR Against OEM Peer Group</w:t>
            </w:r>
          </w:p>
        </w:tc>
        <w:tc>
          <w:tcPr>
            <w:tcW w:w="1540" w:type="dxa"/>
            <w:vAlign w:val="bottom"/>
            <w:tcBorders>
              <w:bottom w:val="single" w:sz="8" w:color="08228B"/>
            </w:tcBorders>
          </w:tcPr>
          <w:p>
            <w:pPr>
              <w:jc w:val="right"/>
              <w:ind w:right="1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08228B"/>
            </w:tcBorders>
          </w:tcPr>
          <w:p>
            <w:pPr>
              <w:jc w:val="right"/>
              <w:ind w:right="19"/>
              <w:spacing w:after="0"/>
              <w:rPr>
                <w:sz w:val="20"/>
                <w:szCs w:val="20"/>
                <w:color w:val="auto"/>
              </w:rPr>
            </w:pPr>
            <w:r>
              <w:rPr>
                <w:rFonts w:ascii="Arial" w:cs="Arial" w:eastAsia="Arial" w:hAnsi="Arial"/>
                <w:sz w:val="16"/>
                <w:szCs w:val="16"/>
                <w:color w:val="auto"/>
              </w:rPr>
              <w:t>4,187,636</w:t>
            </w:r>
          </w:p>
        </w:tc>
      </w:tr>
      <w:tr>
        <w:trPr>
          <w:trHeight w:val="196"/>
        </w:trPr>
        <w:tc>
          <w:tcPr>
            <w:tcW w:w="20" w:type="dxa"/>
            <w:vAlign w:val="bottom"/>
            <w:tcBorders>
              <w:bottom w:val="single" w:sz="8" w:color="08228B"/>
            </w:tcBorders>
          </w:tcPr>
          <w:p>
            <w:pPr>
              <w:spacing w:after="0"/>
              <w:rPr>
                <w:sz w:val="17"/>
                <w:szCs w:val="17"/>
                <w:color w:val="auto"/>
              </w:rPr>
            </w:pPr>
          </w:p>
        </w:tc>
        <w:tc>
          <w:tcPr>
            <w:tcW w:w="8260" w:type="dxa"/>
            <w:vAlign w:val="bottom"/>
            <w:tcBorders>
              <w:bottom w:val="single" w:sz="8" w:color="08228B"/>
            </w:tcBorders>
            <w:gridSpan w:val="2"/>
          </w:tcPr>
          <w:p>
            <w:pPr>
              <w:spacing w:after="0"/>
              <w:rPr>
                <w:sz w:val="20"/>
                <w:szCs w:val="20"/>
                <w:color w:val="auto"/>
              </w:rPr>
            </w:pPr>
            <w:r>
              <w:rPr>
                <w:rFonts w:ascii="Arial" w:cs="Arial" w:eastAsia="Arial" w:hAnsi="Arial"/>
                <w:sz w:val="16"/>
                <w:szCs w:val="16"/>
                <w:b w:val="1"/>
                <w:bCs w:val="1"/>
                <w:color w:val="08228B"/>
              </w:rPr>
              <w:t>TOTAL WITH ONE-TIME AWARDS</w:t>
            </w:r>
          </w:p>
        </w:tc>
        <w:tc>
          <w:tcPr>
            <w:tcW w:w="1540" w:type="dxa"/>
            <w:vAlign w:val="bottom"/>
            <w:tcBorders>
              <w:bottom w:val="single" w:sz="8" w:color="08228B"/>
            </w:tcBorders>
          </w:tcPr>
          <w:p>
            <w:pPr>
              <w:jc w:val="right"/>
              <w:ind w:right="139"/>
              <w:spacing w:after="0"/>
              <w:rPr>
                <w:sz w:val="20"/>
                <w:szCs w:val="20"/>
                <w:color w:val="auto"/>
              </w:rPr>
            </w:pPr>
            <w:r>
              <w:rPr>
                <w:rFonts w:ascii="Arial" w:cs="Arial" w:eastAsia="Arial" w:hAnsi="Arial"/>
                <w:sz w:val="16"/>
                <w:szCs w:val="16"/>
                <w:b w:val="1"/>
                <w:bCs w:val="1"/>
                <w:color w:val="08228B"/>
              </w:rPr>
              <w:t>$</w:t>
            </w:r>
          </w:p>
        </w:tc>
        <w:tc>
          <w:tcPr>
            <w:tcW w:w="1480" w:type="dxa"/>
            <w:vAlign w:val="bottom"/>
            <w:tcBorders>
              <w:bottom w:val="single" w:sz="8" w:color="08228B"/>
            </w:tcBorders>
          </w:tcPr>
          <w:p>
            <w:pPr>
              <w:jc w:val="right"/>
              <w:ind w:right="19"/>
              <w:spacing w:after="0"/>
              <w:rPr>
                <w:sz w:val="20"/>
                <w:szCs w:val="20"/>
                <w:color w:val="auto"/>
              </w:rPr>
            </w:pPr>
            <w:r>
              <w:rPr>
                <w:rFonts w:ascii="Arial" w:cs="Arial" w:eastAsia="Arial" w:hAnsi="Arial"/>
                <w:sz w:val="16"/>
                <w:szCs w:val="16"/>
                <w:b w:val="1"/>
                <w:bCs w:val="1"/>
                <w:color w:val="08228B"/>
              </w:rPr>
              <w:t>11,537,657</w:t>
            </w:r>
          </w:p>
        </w:tc>
      </w:tr>
    </w:tbl>
    <w:p>
      <w:pPr>
        <w:spacing w:after="0" w:line="58" w:lineRule="exact"/>
        <w:rPr>
          <w:sz w:val="20"/>
          <w:szCs w:val="20"/>
          <w:color w:val="auto"/>
        </w:rPr>
      </w:pPr>
    </w:p>
    <w:p>
      <w:pPr>
        <w:ind w:left="340" w:hanging="332"/>
        <w:spacing w:after="0"/>
        <w:tabs>
          <w:tab w:leader="none" w:pos="340" w:val="left"/>
        </w:tabs>
        <w:numPr>
          <w:ilvl w:val="0"/>
          <w:numId w:val="76"/>
        </w:numPr>
        <w:rPr>
          <w:rFonts w:ascii="Arial" w:cs="Arial" w:eastAsia="Arial" w:hAnsi="Arial"/>
          <w:sz w:val="14"/>
          <w:szCs w:val="14"/>
          <w:i w:val="1"/>
          <w:iCs w:val="1"/>
          <w:color w:val="auto"/>
        </w:rPr>
      </w:pPr>
      <w:r>
        <w:rPr>
          <w:rFonts w:ascii="Arial" w:cs="Arial" w:eastAsia="Arial" w:hAnsi="Arial"/>
          <w:sz w:val="14"/>
          <w:szCs w:val="14"/>
          <w:i w:val="1"/>
          <w:iCs w:val="1"/>
          <w:color w:val="auto"/>
        </w:rPr>
        <w:t>PSUs and DSV Options are subject to performance vesting, and not all awards may vest as displayed.</w:t>
      </w:r>
    </w:p>
    <w:p>
      <w:pPr>
        <w:spacing w:after="0" w:line="15" w:lineRule="exact"/>
        <w:rPr>
          <w:rFonts w:ascii="Arial" w:cs="Arial" w:eastAsia="Arial" w:hAnsi="Arial"/>
          <w:sz w:val="14"/>
          <w:szCs w:val="14"/>
          <w:i w:val="1"/>
          <w:iCs w:val="1"/>
          <w:color w:val="auto"/>
        </w:rPr>
      </w:pPr>
    </w:p>
    <w:p>
      <w:pPr>
        <w:ind w:left="340" w:hanging="332"/>
        <w:spacing w:after="0"/>
        <w:tabs>
          <w:tab w:leader="none" w:pos="340" w:val="left"/>
        </w:tabs>
        <w:numPr>
          <w:ilvl w:val="0"/>
          <w:numId w:val="76"/>
        </w:numPr>
        <w:rPr>
          <w:rFonts w:ascii="Arial" w:cs="Arial" w:eastAsia="Arial" w:hAnsi="Arial"/>
          <w:sz w:val="14"/>
          <w:szCs w:val="14"/>
          <w:i w:val="1"/>
          <w:iCs w:val="1"/>
          <w:color w:val="auto"/>
        </w:rPr>
      </w:pPr>
      <w:r>
        <w:rPr>
          <w:rFonts w:ascii="Arial" w:cs="Arial" w:eastAsia="Arial" w:hAnsi="Arial"/>
          <w:sz w:val="14"/>
          <w:szCs w:val="14"/>
          <w:i w:val="1"/>
          <w:iCs w:val="1"/>
          <w:color w:val="auto"/>
        </w:rPr>
        <w:t>RSUs are subject to time-based 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69150" cy="1714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13"/>
        </w:trPr>
        <w:tc>
          <w:tcPr>
            <w:tcW w:w="4340" w:type="dxa"/>
            <w:vAlign w:val="bottom"/>
            <w:tcBorders>
              <w:bottom w:val="single" w:sz="8" w:color="08228B"/>
            </w:tcBorders>
          </w:tcPr>
          <w:p>
            <w:pPr>
              <w:spacing w:after="0"/>
              <w:rPr>
                <w:sz w:val="9"/>
                <w:szCs w:val="9"/>
                <w:color w:val="auto"/>
              </w:rPr>
            </w:pPr>
          </w:p>
        </w:tc>
        <w:tc>
          <w:tcPr>
            <w:tcW w:w="2060" w:type="dxa"/>
            <w:vAlign w:val="bottom"/>
            <w:vMerge w:val="restart"/>
          </w:tcPr>
          <w:p>
            <w:pPr>
              <w:ind w:left="60"/>
              <w:spacing w:after="0"/>
              <w:rPr>
                <w:sz w:val="20"/>
                <w:szCs w:val="20"/>
                <w:color w:val="auto"/>
              </w:rPr>
            </w:pPr>
            <w:r>
              <w:rPr>
                <w:rFonts w:ascii="Arial" w:cs="Arial" w:eastAsia="Arial" w:hAnsi="Arial"/>
                <w:sz w:val="16"/>
                <w:szCs w:val="16"/>
                <w:b w:val="1"/>
                <w:bCs w:val="1"/>
                <w:color w:val="1C90D3"/>
              </w:rPr>
              <w:t xml:space="preserve">2016 </w:t>
            </w:r>
            <w:r>
              <w:rPr>
                <w:rFonts w:ascii="Arial" w:cs="Arial" w:eastAsia="Arial" w:hAnsi="Arial"/>
                <w:sz w:val="16"/>
                <w:szCs w:val="16"/>
                <w:color w:val="08228B"/>
              </w:rPr>
              <w:t>PROXY STATEMENT</w:t>
            </w:r>
          </w:p>
        </w:tc>
        <w:tc>
          <w:tcPr>
            <w:tcW w:w="2400" w:type="dxa"/>
            <w:vAlign w:val="bottom"/>
            <w:tcBorders>
              <w:bottom w:val="single" w:sz="8" w:color="08228B"/>
            </w:tcBorders>
          </w:tcPr>
          <w:p>
            <w:pPr>
              <w:spacing w:after="0"/>
              <w:rPr>
                <w:sz w:val="9"/>
                <w:szCs w:val="9"/>
                <w:color w:val="auto"/>
              </w:rPr>
            </w:pPr>
          </w:p>
        </w:tc>
        <w:tc>
          <w:tcPr>
            <w:tcW w:w="2620" w:type="dxa"/>
            <w:vAlign w:val="bottom"/>
            <w:vMerge w:val="restart"/>
          </w:tcPr>
          <w:p>
            <w:pPr>
              <w:jc w:val="right"/>
              <w:ind w:right="39"/>
              <w:spacing w:after="0"/>
              <w:rPr>
                <w:sz w:val="20"/>
                <w:szCs w:val="20"/>
                <w:color w:val="auto"/>
              </w:rPr>
            </w:pPr>
            <w:r>
              <w:rPr>
                <w:rFonts w:ascii="Arial" w:cs="Arial" w:eastAsia="Arial" w:hAnsi="Arial"/>
                <w:sz w:val="16"/>
                <w:szCs w:val="16"/>
                <w:color w:val="08228B"/>
              </w:rPr>
              <w:t>49</w:t>
            </w:r>
          </w:p>
        </w:tc>
        <w:tc>
          <w:tcPr>
            <w:tcW w:w="0" w:type="dxa"/>
            <w:vAlign w:val="bottom"/>
          </w:tcPr>
          <w:p>
            <w:pPr>
              <w:spacing w:after="0"/>
              <w:rPr>
                <w:sz w:val="1"/>
                <w:szCs w:val="1"/>
                <w:color w:val="auto"/>
              </w:rPr>
            </w:pPr>
          </w:p>
        </w:tc>
      </w:tr>
      <w:tr>
        <w:trPr>
          <w:trHeight w:val="82"/>
        </w:trPr>
        <w:tc>
          <w:tcPr>
            <w:tcW w:w="4340" w:type="dxa"/>
            <w:vAlign w:val="bottom"/>
          </w:tcPr>
          <w:p>
            <w:pPr>
              <w:spacing w:after="0"/>
              <w:rPr>
                <w:sz w:val="7"/>
                <w:szCs w:val="7"/>
                <w:color w:val="auto"/>
              </w:rPr>
            </w:pPr>
          </w:p>
        </w:tc>
        <w:tc>
          <w:tcPr>
            <w:tcW w:w="2060" w:type="dxa"/>
            <w:vAlign w:val="bottom"/>
            <w:vMerge w:val="continue"/>
          </w:tcPr>
          <w:p>
            <w:pPr>
              <w:spacing w:after="0"/>
              <w:rPr>
                <w:sz w:val="7"/>
                <w:szCs w:val="7"/>
                <w:color w:val="auto"/>
              </w:rPr>
            </w:pPr>
          </w:p>
        </w:tc>
        <w:tc>
          <w:tcPr>
            <w:tcW w:w="2400" w:type="dxa"/>
            <w:vAlign w:val="bottom"/>
          </w:tcPr>
          <w:p>
            <w:pPr>
              <w:spacing w:after="0"/>
              <w:rPr>
                <w:sz w:val="7"/>
                <w:szCs w:val="7"/>
                <w:color w:val="auto"/>
              </w:rPr>
            </w:pPr>
          </w:p>
        </w:tc>
        <w:tc>
          <w:tcPr>
            <w:tcW w:w="2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7"/>
        </w:trPr>
        <w:tc>
          <w:tcPr>
            <w:tcW w:w="4340" w:type="dxa"/>
            <w:vAlign w:val="bottom"/>
            <w:tcBorders>
              <w:bottom w:val="single" w:sz="8" w:color="C0C0C0"/>
            </w:tcBorders>
          </w:tcPr>
          <w:p>
            <w:pPr>
              <w:spacing w:after="0"/>
              <w:rPr>
                <w:sz w:val="24"/>
                <w:szCs w:val="24"/>
                <w:color w:val="auto"/>
              </w:rPr>
            </w:pPr>
          </w:p>
        </w:tc>
        <w:tc>
          <w:tcPr>
            <w:tcW w:w="2060" w:type="dxa"/>
            <w:vAlign w:val="bottom"/>
            <w:tcBorders>
              <w:bottom w:val="single" w:sz="8" w:color="C0C0C0"/>
            </w:tcBorders>
          </w:tcPr>
          <w:p>
            <w:pPr>
              <w:spacing w:after="0"/>
              <w:rPr>
                <w:sz w:val="24"/>
                <w:szCs w:val="24"/>
                <w:color w:val="auto"/>
              </w:rPr>
            </w:pPr>
          </w:p>
        </w:tc>
        <w:tc>
          <w:tcPr>
            <w:tcW w:w="2400" w:type="dxa"/>
            <w:vAlign w:val="bottom"/>
            <w:tcBorders>
              <w:bottom w:val="single" w:sz="8" w:color="C0C0C0"/>
            </w:tcBorders>
          </w:tcPr>
          <w:p>
            <w:pPr>
              <w:spacing w:after="0"/>
              <w:rPr>
                <w:sz w:val="24"/>
                <w:szCs w:val="24"/>
                <w:color w:val="auto"/>
              </w:rPr>
            </w:pPr>
          </w:p>
        </w:tc>
        <w:tc>
          <w:tcPr>
            <w:tcW w:w="262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5613400</wp:posOffset>
            </wp:positionH>
            <wp:positionV relativeFrom="paragraph">
              <wp:posOffset>-334010</wp:posOffset>
            </wp:positionV>
            <wp:extent cx="1286510" cy="8572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1286510" cy="8572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Back to Contents</w:t>
        </w:r>
      </w:hyperlink>
    </w:p>
    <w:p>
      <w:pPr>
        <w:spacing w:after="0" w:line="196" w:lineRule="exact"/>
        <w:rPr>
          <w:sz w:val="20"/>
          <w:szCs w:val="20"/>
          <w:color w:val="auto"/>
        </w:rPr>
      </w:pPr>
    </w:p>
    <w:p>
      <w:pPr>
        <w:ind w:left="500" w:hanging="492"/>
        <w:spacing w:after="0"/>
        <w:tabs>
          <w:tab w:leader="none" w:pos="500" w:val="left"/>
        </w:tabs>
        <w:numPr>
          <w:ilvl w:val="0"/>
          <w:numId w:val="77"/>
        </w:numPr>
        <w:rPr>
          <w:rFonts w:ascii="Arial" w:cs="Arial" w:eastAsia="Arial" w:hAnsi="Arial"/>
          <w:sz w:val="25"/>
          <w:szCs w:val="25"/>
          <w:color w:val="08228B"/>
        </w:rPr>
      </w:pPr>
      <w:r>
        <w:rPr>
          <w:rFonts w:ascii="Arial" w:cs="Arial" w:eastAsia="Arial" w:hAnsi="Arial"/>
          <w:sz w:val="25"/>
          <w:szCs w:val="25"/>
          <w:color w:val="auto"/>
        </w:rPr>
        <w:t>Compensation Decisions for Mark L. Reuss</w:t>
      </w:r>
    </w:p>
    <w:p>
      <w:pPr>
        <w:spacing w:after="0" w:line="301" w:lineRule="exact"/>
        <w:rPr>
          <w:sz w:val="20"/>
          <w:szCs w:val="20"/>
          <w:color w:val="auto"/>
        </w:rPr>
      </w:pPr>
    </w:p>
    <w:p>
      <w:pPr>
        <w:spacing w:after="0"/>
        <w:rPr>
          <w:sz w:val="20"/>
          <w:szCs w:val="20"/>
          <w:color w:val="auto"/>
        </w:rPr>
      </w:pPr>
      <w:r>
        <w:rPr>
          <w:rFonts w:ascii="Arial" w:cs="Arial" w:eastAsia="Arial" w:hAnsi="Arial"/>
          <w:sz w:val="16"/>
          <w:szCs w:val="16"/>
          <w:b w:val="1"/>
          <w:bCs w:val="1"/>
          <w:color w:val="08228B"/>
        </w:rPr>
        <w:t xml:space="preserve">Mark L. Reuss, </w:t>
      </w:r>
      <w:r>
        <w:rPr>
          <w:rFonts w:ascii="Arial" w:cs="Arial" w:eastAsia="Arial" w:hAnsi="Arial"/>
          <w:sz w:val="16"/>
          <w:szCs w:val="16"/>
          <w:b w:val="1"/>
          <w:bCs w:val="1"/>
          <w:color w:val="000000"/>
        </w:rPr>
        <w:t>Executive Vice President, Global Product Development, Purchasing and Supply Chain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69150" cy="97790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169150" cy="977900"/>
                    </a:xfrm>
                    <a:prstGeom prst="rect">
                      <a:avLst/>
                    </a:prstGeom>
                    <a:noFill/>
                  </pic:spPr>
                </pic:pic>
              </a:graphicData>
            </a:graphic>
          </wp:anchor>
        </w:drawing>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Mr. Reuss met several objectives for 2015 performance against his goals including:</w:t>
      </w:r>
    </w:p>
    <w:p>
      <w:pPr>
        <w:spacing w:after="0" w:line="194" w:lineRule="exact"/>
        <w:rPr>
          <w:sz w:val="20"/>
          <w:szCs w:val="20"/>
          <w:color w:val="auto"/>
        </w:rPr>
      </w:pPr>
    </w:p>
    <w:p>
      <w:pPr>
        <w:ind w:left="300" w:hanging="256"/>
        <w:spacing w:after="0"/>
        <w:tabs>
          <w:tab w:leader="none" w:pos="300" w:val="left"/>
        </w:tabs>
        <w:numPr>
          <w:ilvl w:val="0"/>
          <w:numId w:val="78"/>
        </w:numPr>
        <w:rPr>
          <w:rFonts w:ascii="Arial" w:cs="Arial" w:eastAsia="Arial" w:hAnsi="Arial"/>
          <w:sz w:val="16"/>
          <w:szCs w:val="16"/>
          <w:color w:val="08228B"/>
        </w:rPr>
      </w:pPr>
      <w:r>
        <w:rPr>
          <w:rFonts w:ascii="Arial" w:cs="Arial" w:eastAsia="Arial" w:hAnsi="Arial"/>
          <w:sz w:val="16"/>
          <w:szCs w:val="16"/>
          <w:color w:val="auto"/>
        </w:rPr>
        <w:t>Delivered an increased focus on customer safety, resulting in GM being publically recognized by NHTSA as the model company for others to follow.</w:t>
      </w:r>
    </w:p>
    <w:p>
      <w:pPr>
        <w:spacing w:after="0" w:line="5" w:lineRule="exact"/>
        <w:rPr>
          <w:rFonts w:ascii="Arial" w:cs="Arial" w:eastAsia="Arial" w:hAnsi="Arial"/>
          <w:sz w:val="16"/>
          <w:szCs w:val="16"/>
          <w:color w:val="08228B"/>
        </w:rPr>
      </w:pPr>
    </w:p>
    <w:p>
      <w:pPr>
        <w:ind w:left="300" w:right="160" w:hanging="256"/>
        <w:spacing w:after="0" w:line="246" w:lineRule="auto"/>
        <w:tabs>
          <w:tab w:leader="none" w:pos="298" w:val="left"/>
        </w:tabs>
        <w:numPr>
          <w:ilvl w:val="0"/>
          <w:numId w:val="78"/>
        </w:numPr>
        <w:rPr>
          <w:rFonts w:ascii="Arial" w:cs="Arial" w:eastAsia="Arial" w:hAnsi="Arial"/>
          <w:sz w:val="16"/>
          <w:szCs w:val="16"/>
          <w:color w:val="08228B"/>
        </w:rPr>
      </w:pPr>
      <w:r>
        <w:rPr>
          <w:rFonts w:ascii="Arial" w:cs="Arial" w:eastAsia="Arial" w:hAnsi="Arial"/>
          <w:sz w:val="16"/>
          <w:szCs w:val="16"/>
          <w:color w:val="auto"/>
        </w:rPr>
        <w:t>Awarded numerous product awards, including Motor Trend Car of the Year for the 2016 Chevrolet Malibu and Motor Trend Truck of the Year for the 2016 Chevrolet Colorado.</w:t>
      </w:r>
    </w:p>
    <w:p>
      <w:pPr>
        <w:ind w:left="300" w:hanging="256"/>
        <w:spacing w:after="0"/>
        <w:tabs>
          <w:tab w:leader="none" w:pos="300" w:val="left"/>
        </w:tabs>
        <w:numPr>
          <w:ilvl w:val="0"/>
          <w:numId w:val="78"/>
        </w:numPr>
        <w:rPr>
          <w:rFonts w:ascii="Arial" w:cs="Arial" w:eastAsia="Arial" w:hAnsi="Arial"/>
          <w:sz w:val="16"/>
          <w:szCs w:val="16"/>
          <w:color w:val="08228B"/>
        </w:rPr>
      </w:pPr>
      <w:r>
        <w:rPr>
          <w:rFonts w:ascii="Arial" w:cs="Arial" w:eastAsia="Arial" w:hAnsi="Arial"/>
          <w:sz w:val="16"/>
          <w:szCs w:val="16"/>
          <w:color w:val="auto"/>
        </w:rPr>
        <w:t>Increased the use of technology across GM’s product portfolio.</w:t>
      </w:r>
    </w:p>
    <w:p>
      <w:pPr>
        <w:spacing w:after="0" w:line="5" w:lineRule="exact"/>
        <w:rPr>
          <w:rFonts w:ascii="Arial" w:cs="Arial" w:eastAsia="Arial" w:hAnsi="Arial"/>
          <w:sz w:val="16"/>
          <w:szCs w:val="16"/>
          <w:color w:val="08228B"/>
        </w:rPr>
      </w:pPr>
    </w:p>
    <w:p>
      <w:pPr>
        <w:ind w:left="300" w:hanging="256"/>
        <w:spacing w:after="0"/>
        <w:tabs>
          <w:tab w:leader="none" w:pos="300" w:val="left"/>
        </w:tabs>
        <w:numPr>
          <w:ilvl w:val="0"/>
          <w:numId w:val="78"/>
        </w:numPr>
        <w:rPr>
          <w:rFonts w:ascii="Arial" w:cs="Arial" w:eastAsia="Arial" w:hAnsi="Arial"/>
          <w:sz w:val="16"/>
          <w:szCs w:val="16"/>
          <w:color w:val="08228B"/>
        </w:rPr>
      </w:pPr>
      <w:r>
        <w:rPr>
          <w:rFonts w:ascii="Arial" w:cs="Arial" w:eastAsia="Arial" w:hAnsi="Arial"/>
          <w:sz w:val="16"/>
          <w:szCs w:val="16"/>
          <w:color w:val="auto"/>
        </w:rPr>
        <w:t>Focused on new vehicle launches in partnership with manufacturing.</w:t>
      </w:r>
    </w:p>
    <w:p>
      <w:pPr>
        <w:spacing w:after="0" w:line="5" w:lineRule="exact"/>
        <w:rPr>
          <w:rFonts w:ascii="Arial" w:cs="Arial" w:eastAsia="Arial" w:hAnsi="Arial"/>
          <w:sz w:val="16"/>
          <w:szCs w:val="16"/>
          <w:color w:val="08228B"/>
        </w:rPr>
      </w:pPr>
    </w:p>
    <w:p>
      <w:pPr>
        <w:ind w:left="300" w:hanging="256"/>
        <w:spacing w:after="0"/>
        <w:tabs>
          <w:tab w:leader="none" w:pos="300" w:val="left"/>
        </w:tabs>
        <w:numPr>
          <w:ilvl w:val="0"/>
          <w:numId w:val="78"/>
        </w:numPr>
        <w:rPr>
          <w:rFonts w:ascii="Arial" w:cs="Arial" w:eastAsia="Arial" w:hAnsi="Arial"/>
          <w:sz w:val="16"/>
          <w:szCs w:val="16"/>
          <w:color w:val="08228B"/>
        </w:rPr>
      </w:pPr>
      <w:r>
        <w:rPr>
          <w:rFonts w:ascii="Arial" w:cs="Arial" w:eastAsia="Arial" w:hAnsi="Arial"/>
          <w:sz w:val="16"/>
          <w:szCs w:val="16"/>
          <w:color w:val="auto"/>
        </w:rPr>
        <w:t>Achieved realized savings in material costs and logistics in excess of $2 billion.</w:t>
      </w:r>
    </w:p>
    <w:p>
      <w:pPr>
        <w:spacing w:after="0" w:line="19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Effective January 1, 2015, the Compensation Committee increased Mr. Reuss’ base salary from $850,000 to $1,100,000 based on his individual performance and the competitive market analysis provided by the Compensation Committee’s independent compensation consultant. The Compensation Committee awarded Mr. Reuss an annual equity grant of $3.825 million, consisting of 75 percent PSUs and 25 percent RSUs. Mr. Reuss participated in the one-time DSV Option Grant in 2015.</w:t>
      </w:r>
    </w:p>
    <w:p>
      <w:pPr>
        <w:spacing w:after="0" w:line="17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Compensation Committee awarded an individual performance adjustment to the STIP payout of $140,000 for Mr. Reuss as a result of performance against goals. The total compensation for Mr. Reuss in 2015, including salary, bonus, STIP and LTIP awards, and options is displayed below.</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240" w:type="dxa"/>
            <w:vAlign w:val="bottom"/>
            <w:tcBorders>
              <w:top w:val="single" w:sz="8" w:color="1C90D3"/>
              <w:bottom w:val="single" w:sz="8" w:color="1C90D3"/>
            </w:tcBorders>
          </w:tcPr>
          <w:p>
            <w:pPr>
              <w:ind w:left="40"/>
              <w:spacing w:after="0"/>
              <w:rPr>
                <w:sz w:val="20"/>
                <w:szCs w:val="20"/>
                <w:color w:val="auto"/>
              </w:rPr>
            </w:pPr>
            <w:r>
              <w:rPr>
                <w:rFonts w:ascii="Arial" w:cs="Arial" w:eastAsia="Arial" w:hAnsi="Arial"/>
                <w:sz w:val="16"/>
                <w:szCs w:val="16"/>
                <w:b w:val="1"/>
                <w:bCs w:val="1"/>
                <w:color w:val="1C90D3"/>
              </w:rPr>
              <w:t>Pay Element</w:t>
            </w:r>
          </w:p>
        </w:tc>
        <w:tc>
          <w:tcPr>
            <w:tcW w:w="6040" w:type="dxa"/>
            <w:vAlign w:val="bottom"/>
            <w:tcBorders>
              <w:top w:val="single" w:sz="8" w:color="1C90D3"/>
              <w:bottom w:val="single" w:sz="8" w:color="1C90D3"/>
            </w:tcBorders>
          </w:tcPr>
          <w:p>
            <w:pPr>
              <w:ind w:left="260"/>
              <w:spacing w:after="0"/>
              <w:rPr>
                <w:sz w:val="20"/>
                <w:szCs w:val="20"/>
                <w:color w:val="auto"/>
              </w:rPr>
            </w:pPr>
            <w:r>
              <w:rPr>
                <w:rFonts w:ascii="Arial" w:cs="Arial" w:eastAsia="Arial" w:hAnsi="Arial"/>
                <w:sz w:val="16"/>
                <w:szCs w:val="16"/>
                <w:b w:val="1"/>
                <w:bCs w:val="1"/>
                <w:color w:val="1C90D3"/>
              </w:rPr>
              <w:t>Majority of Pay Is At-Risk</w:t>
            </w:r>
          </w:p>
        </w:tc>
        <w:tc>
          <w:tcPr>
            <w:tcW w:w="1540" w:type="dxa"/>
            <w:vAlign w:val="bottom"/>
            <w:tcBorders>
              <w:top w:val="single" w:sz="8" w:color="1C90D3"/>
              <w:bottom w:val="single" w:sz="8" w:color="1C90D3"/>
            </w:tcBorders>
          </w:tcPr>
          <w:p>
            <w:pPr>
              <w:spacing w:after="0"/>
              <w:rPr>
                <w:sz w:val="19"/>
                <w:szCs w:val="19"/>
                <w:color w:val="auto"/>
              </w:rPr>
            </w:pPr>
          </w:p>
        </w:tc>
        <w:tc>
          <w:tcPr>
            <w:tcW w:w="1480" w:type="dxa"/>
            <w:vAlign w:val="bottom"/>
            <w:tcBorders>
              <w:top w:val="single" w:sz="8" w:color="1C90D3"/>
              <w:bottom w:val="single" w:sz="8" w:color="1C90D3"/>
            </w:tcBorders>
          </w:tcPr>
          <w:p>
            <w:pPr>
              <w:jc w:val="right"/>
              <w:ind w:right="19"/>
              <w:spacing w:after="0"/>
              <w:rPr>
                <w:sz w:val="20"/>
                <w:szCs w:val="20"/>
                <w:color w:val="auto"/>
              </w:rPr>
            </w:pPr>
            <w:r>
              <w:rPr>
                <w:rFonts w:ascii="Arial" w:cs="Arial" w:eastAsia="Arial" w:hAnsi="Arial"/>
                <w:sz w:val="16"/>
                <w:szCs w:val="16"/>
                <w:b w:val="1"/>
                <w:bCs w:val="1"/>
                <w:color w:val="1C90D3"/>
              </w:rPr>
              <w:t>Awarded Value</w:t>
            </w:r>
          </w:p>
        </w:tc>
      </w:tr>
      <w:tr>
        <w:trPr>
          <w:trHeight w:val="189"/>
        </w:trPr>
        <w:tc>
          <w:tcPr>
            <w:tcW w:w="22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Base Salary</w:t>
            </w:r>
          </w:p>
        </w:tc>
        <w:tc>
          <w:tcPr>
            <w:tcW w:w="604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Fixed – Only Guaranteed Pay Element</w:t>
            </w:r>
          </w:p>
        </w:tc>
        <w:tc>
          <w:tcPr>
            <w:tcW w:w="15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1,100,000</w:t>
            </w:r>
          </w:p>
        </w:tc>
      </w:tr>
      <w:tr>
        <w:trPr>
          <w:trHeight w:val="183"/>
        </w:trPr>
        <w:tc>
          <w:tcPr>
            <w:tcW w:w="2240" w:type="dxa"/>
            <w:vAlign w:val="bottom"/>
            <w:tcBorders>
              <w:bottom w:val="single" w:sz="8" w:color="auto"/>
            </w:tcBorders>
          </w:tcPr>
          <w:p>
            <w:pPr>
              <w:ind w:left="40"/>
              <w:spacing w:after="0" w:line="183" w:lineRule="exact"/>
              <w:rPr>
                <w:sz w:val="20"/>
                <w:szCs w:val="20"/>
                <w:color w:val="auto"/>
              </w:rPr>
            </w:pPr>
            <w:r>
              <w:rPr>
                <w:rFonts w:ascii="Arial" w:cs="Arial" w:eastAsia="Arial" w:hAnsi="Arial"/>
                <w:sz w:val="16"/>
                <w:szCs w:val="16"/>
                <w:color w:val="auto"/>
              </w:rPr>
              <w:t>STIP</w:t>
            </w:r>
          </w:p>
        </w:tc>
        <w:tc>
          <w:tcPr>
            <w:tcW w:w="6040" w:type="dxa"/>
            <w:vAlign w:val="bottom"/>
            <w:tcBorders>
              <w:bottom w:val="single" w:sz="8" w:color="auto"/>
            </w:tcBorders>
          </w:tcPr>
          <w:p>
            <w:pPr>
              <w:ind w:left="260"/>
              <w:spacing w:after="0" w:line="183" w:lineRule="exact"/>
              <w:rPr>
                <w:sz w:val="20"/>
                <w:szCs w:val="20"/>
                <w:color w:val="auto"/>
              </w:rPr>
            </w:pPr>
            <w:r>
              <w:rPr>
                <w:rFonts w:ascii="Arial" w:cs="Arial" w:eastAsia="Arial" w:hAnsi="Arial"/>
                <w:sz w:val="16"/>
                <w:szCs w:val="16"/>
                <w:color w:val="auto"/>
              </w:rPr>
              <w:t>Performance to Metrics</w:t>
            </w:r>
          </w:p>
        </w:tc>
        <w:tc>
          <w:tcPr>
            <w:tcW w:w="1540" w:type="dxa"/>
            <w:vAlign w:val="bottom"/>
            <w:tcBorders>
              <w:bottom w:val="single" w:sz="8" w:color="auto"/>
            </w:tcBorders>
          </w:tcPr>
          <w:p>
            <w:pPr>
              <w:jc w:val="right"/>
              <w:ind w:right="139"/>
              <w:spacing w:after="0" w:line="183" w:lineRule="exact"/>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1,375,000</w:t>
            </w:r>
          </w:p>
        </w:tc>
      </w:tr>
      <w:tr>
        <w:trPr>
          <w:trHeight w:val="183"/>
        </w:trPr>
        <w:tc>
          <w:tcPr>
            <w:tcW w:w="2240" w:type="dxa"/>
            <w:vAlign w:val="bottom"/>
            <w:tcBorders>
              <w:bottom w:val="single" w:sz="8" w:color="auto"/>
            </w:tcBorders>
          </w:tcPr>
          <w:p>
            <w:pPr>
              <w:ind w:left="40"/>
              <w:spacing w:after="0" w:line="183" w:lineRule="exact"/>
              <w:rPr>
                <w:sz w:val="20"/>
                <w:szCs w:val="20"/>
                <w:color w:val="auto"/>
              </w:rPr>
            </w:pPr>
            <w:r>
              <w:rPr>
                <w:rFonts w:ascii="Arial" w:cs="Arial" w:eastAsia="Arial" w:hAnsi="Arial"/>
                <w:sz w:val="16"/>
                <w:szCs w:val="16"/>
                <w:color w:val="auto"/>
              </w:rPr>
              <w:t>STIP Individual Adjustment</w:t>
            </w:r>
          </w:p>
        </w:tc>
        <w:tc>
          <w:tcPr>
            <w:tcW w:w="6040" w:type="dxa"/>
            <w:vAlign w:val="bottom"/>
            <w:tcBorders>
              <w:bottom w:val="single" w:sz="8" w:color="auto"/>
            </w:tcBorders>
          </w:tcPr>
          <w:p>
            <w:pPr>
              <w:ind w:left="260"/>
              <w:spacing w:after="0" w:line="183" w:lineRule="exact"/>
              <w:rPr>
                <w:sz w:val="20"/>
                <w:szCs w:val="20"/>
                <w:color w:val="auto"/>
              </w:rPr>
            </w:pPr>
            <w:r>
              <w:rPr>
                <w:rFonts w:ascii="Arial" w:cs="Arial" w:eastAsia="Arial" w:hAnsi="Arial"/>
                <w:sz w:val="16"/>
                <w:szCs w:val="16"/>
                <w:color w:val="auto"/>
              </w:rPr>
              <w:t>Performance – Based on Individual Results</w:t>
            </w:r>
          </w:p>
        </w:tc>
        <w:tc>
          <w:tcPr>
            <w:tcW w:w="1540" w:type="dxa"/>
            <w:vAlign w:val="bottom"/>
            <w:tcBorders>
              <w:bottom w:val="single" w:sz="8" w:color="auto"/>
            </w:tcBorders>
          </w:tcPr>
          <w:p>
            <w:pPr>
              <w:jc w:val="right"/>
              <w:ind w:right="139"/>
              <w:spacing w:after="0" w:line="183" w:lineRule="exact"/>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140,000</w:t>
            </w:r>
          </w:p>
        </w:tc>
      </w:tr>
      <w:tr>
        <w:trPr>
          <w:trHeight w:val="223"/>
        </w:trPr>
        <w:tc>
          <w:tcPr>
            <w:tcW w:w="2240" w:type="dxa"/>
            <w:vAlign w:val="bottom"/>
            <w:tcBorders>
              <w:bottom w:val="single" w:sz="8" w:color="auto"/>
            </w:tcBorders>
          </w:tcPr>
          <w:p>
            <w:pPr>
              <w:ind w:left="40"/>
              <w:spacing w:after="0" w:line="223" w:lineRule="exact"/>
              <w:rPr>
                <w:sz w:val="20"/>
                <w:szCs w:val="20"/>
                <w:color w:val="auto"/>
              </w:rPr>
            </w:pPr>
            <w:r>
              <w:rPr>
                <w:rFonts w:ascii="Arial" w:cs="Arial" w:eastAsia="Arial" w:hAnsi="Arial"/>
                <w:sz w:val="15"/>
                <w:szCs w:val="15"/>
                <w:color w:val="auto"/>
              </w:rPr>
              <w:t>PSUs</w:t>
            </w:r>
            <w:r>
              <w:rPr>
                <w:rFonts w:ascii="Arial" w:cs="Arial" w:eastAsia="Arial" w:hAnsi="Arial"/>
                <w:sz w:val="25"/>
                <w:szCs w:val="25"/>
                <w:color w:val="auto"/>
                <w:vertAlign w:val="superscript"/>
              </w:rPr>
              <w:t>(1)</w:t>
            </w:r>
          </w:p>
        </w:tc>
        <w:tc>
          <w:tcPr>
            <w:tcW w:w="604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Performance to Metrics and Stock Price</w:t>
            </w:r>
          </w:p>
        </w:tc>
        <w:tc>
          <w:tcPr>
            <w:tcW w:w="15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2,868,759</w:t>
            </w:r>
          </w:p>
        </w:tc>
      </w:tr>
      <w:tr>
        <w:trPr>
          <w:trHeight w:val="230"/>
        </w:trPr>
        <w:tc>
          <w:tcPr>
            <w:tcW w:w="2240" w:type="dxa"/>
            <w:vAlign w:val="bottom"/>
            <w:tcBorders>
              <w:bottom w:val="single" w:sz="8" w:color="08228B"/>
            </w:tcBorders>
          </w:tcPr>
          <w:p>
            <w:pPr>
              <w:ind w:left="40"/>
              <w:spacing w:after="0" w:line="223" w:lineRule="exact"/>
              <w:rPr>
                <w:sz w:val="20"/>
                <w:szCs w:val="20"/>
                <w:color w:val="auto"/>
              </w:rPr>
            </w:pPr>
            <w:r>
              <w:rPr>
                <w:rFonts w:ascii="Arial" w:cs="Arial" w:eastAsia="Arial" w:hAnsi="Arial"/>
                <w:sz w:val="15"/>
                <w:szCs w:val="15"/>
                <w:color w:val="auto"/>
              </w:rPr>
              <w:t>RSUs</w:t>
            </w:r>
            <w:r>
              <w:rPr>
                <w:rFonts w:ascii="Arial" w:cs="Arial" w:eastAsia="Arial" w:hAnsi="Arial"/>
                <w:sz w:val="25"/>
                <w:szCs w:val="25"/>
                <w:color w:val="auto"/>
                <w:vertAlign w:val="superscript"/>
              </w:rPr>
              <w:t>(2)</w:t>
            </w:r>
          </w:p>
        </w:tc>
        <w:tc>
          <w:tcPr>
            <w:tcW w:w="6040" w:type="dxa"/>
            <w:vAlign w:val="bottom"/>
            <w:tcBorders>
              <w:bottom w:val="single" w:sz="8" w:color="08228B"/>
            </w:tcBorders>
          </w:tcPr>
          <w:p>
            <w:pPr>
              <w:ind w:left="260"/>
              <w:spacing w:after="0"/>
              <w:rPr>
                <w:sz w:val="20"/>
                <w:szCs w:val="20"/>
                <w:color w:val="auto"/>
              </w:rPr>
            </w:pPr>
            <w:r>
              <w:rPr>
                <w:rFonts w:ascii="Arial" w:cs="Arial" w:eastAsia="Arial" w:hAnsi="Arial"/>
                <w:sz w:val="16"/>
                <w:szCs w:val="16"/>
                <w:color w:val="auto"/>
              </w:rPr>
              <w:t>Performance to Stock Price</w:t>
            </w:r>
          </w:p>
        </w:tc>
        <w:tc>
          <w:tcPr>
            <w:tcW w:w="1540" w:type="dxa"/>
            <w:vAlign w:val="bottom"/>
            <w:tcBorders>
              <w:bottom w:val="single" w:sz="8" w:color="08228B"/>
            </w:tcBorders>
          </w:tcPr>
          <w:p>
            <w:pPr>
              <w:jc w:val="right"/>
              <w:ind w:right="1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08228B"/>
            </w:tcBorders>
          </w:tcPr>
          <w:p>
            <w:pPr>
              <w:jc w:val="right"/>
              <w:ind w:right="19"/>
              <w:spacing w:after="0"/>
              <w:rPr>
                <w:sz w:val="20"/>
                <w:szCs w:val="20"/>
                <w:color w:val="auto"/>
              </w:rPr>
            </w:pPr>
            <w:r>
              <w:rPr>
                <w:rFonts w:ascii="Arial" w:cs="Arial" w:eastAsia="Arial" w:hAnsi="Arial"/>
                <w:sz w:val="16"/>
                <w:szCs w:val="16"/>
                <w:color w:val="auto"/>
              </w:rPr>
              <w:t>956,253</w:t>
            </w:r>
          </w:p>
        </w:tc>
      </w:tr>
      <w:tr>
        <w:trPr>
          <w:trHeight w:val="196"/>
        </w:trPr>
        <w:tc>
          <w:tcPr>
            <w:tcW w:w="2240" w:type="dxa"/>
            <w:vAlign w:val="bottom"/>
            <w:tcBorders>
              <w:bottom w:val="single" w:sz="8" w:color="08228B"/>
            </w:tcBorders>
          </w:tcPr>
          <w:p>
            <w:pPr>
              <w:ind w:left="40"/>
              <w:spacing w:after="0"/>
              <w:rPr>
                <w:sz w:val="20"/>
                <w:szCs w:val="20"/>
                <w:color w:val="auto"/>
              </w:rPr>
            </w:pPr>
            <w:r>
              <w:rPr>
                <w:rFonts w:ascii="Arial" w:cs="Arial" w:eastAsia="Arial" w:hAnsi="Arial"/>
                <w:sz w:val="16"/>
                <w:szCs w:val="16"/>
                <w:b w:val="1"/>
                <w:bCs w:val="1"/>
                <w:color w:val="08228B"/>
              </w:rPr>
              <w:t>TOTAL</w:t>
            </w:r>
          </w:p>
        </w:tc>
        <w:tc>
          <w:tcPr>
            <w:tcW w:w="6040" w:type="dxa"/>
            <w:vAlign w:val="bottom"/>
            <w:tcBorders>
              <w:bottom w:val="single" w:sz="8" w:color="08228B"/>
            </w:tcBorders>
          </w:tcPr>
          <w:p>
            <w:pPr>
              <w:spacing w:after="0"/>
              <w:rPr>
                <w:sz w:val="17"/>
                <w:szCs w:val="17"/>
                <w:color w:val="auto"/>
              </w:rPr>
            </w:pPr>
          </w:p>
        </w:tc>
        <w:tc>
          <w:tcPr>
            <w:tcW w:w="1540" w:type="dxa"/>
            <w:vAlign w:val="bottom"/>
            <w:tcBorders>
              <w:bottom w:val="single" w:sz="8" w:color="08228B"/>
            </w:tcBorders>
          </w:tcPr>
          <w:p>
            <w:pPr>
              <w:jc w:val="right"/>
              <w:ind w:right="139"/>
              <w:spacing w:after="0"/>
              <w:rPr>
                <w:sz w:val="20"/>
                <w:szCs w:val="20"/>
                <w:color w:val="auto"/>
              </w:rPr>
            </w:pPr>
            <w:r>
              <w:rPr>
                <w:rFonts w:ascii="Arial" w:cs="Arial" w:eastAsia="Arial" w:hAnsi="Arial"/>
                <w:sz w:val="16"/>
                <w:szCs w:val="16"/>
                <w:b w:val="1"/>
                <w:bCs w:val="1"/>
                <w:color w:val="08228B"/>
              </w:rPr>
              <w:t>$</w:t>
            </w:r>
          </w:p>
        </w:tc>
        <w:tc>
          <w:tcPr>
            <w:tcW w:w="1480" w:type="dxa"/>
            <w:vAlign w:val="bottom"/>
            <w:tcBorders>
              <w:bottom w:val="single" w:sz="8" w:color="08228B"/>
            </w:tcBorders>
          </w:tcPr>
          <w:p>
            <w:pPr>
              <w:jc w:val="right"/>
              <w:ind w:right="19"/>
              <w:spacing w:after="0"/>
              <w:rPr>
                <w:sz w:val="20"/>
                <w:szCs w:val="20"/>
                <w:color w:val="auto"/>
              </w:rPr>
            </w:pPr>
            <w:r>
              <w:rPr>
                <w:rFonts w:ascii="Arial" w:cs="Arial" w:eastAsia="Arial" w:hAnsi="Arial"/>
                <w:sz w:val="16"/>
                <w:szCs w:val="16"/>
                <w:b w:val="1"/>
                <w:bCs w:val="1"/>
                <w:color w:val="08228B"/>
              </w:rPr>
              <w:t>6,440,012</w:t>
            </w:r>
          </w:p>
        </w:tc>
      </w:tr>
      <w:tr>
        <w:trPr>
          <w:trHeight w:val="237"/>
        </w:trPr>
        <w:tc>
          <w:tcPr>
            <w:tcW w:w="2240" w:type="dxa"/>
            <w:vAlign w:val="bottom"/>
            <w:tcBorders>
              <w:bottom w:val="single" w:sz="8" w:color="08228B"/>
            </w:tcBorders>
          </w:tcPr>
          <w:p>
            <w:pPr>
              <w:ind w:left="40"/>
              <w:spacing w:after="0" w:line="230" w:lineRule="exact"/>
              <w:rPr>
                <w:sz w:val="20"/>
                <w:szCs w:val="20"/>
                <w:color w:val="auto"/>
              </w:rPr>
            </w:pPr>
            <w:r>
              <w:rPr>
                <w:rFonts w:ascii="Arial" w:cs="Arial" w:eastAsia="Arial" w:hAnsi="Arial"/>
                <w:sz w:val="16"/>
                <w:szCs w:val="16"/>
                <w:color w:val="auto"/>
              </w:rPr>
              <w:t>DSV Options</w:t>
            </w:r>
            <w:r>
              <w:rPr>
                <w:rFonts w:ascii="Arial" w:cs="Arial" w:eastAsia="Arial" w:hAnsi="Arial"/>
                <w:sz w:val="26"/>
                <w:szCs w:val="26"/>
                <w:color w:val="auto"/>
                <w:vertAlign w:val="superscript"/>
              </w:rPr>
              <w:t>(1)</w:t>
            </w:r>
          </w:p>
        </w:tc>
        <w:tc>
          <w:tcPr>
            <w:tcW w:w="6040" w:type="dxa"/>
            <w:vAlign w:val="bottom"/>
            <w:tcBorders>
              <w:bottom w:val="single" w:sz="8" w:color="08228B"/>
            </w:tcBorders>
          </w:tcPr>
          <w:p>
            <w:pPr>
              <w:ind w:left="260"/>
              <w:spacing w:after="0"/>
              <w:rPr>
                <w:sz w:val="20"/>
                <w:szCs w:val="20"/>
                <w:color w:val="auto"/>
              </w:rPr>
            </w:pPr>
            <w:r>
              <w:rPr>
                <w:rFonts w:ascii="Arial" w:cs="Arial" w:eastAsia="Arial" w:hAnsi="Arial"/>
                <w:sz w:val="16"/>
                <w:szCs w:val="16"/>
                <w:color w:val="auto"/>
              </w:rPr>
              <w:t>Performance to Stock Price and TSR Against OEM Peer Group</w:t>
            </w:r>
          </w:p>
        </w:tc>
        <w:tc>
          <w:tcPr>
            <w:tcW w:w="1540" w:type="dxa"/>
            <w:vAlign w:val="bottom"/>
            <w:tcBorders>
              <w:bottom w:val="single" w:sz="8" w:color="08228B"/>
            </w:tcBorders>
          </w:tcPr>
          <w:p>
            <w:pPr>
              <w:jc w:val="right"/>
              <w:ind w:right="1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08228B"/>
            </w:tcBorders>
          </w:tcPr>
          <w:p>
            <w:pPr>
              <w:jc w:val="right"/>
              <w:ind w:right="19"/>
              <w:spacing w:after="0"/>
              <w:rPr>
                <w:sz w:val="20"/>
                <w:szCs w:val="20"/>
                <w:color w:val="auto"/>
              </w:rPr>
            </w:pPr>
            <w:r>
              <w:rPr>
                <w:rFonts w:ascii="Arial" w:cs="Arial" w:eastAsia="Arial" w:hAnsi="Arial"/>
                <w:sz w:val="16"/>
                <w:szCs w:val="16"/>
                <w:color w:val="auto"/>
              </w:rPr>
              <w:t>3,559,495</w:t>
            </w:r>
          </w:p>
        </w:tc>
      </w:tr>
      <w:tr>
        <w:trPr>
          <w:trHeight w:val="196"/>
        </w:trPr>
        <w:tc>
          <w:tcPr>
            <w:tcW w:w="8280" w:type="dxa"/>
            <w:vAlign w:val="bottom"/>
            <w:tcBorders>
              <w:bottom w:val="single" w:sz="8" w:color="08228B"/>
            </w:tcBorders>
            <w:gridSpan w:val="2"/>
          </w:tcPr>
          <w:p>
            <w:pPr>
              <w:ind w:left="40"/>
              <w:spacing w:after="0"/>
              <w:rPr>
                <w:sz w:val="20"/>
                <w:szCs w:val="20"/>
                <w:color w:val="auto"/>
              </w:rPr>
            </w:pPr>
            <w:r>
              <w:rPr>
                <w:rFonts w:ascii="Arial" w:cs="Arial" w:eastAsia="Arial" w:hAnsi="Arial"/>
                <w:sz w:val="16"/>
                <w:szCs w:val="16"/>
                <w:b w:val="1"/>
                <w:bCs w:val="1"/>
                <w:color w:val="08228B"/>
              </w:rPr>
              <w:t>TOTAL WITH ONE-TIME AWARDS</w:t>
            </w:r>
          </w:p>
        </w:tc>
        <w:tc>
          <w:tcPr>
            <w:tcW w:w="1540" w:type="dxa"/>
            <w:vAlign w:val="bottom"/>
            <w:tcBorders>
              <w:bottom w:val="single" w:sz="8" w:color="08228B"/>
            </w:tcBorders>
          </w:tcPr>
          <w:p>
            <w:pPr>
              <w:jc w:val="right"/>
              <w:ind w:right="139"/>
              <w:spacing w:after="0"/>
              <w:rPr>
                <w:sz w:val="20"/>
                <w:szCs w:val="20"/>
                <w:color w:val="auto"/>
              </w:rPr>
            </w:pPr>
            <w:r>
              <w:rPr>
                <w:rFonts w:ascii="Arial" w:cs="Arial" w:eastAsia="Arial" w:hAnsi="Arial"/>
                <w:sz w:val="16"/>
                <w:szCs w:val="16"/>
                <w:b w:val="1"/>
                <w:bCs w:val="1"/>
                <w:color w:val="08228B"/>
              </w:rPr>
              <w:t>$</w:t>
            </w:r>
          </w:p>
        </w:tc>
        <w:tc>
          <w:tcPr>
            <w:tcW w:w="1480" w:type="dxa"/>
            <w:vAlign w:val="bottom"/>
            <w:tcBorders>
              <w:bottom w:val="single" w:sz="8" w:color="08228B"/>
            </w:tcBorders>
          </w:tcPr>
          <w:p>
            <w:pPr>
              <w:jc w:val="right"/>
              <w:ind w:right="19"/>
              <w:spacing w:after="0"/>
              <w:rPr>
                <w:sz w:val="20"/>
                <w:szCs w:val="20"/>
                <w:color w:val="auto"/>
              </w:rPr>
            </w:pPr>
            <w:r>
              <w:rPr>
                <w:rFonts w:ascii="Arial" w:cs="Arial" w:eastAsia="Arial" w:hAnsi="Arial"/>
                <w:sz w:val="16"/>
                <w:szCs w:val="16"/>
                <w:b w:val="1"/>
                <w:bCs w:val="1"/>
                <w:color w:val="08228B"/>
              </w:rPr>
              <w:t>9,999,507</w:t>
            </w:r>
          </w:p>
        </w:tc>
      </w:tr>
    </w:tbl>
    <w:p>
      <w:pPr>
        <w:spacing w:after="0" w:line="58" w:lineRule="exact"/>
        <w:rPr>
          <w:sz w:val="20"/>
          <w:szCs w:val="20"/>
          <w:color w:val="auto"/>
        </w:rPr>
      </w:pPr>
    </w:p>
    <w:p>
      <w:pPr>
        <w:ind w:left="340" w:hanging="332"/>
        <w:spacing w:after="0"/>
        <w:tabs>
          <w:tab w:leader="none" w:pos="340" w:val="left"/>
        </w:tabs>
        <w:numPr>
          <w:ilvl w:val="0"/>
          <w:numId w:val="79"/>
        </w:numPr>
        <w:rPr>
          <w:rFonts w:ascii="Arial" w:cs="Arial" w:eastAsia="Arial" w:hAnsi="Arial"/>
          <w:sz w:val="14"/>
          <w:szCs w:val="14"/>
          <w:i w:val="1"/>
          <w:iCs w:val="1"/>
          <w:color w:val="auto"/>
        </w:rPr>
      </w:pPr>
      <w:r>
        <w:rPr>
          <w:rFonts w:ascii="Arial" w:cs="Arial" w:eastAsia="Arial" w:hAnsi="Arial"/>
          <w:sz w:val="14"/>
          <w:szCs w:val="14"/>
          <w:i w:val="1"/>
          <w:iCs w:val="1"/>
          <w:color w:val="auto"/>
        </w:rPr>
        <w:t>PSUs and DSV Options are subject to performance vesting, and not all awards may vest as displayed.</w:t>
      </w:r>
    </w:p>
    <w:p>
      <w:pPr>
        <w:spacing w:after="0" w:line="15" w:lineRule="exact"/>
        <w:rPr>
          <w:rFonts w:ascii="Arial" w:cs="Arial" w:eastAsia="Arial" w:hAnsi="Arial"/>
          <w:sz w:val="14"/>
          <w:szCs w:val="14"/>
          <w:i w:val="1"/>
          <w:iCs w:val="1"/>
          <w:color w:val="auto"/>
        </w:rPr>
      </w:pPr>
    </w:p>
    <w:p>
      <w:pPr>
        <w:ind w:left="340" w:hanging="332"/>
        <w:spacing w:after="0"/>
        <w:tabs>
          <w:tab w:leader="none" w:pos="340" w:val="left"/>
        </w:tabs>
        <w:numPr>
          <w:ilvl w:val="0"/>
          <w:numId w:val="79"/>
        </w:numPr>
        <w:rPr>
          <w:rFonts w:ascii="Arial" w:cs="Arial" w:eastAsia="Arial" w:hAnsi="Arial"/>
          <w:sz w:val="14"/>
          <w:szCs w:val="14"/>
          <w:i w:val="1"/>
          <w:iCs w:val="1"/>
          <w:color w:val="auto"/>
        </w:rPr>
      </w:pPr>
      <w:r>
        <w:rPr>
          <w:rFonts w:ascii="Arial" w:cs="Arial" w:eastAsia="Arial" w:hAnsi="Arial"/>
          <w:sz w:val="14"/>
          <w:szCs w:val="14"/>
          <w:i w:val="1"/>
          <w:iCs w:val="1"/>
          <w:color w:val="auto"/>
        </w:rPr>
        <w:t>RSUs are subject to time-based 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69150" cy="1714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13"/>
        </w:trPr>
        <w:tc>
          <w:tcPr>
            <w:tcW w:w="4340" w:type="dxa"/>
            <w:vAlign w:val="bottom"/>
            <w:tcBorders>
              <w:bottom w:val="single" w:sz="8" w:color="08228B"/>
            </w:tcBorders>
          </w:tcPr>
          <w:p>
            <w:pPr>
              <w:spacing w:after="0"/>
              <w:rPr>
                <w:sz w:val="9"/>
                <w:szCs w:val="9"/>
                <w:color w:val="auto"/>
              </w:rPr>
            </w:pPr>
          </w:p>
        </w:tc>
        <w:tc>
          <w:tcPr>
            <w:tcW w:w="2060" w:type="dxa"/>
            <w:vAlign w:val="bottom"/>
            <w:vMerge w:val="restart"/>
          </w:tcPr>
          <w:p>
            <w:pPr>
              <w:ind w:left="60"/>
              <w:spacing w:after="0"/>
              <w:rPr>
                <w:sz w:val="20"/>
                <w:szCs w:val="20"/>
                <w:color w:val="auto"/>
              </w:rPr>
            </w:pPr>
            <w:r>
              <w:rPr>
                <w:rFonts w:ascii="Arial" w:cs="Arial" w:eastAsia="Arial" w:hAnsi="Arial"/>
                <w:sz w:val="16"/>
                <w:szCs w:val="16"/>
                <w:b w:val="1"/>
                <w:bCs w:val="1"/>
                <w:color w:val="1C90D3"/>
              </w:rPr>
              <w:t xml:space="preserve">2016 </w:t>
            </w:r>
            <w:r>
              <w:rPr>
                <w:rFonts w:ascii="Arial" w:cs="Arial" w:eastAsia="Arial" w:hAnsi="Arial"/>
                <w:sz w:val="16"/>
                <w:szCs w:val="16"/>
                <w:color w:val="08228B"/>
              </w:rPr>
              <w:t>PROXY STATEMENT</w:t>
            </w:r>
          </w:p>
        </w:tc>
        <w:tc>
          <w:tcPr>
            <w:tcW w:w="2400" w:type="dxa"/>
            <w:vAlign w:val="bottom"/>
            <w:tcBorders>
              <w:bottom w:val="single" w:sz="8" w:color="08228B"/>
            </w:tcBorders>
          </w:tcPr>
          <w:p>
            <w:pPr>
              <w:spacing w:after="0"/>
              <w:rPr>
                <w:sz w:val="9"/>
                <w:szCs w:val="9"/>
                <w:color w:val="auto"/>
              </w:rPr>
            </w:pPr>
          </w:p>
        </w:tc>
        <w:tc>
          <w:tcPr>
            <w:tcW w:w="2620" w:type="dxa"/>
            <w:vAlign w:val="bottom"/>
            <w:vMerge w:val="restart"/>
          </w:tcPr>
          <w:p>
            <w:pPr>
              <w:jc w:val="right"/>
              <w:ind w:right="39"/>
              <w:spacing w:after="0"/>
              <w:rPr>
                <w:sz w:val="20"/>
                <w:szCs w:val="20"/>
                <w:color w:val="auto"/>
              </w:rPr>
            </w:pPr>
            <w:r>
              <w:rPr>
                <w:rFonts w:ascii="Arial" w:cs="Arial" w:eastAsia="Arial" w:hAnsi="Arial"/>
                <w:sz w:val="16"/>
                <w:szCs w:val="16"/>
                <w:color w:val="08228B"/>
              </w:rPr>
              <w:t>50</w:t>
            </w:r>
          </w:p>
        </w:tc>
        <w:tc>
          <w:tcPr>
            <w:tcW w:w="0" w:type="dxa"/>
            <w:vAlign w:val="bottom"/>
          </w:tcPr>
          <w:p>
            <w:pPr>
              <w:spacing w:after="0"/>
              <w:rPr>
                <w:sz w:val="1"/>
                <w:szCs w:val="1"/>
                <w:color w:val="auto"/>
              </w:rPr>
            </w:pPr>
          </w:p>
        </w:tc>
      </w:tr>
      <w:tr>
        <w:trPr>
          <w:trHeight w:val="82"/>
        </w:trPr>
        <w:tc>
          <w:tcPr>
            <w:tcW w:w="4340" w:type="dxa"/>
            <w:vAlign w:val="bottom"/>
          </w:tcPr>
          <w:p>
            <w:pPr>
              <w:spacing w:after="0"/>
              <w:rPr>
                <w:sz w:val="7"/>
                <w:szCs w:val="7"/>
                <w:color w:val="auto"/>
              </w:rPr>
            </w:pPr>
          </w:p>
        </w:tc>
        <w:tc>
          <w:tcPr>
            <w:tcW w:w="2060" w:type="dxa"/>
            <w:vAlign w:val="bottom"/>
            <w:vMerge w:val="continue"/>
          </w:tcPr>
          <w:p>
            <w:pPr>
              <w:spacing w:after="0"/>
              <w:rPr>
                <w:sz w:val="7"/>
                <w:szCs w:val="7"/>
                <w:color w:val="auto"/>
              </w:rPr>
            </w:pPr>
          </w:p>
        </w:tc>
        <w:tc>
          <w:tcPr>
            <w:tcW w:w="2400" w:type="dxa"/>
            <w:vAlign w:val="bottom"/>
          </w:tcPr>
          <w:p>
            <w:pPr>
              <w:spacing w:after="0"/>
              <w:rPr>
                <w:sz w:val="7"/>
                <w:szCs w:val="7"/>
                <w:color w:val="auto"/>
              </w:rPr>
            </w:pPr>
          </w:p>
        </w:tc>
        <w:tc>
          <w:tcPr>
            <w:tcW w:w="2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7"/>
        </w:trPr>
        <w:tc>
          <w:tcPr>
            <w:tcW w:w="4340" w:type="dxa"/>
            <w:vAlign w:val="bottom"/>
            <w:tcBorders>
              <w:bottom w:val="single" w:sz="8" w:color="C0C0C0"/>
            </w:tcBorders>
          </w:tcPr>
          <w:p>
            <w:pPr>
              <w:spacing w:after="0"/>
              <w:rPr>
                <w:sz w:val="24"/>
                <w:szCs w:val="24"/>
                <w:color w:val="auto"/>
              </w:rPr>
            </w:pPr>
          </w:p>
        </w:tc>
        <w:tc>
          <w:tcPr>
            <w:tcW w:w="2060" w:type="dxa"/>
            <w:vAlign w:val="bottom"/>
            <w:tcBorders>
              <w:bottom w:val="single" w:sz="8" w:color="C0C0C0"/>
            </w:tcBorders>
          </w:tcPr>
          <w:p>
            <w:pPr>
              <w:spacing w:after="0"/>
              <w:rPr>
                <w:sz w:val="24"/>
                <w:szCs w:val="24"/>
                <w:color w:val="auto"/>
              </w:rPr>
            </w:pPr>
          </w:p>
        </w:tc>
        <w:tc>
          <w:tcPr>
            <w:tcW w:w="2400" w:type="dxa"/>
            <w:vAlign w:val="bottom"/>
            <w:tcBorders>
              <w:bottom w:val="single" w:sz="8" w:color="C0C0C0"/>
            </w:tcBorders>
          </w:tcPr>
          <w:p>
            <w:pPr>
              <w:spacing w:after="0"/>
              <w:rPr>
                <w:sz w:val="24"/>
                <w:szCs w:val="24"/>
                <w:color w:val="auto"/>
              </w:rPr>
            </w:pPr>
          </w:p>
        </w:tc>
        <w:tc>
          <w:tcPr>
            <w:tcW w:w="262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5613400</wp:posOffset>
            </wp:positionH>
            <wp:positionV relativeFrom="paragraph">
              <wp:posOffset>-334010</wp:posOffset>
            </wp:positionV>
            <wp:extent cx="1286510" cy="8572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1286510" cy="8572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Back to Contents</w:t>
        </w:r>
      </w:hyperlink>
    </w:p>
    <w:p>
      <w:pPr>
        <w:spacing w:after="0" w:line="196" w:lineRule="exact"/>
        <w:rPr>
          <w:sz w:val="20"/>
          <w:szCs w:val="20"/>
          <w:color w:val="auto"/>
        </w:rPr>
      </w:pPr>
    </w:p>
    <w:p>
      <w:pPr>
        <w:ind w:left="500" w:hanging="492"/>
        <w:spacing w:after="0"/>
        <w:tabs>
          <w:tab w:leader="none" w:pos="500" w:val="left"/>
        </w:tabs>
        <w:numPr>
          <w:ilvl w:val="0"/>
          <w:numId w:val="80"/>
        </w:numPr>
        <w:rPr>
          <w:rFonts w:ascii="Arial" w:cs="Arial" w:eastAsia="Arial" w:hAnsi="Arial"/>
          <w:sz w:val="25"/>
          <w:szCs w:val="25"/>
          <w:color w:val="08228B"/>
        </w:rPr>
      </w:pPr>
      <w:r>
        <w:rPr>
          <w:rFonts w:ascii="Arial" w:cs="Arial" w:eastAsia="Arial" w:hAnsi="Arial"/>
          <w:sz w:val="25"/>
          <w:szCs w:val="25"/>
          <w:color w:val="auto"/>
        </w:rPr>
        <w:t>Compensation Decisions for Craig B. Glidden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08228B"/>
        </w:rPr>
        <w:t xml:space="preserve">Craig B. Glidden, </w:t>
      </w:r>
      <w:r>
        <w:rPr>
          <w:rFonts w:ascii="Arial" w:cs="Arial" w:eastAsia="Arial" w:hAnsi="Arial"/>
          <w:sz w:val="18"/>
          <w:szCs w:val="18"/>
          <w:b w:val="1"/>
          <w:bCs w:val="1"/>
          <w:color w:val="000000"/>
        </w:rPr>
        <w:t>Executive Vice President &amp;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69150" cy="67754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169150" cy="677545"/>
                    </a:xfrm>
                    <a:prstGeom prst="rect">
                      <a:avLst/>
                    </a:prstGeom>
                    <a:noFill/>
                  </pic:spPr>
                </pic:pic>
              </a:graphicData>
            </a:graphic>
          </wp:anchor>
        </w:drawing>
      </w:r>
    </w:p>
    <w:p>
      <w:pPr>
        <w:spacing w:after="0" w:line="27" w:lineRule="exact"/>
        <w:rPr>
          <w:sz w:val="20"/>
          <w:szCs w:val="20"/>
          <w:color w:val="auto"/>
        </w:rPr>
      </w:pPr>
    </w:p>
    <w:p>
      <w:pPr>
        <w:ind w:left="40"/>
        <w:spacing w:after="0"/>
        <w:rPr>
          <w:sz w:val="20"/>
          <w:szCs w:val="20"/>
          <w:color w:val="auto"/>
        </w:rPr>
      </w:pPr>
      <w:r>
        <w:rPr>
          <w:rFonts w:ascii="Arial" w:cs="Arial" w:eastAsia="Arial" w:hAnsi="Arial"/>
          <w:sz w:val="16"/>
          <w:szCs w:val="16"/>
          <w:color w:val="auto"/>
        </w:rPr>
        <w:t>Mr. Glidden met several objectives for 2015 performance against his goals including:</w:t>
      </w:r>
    </w:p>
    <w:p>
      <w:pPr>
        <w:spacing w:after="0" w:line="194" w:lineRule="exact"/>
        <w:rPr>
          <w:sz w:val="20"/>
          <w:szCs w:val="20"/>
          <w:color w:val="auto"/>
        </w:rPr>
      </w:pPr>
    </w:p>
    <w:p>
      <w:pPr>
        <w:ind w:left="300" w:hanging="256"/>
        <w:spacing w:after="0"/>
        <w:tabs>
          <w:tab w:leader="none" w:pos="300" w:val="left"/>
        </w:tabs>
        <w:numPr>
          <w:ilvl w:val="0"/>
          <w:numId w:val="81"/>
        </w:numPr>
        <w:rPr>
          <w:rFonts w:ascii="Arial" w:cs="Arial" w:eastAsia="Arial" w:hAnsi="Arial"/>
          <w:sz w:val="16"/>
          <w:szCs w:val="16"/>
          <w:color w:val="08228B"/>
        </w:rPr>
      </w:pPr>
      <w:r>
        <w:rPr>
          <w:rFonts w:ascii="Arial" w:cs="Arial" w:eastAsia="Arial" w:hAnsi="Arial"/>
          <w:sz w:val="16"/>
          <w:szCs w:val="16"/>
          <w:color w:val="auto"/>
        </w:rPr>
        <w:t>Resolved complex legal matters.</w:t>
      </w:r>
    </w:p>
    <w:p>
      <w:pPr>
        <w:spacing w:after="0" w:line="5" w:lineRule="exact"/>
        <w:rPr>
          <w:rFonts w:ascii="Arial" w:cs="Arial" w:eastAsia="Arial" w:hAnsi="Arial"/>
          <w:sz w:val="16"/>
          <w:szCs w:val="16"/>
          <w:color w:val="08228B"/>
        </w:rPr>
      </w:pPr>
    </w:p>
    <w:p>
      <w:pPr>
        <w:ind w:left="300" w:hanging="256"/>
        <w:spacing w:after="0"/>
        <w:tabs>
          <w:tab w:leader="none" w:pos="300" w:val="left"/>
        </w:tabs>
        <w:numPr>
          <w:ilvl w:val="0"/>
          <w:numId w:val="81"/>
        </w:numPr>
        <w:rPr>
          <w:rFonts w:ascii="Arial" w:cs="Arial" w:eastAsia="Arial" w:hAnsi="Arial"/>
          <w:sz w:val="16"/>
          <w:szCs w:val="16"/>
          <w:color w:val="08228B"/>
        </w:rPr>
      </w:pPr>
      <w:r>
        <w:rPr>
          <w:rFonts w:ascii="Arial" w:cs="Arial" w:eastAsia="Arial" w:hAnsi="Arial"/>
          <w:sz w:val="16"/>
          <w:szCs w:val="16"/>
          <w:color w:val="auto"/>
        </w:rPr>
        <w:t>Assumed responsibility of the Public Policy function in addition to his duties as General Counsel.</w:t>
      </w:r>
    </w:p>
    <w:p>
      <w:pPr>
        <w:spacing w:after="0" w:line="5" w:lineRule="exact"/>
        <w:rPr>
          <w:rFonts w:ascii="Arial" w:cs="Arial" w:eastAsia="Arial" w:hAnsi="Arial"/>
          <w:sz w:val="16"/>
          <w:szCs w:val="16"/>
          <w:color w:val="08228B"/>
        </w:rPr>
      </w:pPr>
    </w:p>
    <w:p>
      <w:pPr>
        <w:ind w:left="300" w:hanging="256"/>
        <w:spacing w:after="0"/>
        <w:tabs>
          <w:tab w:leader="none" w:pos="300" w:val="left"/>
        </w:tabs>
        <w:numPr>
          <w:ilvl w:val="0"/>
          <w:numId w:val="81"/>
        </w:numPr>
        <w:rPr>
          <w:rFonts w:ascii="Arial" w:cs="Arial" w:eastAsia="Arial" w:hAnsi="Arial"/>
          <w:sz w:val="16"/>
          <w:szCs w:val="16"/>
          <w:color w:val="08228B"/>
        </w:rPr>
      </w:pPr>
      <w:r>
        <w:rPr>
          <w:rFonts w:ascii="Arial" w:cs="Arial" w:eastAsia="Arial" w:hAnsi="Arial"/>
          <w:sz w:val="16"/>
          <w:szCs w:val="16"/>
          <w:color w:val="auto"/>
        </w:rPr>
        <w:t>Restructured the Legal Staff to align with the business and filled several key roles with proven and accomplished legal professionals.</w:t>
      </w:r>
    </w:p>
    <w:p>
      <w:pPr>
        <w:spacing w:after="0" w:line="28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Mr. Glidden joined General Motors as Executive Vice President &amp; General Counsel on March 1, 2015, with an annual base salary of $700,000. Effective April 1, 2015, with Compensation Committee approval, Mr. Glidden received a one-time cash sign-on bonus in the amount of $500,000 and an equity sign-on RSU grant of 69,407 shares with a grant date value of $2.55 million to replace awards being forfeited at his previous employer. Additionally, the Compensation Committee authorized an annual equity grant of $1.925 million, consisting of 75 percent PSUs and 25 percent RSUs. Mr. Glidden also participated in the one-time DSV Option Grant in 2015.</w:t>
      </w:r>
    </w:p>
    <w:p>
      <w:pPr>
        <w:spacing w:after="0" w:line="17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Compensation Committee awarded an individual performance adjustment to the STIP payout of $70,000 for Mr. Glidden as a result of performance against goals. The total compensation for Mr. Glidden in 2015, including salary, bonus, STIP and LTIP awards, options, and sign-on awards is displayed below.</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240" w:type="dxa"/>
            <w:vAlign w:val="bottom"/>
            <w:tcBorders>
              <w:top w:val="single" w:sz="8" w:color="1C90D3"/>
              <w:bottom w:val="single" w:sz="8" w:color="1C90D3"/>
            </w:tcBorders>
          </w:tcPr>
          <w:p>
            <w:pPr>
              <w:ind w:left="40"/>
              <w:spacing w:after="0"/>
              <w:rPr>
                <w:sz w:val="20"/>
                <w:szCs w:val="20"/>
                <w:color w:val="auto"/>
              </w:rPr>
            </w:pPr>
            <w:r>
              <w:rPr>
                <w:rFonts w:ascii="Arial" w:cs="Arial" w:eastAsia="Arial" w:hAnsi="Arial"/>
                <w:sz w:val="16"/>
                <w:szCs w:val="16"/>
                <w:b w:val="1"/>
                <w:bCs w:val="1"/>
                <w:color w:val="1C90D3"/>
              </w:rPr>
              <w:t>Pay Element</w:t>
            </w:r>
          </w:p>
        </w:tc>
        <w:tc>
          <w:tcPr>
            <w:tcW w:w="5320" w:type="dxa"/>
            <w:vAlign w:val="bottom"/>
            <w:tcBorders>
              <w:top w:val="single" w:sz="8" w:color="1C90D3"/>
              <w:bottom w:val="single" w:sz="8" w:color="1C90D3"/>
            </w:tcBorders>
          </w:tcPr>
          <w:p>
            <w:pPr>
              <w:ind w:left="260"/>
              <w:spacing w:after="0"/>
              <w:rPr>
                <w:sz w:val="20"/>
                <w:szCs w:val="20"/>
                <w:color w:val="auto"/>
              </w:rPr>
            </w:pPr>
            <w:r>
              <w:rPr>
                <w:rFonts w:ascii="Arial" w:cs="Arial" w:eastAsia="Arial" w:hAnsi="Arial"/>
                <w:sz w:val="16"/>
                <w:szCs w:val="16"/>
                <w:b w:val="1"/>
                <w:bCs w:val="1"/>
                <w:color w:val="1C90D3"/>
              </w:rPr>
              <w:t>Majority of Pay Is At-Risk</w:t>
            </w:r>
          </w:p>
        </w:tc>
        <w:tc>
          <w:tcPr>
            <w:tcW w:w="2260" w:type="dxa"/>
            <w:vAlign w:val="bottom"/>
            <w:tcBorders>
              <w:top w:val="single" w:sz="8" w:color="1C90D3"/>
              <w:bottom w:val="single" w:sz="8" w:color="1C90D3"/>
            </w:tcBorders>
          </w:tcPr>
          <w:p>
            <w:pPr>
              <w:spacing w:after="0"/>
              <w:rPr>
                <w:sz w:val="19"/>
                <w:szCs w:val="19"/>
                <w:color w:val="auto"/>
              </w:rPr>
            </w:pPr>
          </w:p>
        </w:tc>
        <w:tc>
          <w:tcPr>
            <w:tcW w:w="1480" w:type="dxa"/>
            <w:vAlign w:val="bottom"/>
            <w:tcBorders>
              <w:top w:val="single" w:sz="8" w:color="1C90D3"/>
              <w:bottom w:val="single" w:sz="8" w:color="1C90D3"/>
            </w:tcBorders>
          </w:tcPr>
          <w:p>
            <w:pPr>
              <w:jc w:val="right"/>
              <w:ind w:right="19"/>
              <w:spacing w:after="0"/>
              <w:rPr>
                <w:sz w:val="20"/>
                <w:szCs w:val="20"/>
                <w:color w:val="auto"/>
              </w:rPr>
            </w:pPr>
            <w:r>
              <w:rPr>
                <w:rFonts w:ascii="Arial" w:cs="Arial" w:eastAsia="Arial" w:hAnsi="Arial"/>
                <w:sz w:val="16"/>
                <w:szCs w:val="16"/>
                <w:b w:val="1"/>
                <w:bCs w:val="1"/>
                <w:color w:val="1C90D3"/>
              </w:rPr>
              <w:t>Awarded Value</w:t>
            </w:r>
          </w:p>
        </w:tc>
      </w:tr>
      <w:tr>
        <w:trPr>
          <w:trHeight w:val="189"/>
        </w:trPr>
        <w:tc>
          <w:tcPr>
            <w:tcW w:w="22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Base Salary</w:t>
            </w:r>
          </w:p>
        </w:tc>
        <w:tc>
          <w:tcPr>
            <w:tcW w:w="532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Fixed – Only Guaranteed Pay Element</w:t>
            </w:r>
          </w:p>
        </w:tc>
        <w:tc>
          <w:tcPr>
            <w:tcW w:w="22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583,333</w:t>
            </w:r>
          </w:p>
        </w:tc>
      </w:tr>
      <w:tr>
        <w:trPr>
          <w:trHeight w:val="183"/>
        </w:trPr>
        <w:tc>
          <w:tcPr>
            <w:tcW w:w="2240" w:type="dxa"/>
            <w:vAlign w:val="bottom"/>
            <w:tcBorders>
              <w:bottom w:val="single" w:sz="8" w:color="auto"/>
            </w:tcBorders>
          </w:tcPr>
          <w:p>
            <w:pPr>
              <w:ind w:left="40"/>
              <w:spacing w:after="0" w:line="183" w:lineRule="exact"/>
              <w:rPr>
                <w:sz w:val="20"/>
                <w:szCs w:val="20"/>
                <w:color w:val="auto"/>
              </w:rPr>
            </w:pPr>
            <w:r>
              <w:rPr>
                <w:rFonts w:ascii="Arial" w:cs="Arial" w:eastAsia="Arial" w:hAnsi="Arial"/>
                <w:sz w:val="16"/>
                <w:szCs w:val="16"/>
                <w:color w:val="auto"/>
              </w:rPr>
              <w:t>STIP</w:t>
            </w:r>
          </w:p>
        </w:tc>
        <w:tc>
          <w:tcPr>
            <w:tcW w:w="5320" w:type="dxa"/>
            <w:vAlign w:val="bottom"/>
            <w:tcBorders>
              <w:bottom w:val="single" w:sz="8" w:color="auto"/>
            </w:tcBorders>
          </w:tcPr>
          <w:p>
            <w:pPr>
              <w:ind w:left="260"/>
              <w:spacing w:after="0" w:line="183" w:lineRule="exact"/>
              <w:rPr>
                <w:sz w:val="20"/>
                <w:szCs w:val="20"/>
                <w:color w:val="auto"/>
              </w:rPr>
            </w:pPr>
            <w:r>
              <w:rPr>
                <w:rFonts w:ascii="Arial" w:cs="Arial" w:eastAsia="Arial" w:hAnsi="Arial"/>
                <w:sz w:val="16"/>
                <w:szCs w:val="16"/>
                <w:color w:val="auto"/>
              </w:rPr>
              <w:t>Performance to Metrics</w:t>
            </w:r>
          </w:p>
        </w:tc>
        <w:tc>
          <w:tcPr>
            <w:tcW w:w="2260" w:type="dxa"/>
            <w:vAlign w:val="bottom"/>
            <w:tcBorders>
              <w:bottom w:val="single" w:sz="8" w:color="auto"/>
            </w:tcBorders>
          </w:tcPr>
          <w:p>
            <w:pPr>
              <w:jc w:val="right"/>
              <w:ind w:right="139"/>
              <w:spacing w:after="0" w:line="183" w:lineRule="exact"/>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875,000</w:t>
            </w:r>
          </w:p>
        </w:tc>
      </w:tr>
      <w:tr>
        <w:trPr>
          <w:trHeight w:val="183"/>
        </w:trPr>
        <w:tc>
          <w:tcPr>
            <w:tcW w:w="2240" w:type="dxa"/>
            <w:vAlign w:val="bottom"/>
            <w:tcBorders>
              <w:bottom w:val="single" w:sz="8" w:color="auto"/>
            </w:tcBorders>
          </w:tcPr>
          <w:p>
            <w:pPr>
              <w:ind w:left="40"/>
              <w:spacing w:after="0" w:line="183" w:lineRule="exact"/>
              <w:rPr>
                <w:sz w:val="20"/>
                <w:szCs w:val="20"/>
                <w:color w:val="auto"/>
              </w:rPr>
            </w:pPr>
            <w:r>
              <w:rPr>
                <w:rFonts w:ascii="Arial" w:cs="Arial" w:eastAsia="Arial" w:hAnsi="Arial"/>
                <w:sz w:val="16"/>
                <w:szCs w:val="16"/>
                <w:color w:val="auto"/>
              </w:rPr>
              <w:t>STIP Individual Adjustment</w:t>
            </w:r>
          </w:p>
        </w:tc>
        <w:tc>
          <w:tcPr>
            <w:tcW w:w="5320" w:type="dxa"/>
            <w:vAlign w:val="bottom"/>
            <w:tcBorders>
              <w:bottom w:val="single" w:sz="8" w:color="auto"/>
            </w:tcBorders>
          </w:tcPr>
          <w:p>
            <w:pPr>
              <w:ind w:left="260"/>
              <w:spacing w:after="0" w:line="183" w:lineRule="exact"/>
              <w:rPr>
                <w:sz w:val="20"/>
                <w:szCs w:val="20"/>
                <w:color w:val="auto"/>
              </w:rPr>
            </w:pPr>
            <w:r>
              <w:rPr>
                <w:rFonts w:ascii="Arial" w:cs="Arial" w:eastAsia="Arial" w:hAnsi="Arial"/>
                <w:sz w:val="16"/>
                <w:szCs w:val="16"/>
                <w:color w:val="auto"/>
              </w:rPr>
              <w:t>Performance – Based on Individual Results</w:t>
            </w:r>
          </w:p>
        </w:tc>
        <w:tc>
          <w:tcPr>
            <w:tcW w:w="2260" w:type="dxa"/>
            <w:vAlign w:val="bottom"/>
            <w:tcBorders>
              <w:bottom w:val="single" w:sz="8" w:color="auto"/>
            </w:tcBorders>
          </w:tcPr>
          <w:p>
            <w:pPr>
              <w:jc w:val="right"/>
              <w:ind w:right="139"/>
              <w:spacing w:after="0" w:line="183" w:lineRule="exact"/>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70,000</w:t>
            </w:r>
          </w:p>
        </w:tc>
      </w:tr>
      <w:tr>
        <w:trPr>
          <w:trHeight w:val="223"/>
        </w:trPr>
        <w:tc>
          <w:tcPr>
            <w:tcW w:w="2240" w:type="dxa"/>
            <w:vAlign w:val="bottom"/>
            <w:tcBorders>
              <w:bottom w:val="single" w:sz="8" w:color="auto"/>
            </w:tcBorders>
          </w:tcPr>
          <w:p>
            <w:pPr>
              <w:ind w:left="40"/>
              <w:spacing w:after="0" w:line="223" w:lineRule="exact"/>
              <w:rPr>
                <w:sz w:val="20"/>
                <w:szCs w:val="20"/>
                <w:color w:val="auto"/>
              </w:rPr>
            </w:pPr>
            <w:r>
              <w:rPr>
                <w:rFonts w:ascii="Arial" w:cs="Arial" w:eastAsia="Arial" w:hAnsi="Arial"/>
                <w:sz w:val="15"/>
                <w:szCs w:val="15"/>
                <w:color w:val="auto"/>
              </w:rPr>
              <w:t>PSUs</w:t>
            </w:r>
            <w:r>
              <w:rPr>
                <w:rFonts w:ascii="Arial" w:cs="Arial" w:eastAsia="Arial" w:hAnsi="Arial"/>
                <w:sz w:val="25"/>
                <w:szCs w:val="25"/>
                <w:color w:val="auto"/>
                <w:vertAlign w:val="superscript"/>
              </w:rPr>
              <w:t>(1)</w:t>
            </w:r>
          </w:p>
        </w:tc>
        <w:tc>
          <w:tcPr>
            <w:tcW w:w="532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Performance to Metrics and Stock Price</w:t>
            </w:r>
          </w:p>
        </w:tc>
        <w:tc>
          <w:tcPr>
            <w:tcW w:w="22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1,443,772</w:t>
            </w:r>
          </w:p>
        </w:tc>
      </w:tr>
      <w:tr>
        <w:trPr>
          <w:trHeight w:val="223"/>
        </w:trPr>
        <w:tc>
          <w:tcPr>
            <w:tcW w:w="2240" w:type="dxa"/>
            <w:vAlign w:val="bottom"/>
          </w:tcPr>
          <w:p>
            <w:pPr>
              <w:ind w:left="40"/>
              <w:spacing w:after="0" w:line="223" w:lineRule="exact"/>
              <w:rPr>
                <w:sz w:val="20"/>
                <w:szCs w:val="20"/>
                <w:color w:val="auto"/>
              </w:rPr>
            </w:pPr>
            <w:r>
              <w:rPr>
                <w:rFonts w:ascii="Arial" w:cs="Arial" w:eastAsia="Arial" w:hAnsi="Arial"/>
                <w:sz w:val="15"/>
                <w:szCs w:val="15"/>
                <w:color w:val="auto"/>
              </w:rPr>
              <w:t>RSUs</w:t>
            </w:r>
            <w:r>
              <w:rPr>
                <w:rFonts w:ascii="Arial" w:cs="Arial" w:eastAsia="Arial" w:hAnsi="Arial"/>
                <w:sz w:val="25"/>
                <w:szCs w:val="25"/>
                <w:color w:val="auto"/>
                <w:vertAlign w:val="superscript"/>
              </w:rPr>
              <w:t>(2)</w:t>
            </w:r>
          </w:p>
        </w:tc>
        <w:tc>
          <w:tcPr>
            <w:tcW w:w="5320" w:type="dxa"/>
            <w:vAlign w:val="bottom"/>
          </w:tcPr>
          <w:p>
            <w:pPr>
              <w:ind w:left="260"/>
              <w:spacing w:after="0"/>
              <w:rPr>
                <w:sz w:val="20"/>
                <w:szCs w:val="20"/>
                <w:color w:val="auto"/>
              </w:rPr>
            </w:pPr>
            <w:r>
              <w:rPr>
                <w:rFonts w:ascii="Arial" w:cs="Arial" w:eastAsia="Arial" w:hAnsi="Arial"/>
                <w:sz w:val="16"/>
                <w:szCs w:val="16"/>
                <w:color w:val="auto"/>
              </w:rPr>
              <w:t>Performance to Stock Price</w:t>
            </w:r>
          </w:p>
        </w:tc>
        <w:tc>
          <w:tcPr>
            <w:tcW w:w="22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481,257</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880" w:type="dxa"/>
            <w:vAlign w:val="bottom"/>
            <w:tcBorders>
              <w:top w:val="single" w:sz="8" w:color="08228B"/>
              <w:bottom w:val="single" w:sz="8" w:color="08228B"/>
            </w:tcBorders>
          </w:tcPr>
          <w:p>
            <w:pPr>
              <w:ind w:left="40"/>
              <w:spacing w:after="0"/>
              <w:rPr>
                <w:sz w:val="20"/>
                <w:szCs w:val="20"/>
                <w:color w:val="auto"/>
              </w:rPr>
            </w:pPr>
            <w:r>
              <w:rPr>
                <w:rFonts w:ascii="Arial" w:cs="Arial" w:eastAsia="Arial" w:hAnsi="Arial"/>
                <w:sz w:val="16"/>
                <w:szCs w:val="16"/>
                <w:b w:val="1"/>
                <w:bCs w:val="1"/>
                <w:color w:val="08228B"/>
              </w:rPr>
              <w:t>TOTAL</w:t>
            </w:r>
          </w:p>
        </w:tc>
        <w:tc>
          <w:tcPr>
            <w:tcW w:w="6400" w:type="dxa"/>
            <w:vAlign w:val="bottom"/>
            <w:tcBorders>
              <w:top w:val="single" w:sz="8" w:color="08228B"/>
              <w:bottom w:val="single" w:sz="8" w:color="08228B"/>
            </w:tcBorders>
          </w:tcPr>
          <w:p>
            <w:pPr>
              <w:spacing w:after="0"/>
              <w:rPr>
                <w:sz w:val="17"/>
                <w:szCs w:val="17"/>
                <w:color w:val="auto"/>
              </w:rPr>
            </w:pPr>
          </w:p>
        </w:tc>
        <w:tc>
          <w:tcPr>
            <w:tcW w:w="1760" w:type="dxa"/>
            <w:vAlign w:val="bottom"/>
            <w:tcBorders>
              <w:top w:val="single" w:sz="8" w:color="08228B"/>
              <w:bottom w:val="single" w:sz="8" w:color="08228B"/>
            </w:tcBorders>
          </w:tcPr>
          <w:p>
            <w:pPr>
              <w:jc w:val="right"/>
              <w:ind w:right="359"/>
              <w:spacing w:after="0"/>
              <w:rPr>
                <w:sz w:val="20"/>
                <w:szCs w:val="20"/>
                <w:color w:val="auto"/>
              </w:rPr>
            </w:pPr>
            <w:r>
              <w:rPr>
                <w:rFonts w:ascii="Arial" w:cs="Arial" w:eastAsia="Arial" w:hAnsi="Arial"/>
                <w:sz w:val="16"/>
                <w:szCs w:val="16"/>
                <w:b w:val="1"/>
                <w:bCs w:val="1"/>
                <w:color w:val="08228B"/>
              </w:rPr>
              <w:t>$</w:t>
            </w:r>
          </w:p>
        </w:tc>
        <w:tc>
          <w:tcPr>
            <w:tcW w:w="1260" w:type="dxa"/>
            <w:vAlign w:val="bottom"/>
            <w:tcBorders>
              <w:top w:val="single" w:sz="8" w:color="08228B"/>
              <w:bottom w:val="single" w:sz="8" w:color="08228B"/>
            </w:tcBorders>
          </w:tcPr>
          <w:p>
            <w:pPr>
              <w:jc w:val="right"/>
              <w:ind w:right="19"/>
              <w:spacing w:after="0"/>
              <w:rPr>
                <w:sz w:val="20"/>
                <w:szCs w:val="20"/>
                <w:color w:val="auto"/>
              </w:rPr>
            </w:pPr>
            <w:r>
              <w:rPr>
                <w:rFonts w:ascii="Arial" w:cs="Arial" w:eastAsia="Arial" w:hAnsi="Arial"/>
                <w:sz w:val="16"/>
                <w:szCs w:val="16"/>
                <w:b w:val="1"/>
                <w:bCs w:val="1"/>
                <w:color w:val="08228B"/>
              </w:rPr>
              <w:t>3,453,362</w:t>
            </w:r>
          </w:p>
        </w:tc>
      </w:tr>
      <w:tr>
        <w:trPr>
          <w:trHeight w:val="230"/>
        </w:trPr>
        <w:tc>
          <w:tcPr>
            <w:tcW w:w="1880" w:type="dxa"/>
            <w:vAlign w:val="bottom"/>
            <w:tcBorders>
              <w:bottom w:val="single" w:sz="8" w:color="auto"/>
            </w:tcBorders>
          </w:tcPr>
          <w:p>
            <w:pPr>
              <w:ind w:left="40"/>
              <w:spacing w:after="0" w:line="230" w:lineRule="exact"/>
              <w:rPr>
                <w:sz w:val="20"/>
                <w:szCs w:val="20"/>
                <w:color w:val="auto"/>
              </w:rPr>
            </w:pPr>
            <w:r>
              <w:rPr>
                <w:rFonts w:ascii="Arial" w:cs="Arial" w:eastAsia="Arial" w:hAnsi="Arial"/>
                <w:sz w:val="16"/>
                <w:szCs w:val="16"/>
                <w:color w:val="auto"/>
              </w:rPr>
              <w:t>DSV Options</w:t>
            </w:r>
            <w:r>
              <w:rPr>
                <w:rFonts w:ascii="Arial" w:cs="Arial" w:eastAsia="Arial" w:hAnsi="Arial"/>
                <w:sz w:val="26"/>
                <w:szCs w:val="26"/>
                <w:color w:val="auto"/>
                <w:vertAlign w:val="superscript"/>
              </w:rPr>
              <w:t>(1)</w:t>
            </w:r>
          </w:p>
        </w:tc>
        <w:tc>
          <w:tcPr>
            <w:tcW w:w="6400" w:type="dxa"/>
            <w:vAlign w:val="bottom"/>
            <w:tcBorders>
              <w:bottom w:val="single" w:sz="8" w:color="auto"/>
            </w:tcBorders>
          </w:tcPr>
          <w:p>
            <w:pPr>
              <w:ind w:left="620"/>
              <w:spacing w:after="0"/>
              <w:rPr>
                <w:sz w:val="20"/>
                <w:szCs w:val="20"/>
                <w:color w:val="auto"/>
              </w:rPr>
            </w:pPr>
            <w:r>
              <w:rPr>
                <w:rFonts w:ascii="Arial" w:cs="Arial" w:eastAsia="Arial" w:hAnsi="Arial"/>
                <w:sz w:val="16"/>
                <w:szCs w:val="16"/>
                <w:color w:val="auto"/>
              </w:rPr>
              <w:t>Performance to Stock Price and TSR Against OEM Peer Group</w:t>
            </w:r>
          </w:p>
        </w:tc>
        <w:tc>
          <w:tcPr>
            <w:tcW w:w="17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1,791,380</w:t>
            </w:r>
          </w:p>
        </w:tc>
      </w:tr>
      <w:tr>
        <w:trPr>
          <w:trHeight w:val="183"/>
        </w:trPr>
        <w:tc>
          <w:tcPr>
            <w:tcW w:w="1880" w:type="dxa"/>
            <w:vAlign w:val="bottom"/>
            <w:tcBorders>
              <w:bottom w:val="single" w:sz="8" w:color="auto"/>
            </w:tcBorders>
          </w:tcPr>
          <w:p>
            <w:pPr>
              <w:ind w:left="40"/>
              <w:spacing w:after="0" w:line="183" w:lineRule="exact"/>
              <w:rPr>
                <w:sz w:val="20"/>
                <w:szCs w:val="20"/>
                <w:color w:val="auto"/>
              </w:rPr>
            </w:pPr>
            <w:r>
              <w:rPr>
                <w:rFonts w:ascii="Arial" w:cs="Arial" w:eastAsia="Arial" w:hAnsi="Arial"/>
                <w:sz w:val="16"/>
                <w:szCs w:val="16"/>
                <w:color w:val="auto"/>
              </w:rPr>
              <w:t>Sign-On Cash</w:t>
            </w:r>
          </w:p>
        </w:tc>
        <w:tc>
          <w:tcPr>
            <w:tcW w:w="6400" w:type="dxa"/>
            <w:vAlign w:val="bottom"/>
            <w:tcBorders>
              <w:bottom w:val="single" w:sz="8" w:color="auto"/>
            </w:tcBorders>
          </w:tcPr>
          <w:p>
            <w:pPr>
              <w:ind w:left="620"/>
              <w:spacing w:after="0" w:line="183" w:lineRule="exact"/>
              <w:rPr>
                <w:sz w:val="20"/>
                <w:szCs w:val="20"/>
                <w:color w:val="auto"/>
              </w:rPr>
            </w:pPr>
            <w:r>
              <w:rPr>
                <w:rFonts w:ascii="Arial" w:cs="Arial" w:eastAsia="Arial" w:hAnsi="Arial"/>
                <w:sz w:val="16"/>
                <w:szCs w:val="16"/>
                <w:color w:val="auto"/>
              </w:rPr>
              <w:t>One-Time Sign-On Cash Award</w:t>
            </w:r>
          </w:p>
        </w:tc>
        <w:tc>
          <w:tcPr>
            <w:tcW w:w="1760" w:type="dxa"/>
            <w:vAlign w:val="bottom"/>
            <w:tcBorders>
              <w:bottom w:val="single" w:sz="8" w:color="auto"/>
            </w:tcBorders>
          </w:tcPr>
          <w:p>
            <w:pPr>
              <w:jc w:val="right"/>
              <w:ind w:right="359"/>
              <w:spacing w:after="0" w:line="183" w:lineRule="exact"/>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500,000</w:t>
            </w:r>
          </w:p>
        </w:tc>
      </w:tr>
      <w:tr>
        <w:trPr>
          <w:trHeight w:val="230"/>
        </w:trPr>
        <w:tc>
          <w:tcPr>
            <w:tcW w:w="1880" w:type="dxa"/>
            <w:vAlign w:val="bottom"/>
            <w:tcBorders>
              <w:bottom w:val="single" w:sz="8" w:color="08228B"/>
            </w:tcBorders>
          </w:tcPr>
          <w:p>
            <w:pPr>
              <w:ind w:left="40"/>
              <w:spacing w:after="0" w:line="223" w:lineRule="exact"/>
              <w:rPr>
                <w:sz w:val="20"/>
                <w:szCs w:val="20"/>
                <w:color w:val="auto"/>
              </w:rPr>
            </w:pPr>
            <w:r>
              <w:rPr>
                <w:rFonts w:ascii="Arial" w:cs="Arial" w:eastAsia="Arial" w:hAnsi="Arial"/>
                <w:sz w:val="15"/>
                <w:szCs w:val="15"/>
                <w:color w:val="auto"/>
              </w:rPr>
              <w:t>Sign-On RSUs</w:t>
            </w:r>
            <w:r>
              <w:rPr>
                <w:rFonts w:ascii="Arial" w:cs="Arial" w:eastAsia="Arial" w:hAnsi="Arial"/>
                <w:sz w:val="25"/>
                <w:szCs w:val="25"/>
                <w:color w:val="auto"/>
                <w:vertAlign w:val="superscript"/>
              </w:rPr>
              <w:t>(2)</w:t>
            </w:r>
          </w:p>
        </w:tc>
        <w:tc>
          <w:tcPr>
            <w:tcW w:w="6400" w:type="dxa"/>
            <w:vAlign w:val="bottom"/>
            <w:tcBorders>
              <w:bottom w:val="single" w:sz="8" w:color="08228B"/>
            </w:tcBorders>
          </w:tcPr>
          <w:p>
            <w:pPr>
              <w:ind w:left="620"/>
              <w:spacing w:after="0"/>
              <w:rPr>
                <w:sz w:val="20"/>
                <w:szCs w:val="20"/>
                <w:color w:val="auto"/>
              </w:rPr>
            </w:pPr>
            <w:r>
              <w:rPr>
                <w:rFonts w:ascii="Arial" w:cs="Arial" w:eastAsia="Arial" w:hAnsi="Arial"/>
                <w:sz w:val="16"/>
                <w:szCs w:val="16"/>
                <w:color w:val="auto"/>
              </w:rPr>
              <w:t>Performance to Stock Price</w:t>
            </w:r>
          </w:p>
        </w:tc>
        <w:tc>
          <w:tcPr>
            <w:tcW w:w="1760" w:type="dxa"/>
            <w:vAlign w:val="bottom"/>
            <w:tcBorders>
              <w:bottom w:val="single" w:sz="8" w:color="08228B"/>
            </w:tcBorders>
          </w:tcPr>
          <w:p>
            <w:pPr>
              <w:jc w:val="right"/>
              <w:ind w:right="3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08228B"/>
            </w:tcBorders>
          </w:tcPr>
          <w:p>
            <w:pPr>
              <w:jc w:val="right"/>
              <w:ind w:right="19"/>
              <w:spacing w:after="0"/>
              <w:rPr>
                <w:sz w:val="20"/>
                <w:szCs w:val="20"/>
                <w:color w:val="auto"/>
              </w:rPr>
            </w:pPr>
            <w:r>
              <w:rPr>
                <w:rFonts w:ascii="Arial" w:cs="Arial" w:eastAsia="Arial" w:hAnsi="Arial"/>
                <w:sz w:val="16"/>
                <w:szCs w:val="16"/>
                <w:color w:val="auto"/>
              </w:rPr>
              <w:t>2,550,013</w:t>
            </w:r>
          </w:p>
        </w:tc>
      </w:tr>
      <w:tr>
        <w:trPr>
          <w:trHeight w:val="196"/>
        </w:trPr>
        <w:tc>
          <w:tcPr>
            <w:tcW w:w="8280" w:type="dxa"/>
            <w:vAlign w:val="bottom"/>
            <w:tcBorders>
              <w:bottom w:val="single" w:sz="8" w:color="08228B"/>
            </w:tcBorders>
            <w:gridSpan w:val="2"/>
          </w:tcPr>
          <w:p>
            <w:pPr>
              <w:ind w:left="40"/>
              <w:spacing w:after="0"/>
              <w:rPr>
                <w:sz w:val="20"/>
                <w:szCs w:val="20"/>
                <w:color w:val="auto"/>
              </w:rPr>
            </w:pPr>
            <w:r>
              <w:rPr>
                <w:rFonts w:ascii="Arial" w:cs="Arial" w:eastAsia="Arial" w:hAnsi="Arial"/>
                <w:sz w:val="16"/>
                <w:szCs w:val="16"/>
                <w:b w:val="1"/>
                <w:bCs w:val="1"/>
                <w:color w:val="08228B"/>
              </w:rPr>
              <w:t>TOTAL WITH ONE-TIME AWARDS</w:t>
            </w:r>
          </w:p>
        </w:tc>
        <w:tc>
          <w:tcPr>
            <w:tcW w:w="1760" w:type="dxa"/>
            <w:vAlign w:val="bottom"/>
            <w:tcBorders>
              <w:bottom w:val="single" w:sz="8" w:color="08228B"/>
            </w:tcBorders>
          </w:tcPr>
          <w:p>
            <w:pPr>
              <w:jc w:val="right"/>
              <w:ind w:right="359"/>
              <w:spacing w:after="0"/>
              <w:rPr>
                <w:sz w:val="20"/>
                <w:szCs w:val="20"/>
                <w:color w:val="auto"/>
              </w:rPr>
            </w:pPr>
            <w:r>
              <w:rPr>
                <w:rFonts w:ascii="Arial" w:cs="Arial" w:eastAsia="Arial" w:hAnsi="Arial"/>
                <w:sz w:val="16"/>
                <w:szCs w:val="16"/>
                <w:b w:val="1"/>
                <w:bCs w:val="1"/>
                <w:color w:val="08228B"/>
              </w:rPr>
              <w:t>$</w:t>
            </w:r>
          </w:p>
        </w:tc>
        <w:tc>
          <w:tcPr>
            <w:tcW w:w="1260" w:type="dxa"/>
            <w:vAlign w:val="bottom"/>
            <w:tcBorders>
              <w:bottom w:val="single" w:sz="8" w:color="08228B"/>
            </w:tcBorders>
          </w:tcPr>
          <w:p>
            <w:pPr>
              <w:jc w:val="right"/>
              <w:ind w:right="19"/>
              <w:spacing w:after="0"/>
              <w:rPr>
                <w:sz w:val="20"/>
                <w:szCs w:val="20"/>
                <w:color w:val="auto"/>
              </w:rPr>
            </w:pPr>
            <w:r>
              <w:rPr>
                <w:rFonts w:ascii="Arial" w:cs="Arial" w:eastAsia="Arial" w:hAnsi="Arial"/>
                <w:sz w:val="16"/>
                <w:szCs w:val="16"/>
                <w:b w:val="1"/>
                <w:bCs w:val="1"/>
                <w:color w:val="08228B"/>
              </w:rPr>
              <w:t>8,294,755</w:t>
            </w:r>
          </w:p>
        </w:tc>
      </w:tr>
    </w:tbl>
    <w:p>
      <w:pPr>
        <w:spacing w:after="0" w:line="58" w:lineRule="exact"/>
        <w:rPr>
          <w:sz w:val="20"/>
          <w:szCs w:val="20"/>
          <w:color w:val="auto"/>
        </w:rPr>
      </w:pPr>
    </w:p>
    <w:p>
      <w:pPr>
        <w:ind w:left="500" w:hanging="492"/>
        <w:spacing w:after="0"/>
        <w:tabs>
          <w:tab w:leader="none" w:pos="500" w:val="left"/>
        </w:tabs>
        <w:numPr>
          <w:ilvl w:val="0"/>
          <w:numId w:val="82"/>
        </w:numPr>
        <w:rPr>
          <w:rFonts w:ascii="Arial" w:cs="Arial" w:eastAsia="Arial" w:hAnsi="Arial"/>
          <w:sz w:val="14"/>
          <w:szCs w:val="14"/>
          <w:i w:val="1"/>
          <w:iCs w:val="1"/>
          <w:color w:val="auto"/>
        </w:rPr>
      </w:pPr>
      <w:r>
        <w:rPr>
          <w:rFonts w:ascii="Arial" w:cs="Arial" w:eastAsia="Arial" w:hAnsi="Arial"/>
          <w:sz w:val="14"/>
          <w:szCs w:val="14"/>
          <w:i w:val="1"/>
          <w:iCs w:val="1"/>
          <w:color w:val="auto"/>
        </w:rPr>
        <w:t>PSUs and DSV Options are subject to performance vesting, and not all awards may vest as displayed.</w:t>
      </w:r>
    </w:p>
    <w:p>
      <w:pPr>
        <w:spacing w:after="0" w:line="15" w:lineRule="exact"/>
        <w:rPr>
          <w:rFonts w:ascii="Arial" w:cs="Arial" w:eastAsia="Arial" w:hAnsi="Arial"/>
          <w:sz w:val="14"/>
          <w:szCs w:val="14"/>
          <w:i w:val="1"/>
          <w:iCs w:val="1"/>
          <w:color w:val="auto"/>
        </w:rPr>
      </w:pPr>
    </w:p>
    <w:p>
      <w:pPr>
        <w:ind w:left="500" w:hanging="492"/>
        <w:spacing w:after="0"/>
        <w:tabs>
          <w:tab w:leader="none" w:pos="500" w:val="left"/>
        </w:tabs>
        <w:numPr>
          <w:ilvl w:val="0"/>
          <w:numId w:val="82"/>
        </w:numPr>
        <w:rPr>
          <w:rFonts w:ascii="Arial" w:cs="Arial" w:eastAsia="Arial" w:hAnsi="Arial"/>
          <w:sz w:val="14"/>
          <w:szCs w:val="14"/>
          <w:i w:val="1"/>
          <w:iCs w:val="1"/>
          <w:color w:val="auto"/>
        </w:rPr>
      </w:pPr>
      <w:r>
        <w:rPr>
          <w:rFonts w:ascii="Arial" w:cs="Arial" w:eastAsia="Arial" w:hAnsi="Arial"/>
          <w:sz w:val="14"/>
          <w:szCs w:val="14"/>
          <w:i w:val="1"/>
          <w:iCs w:val="1"/>
          <w:color w:val="auto"/>
        </w:rPr>
        <w:t>RSUs are subject to time-based 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69150" cy="1714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13"/>
        </w:trPr>
        <w:tc>
          <w:tcPr>
            <w:tcW w:w="4340" w:type="dxa"/>
            <w:vAlign w:val="bottom"/>
            <w:tcBorders>
              <w:bottom w:val="single" w:sz="8" w:color="08228B"/>
            </w:tcBorders>
          </w:tcPr>
          <w:p>
            <w:pPr>
              <w:spacing w:after="0"/>
              <w:rPr>
                <w:sz w:val="9"/>
                <w:szCs w:val="9"/>
                <w:color w:val="auto"/>
              </w:rPr>
            </w:pPr>
          </w:p>
        </w:tc>
        <w:tc>
          <w:tcPr>
            <w:tcW w:w="2060" w:type="dxa"/>
            <w:vAlign w:val="bottom"/>
            <w:vMerge w:val="restart"/>
          </w:tcPr>
          <w:p>
            <w:pPr>
              <w:ind w:left="60"/>
              <w:spacing w:after="0"/>
              <w:rPr>
                <w:sz w:val="20"/>
                <w:szCs w:val="20"/>
                <w:color w:val="auto"/>
              </w:rPr>
            </w:pPr>
            <w:r>
              <w:rPr>
                <w:rFonts w:ascii="Arial" w:cs="Arial" w:eastAsia="Arial" w:hAnsi="Arial"/>
                <w:sz w:val="16"/>
                <w:szCs w:val="16"/>
                <w:b w:val="1"/>
                <w:bCs w:val="1"/>
                <w:color w:val="1C90D3"/>
              </w:rPr>
              <w:t xml:space="preserve">2016 </w:t>
            </w:r>
            <w:r>
              <w:rPr>
                <w:rFonts w:ascii="Arial" w:cs="Arial" w:eastAsia="Arial" w:hAnsi="Arial"/>
                <w:sz w:val="16"/>
                <w:szCs w:val="16"/>
                <w:color w:val="08228B"/>
              </w:rPr>
              <w:t>PROXY STATEMENT</w:t>
            </w:r>
          </w:p>
        </w:tc>
        <w:tc>
          <w:tcPr>
            <w:tcW w:w="2400" w:type="dxa"/>
            <w:vAlign w:val="bottom"/>
            <w:tcBorders>
              <w:bottom w:val="single" w:sz="8" w:color="08228B"/>
            </w:tcBorders>
          </w:tcPr>
          <w:p>
            <w:pPr>
              <w:spacing w:after="0"/>
              <w:rPr>
                <w:sz w:val="9"/>
                <w:szCs w:val="9"/>
                <w:color w:val="auto"/>
              </w:rPr>
            </w:pPr>
          </w:p>
        </w:tc>
        <w:tc>
          <w:tcPr>
            <w:tcW w:w="2620" w:type="dxa"/>
            <w:vAlign w:val="bottom"/>
            <w:vMerge w:val="restart"/>
          </w:tcPr>
          <w:p>
            <w:pPr>
              <w:jc w:val="right"/>
              <w:ind w:right="39"/>
              <w:spacing w:after="0"/>
              <w:rPr>
                <w:sz w:val="20"/>
                <w:szCs w:val="20"/>
                <w:color w:val="auto"/>
              </w:rPr>
            </w:pPr>
            <w:r>
              <w:rPr>
                <w:rFonts w:ascii="Arial" w:cs="Arial" w:eastAsia="Arial" w:hAnsi="Arial"/>
                <w:sz w:val="16"/>
                <w:szCs w:val="16"/>
                <w:color w:val="08228B"/>
              </w:rPr>
              <w:t>51</w:t>
            </w:r>
          </w:p>
        </w:tc>
        <w:tc>
          <w:tcPr>
            <w:tcW w:w="0" w:type="dxa"/>
            <w:vAlign w:val="bottom"/>
          </w:tcPr>
          <w:p>
            <w:pPr>
              <w:spacing w:after="0"/>
              <w:rPr>
                <w:sz w:val="1"/>
                <w:szCs w:val="1"/>
                <w:color w:val="auto"/>
              </w:rPr>
            </w:pPr>
          </w:p>
        </w:tc>
      </w:tr>
      <w:tr>
        <w:trPr>
          <w:trHeight w:val="82"/>
        </w:trPr>
        <w:tc>
          <w:tcPr>
            <w:tcW w:w="4340" w:type="dxa"/>
            <w:vAlign w:val="bottom"/>
          </w:tcPr>
          <w:p>
            <w:pPr>
              <w:spacing w:after="0"/>
              <w:rPr>
                <w:sz w:val="7"/>
                <w:szCs w:val="7"/>
                <w:color w:val="auto"/>
              </w:rPr>
            </w:pPr>
          </w:p>
        </w:tc>
        <w:tc>
          <w:tcPr>
            <w:tcW w:w="2060" w:type="dxa"/>
            <w:vAlign w:val="bottom"/>
            <w:vMerge w:val="continue"/>
          </w:tcPr>
          <w:p>
            <w:pPr>
              <w:spacing w:after="0"/>
              <w:rPr>
                <w:sz w:val="7"/>
                <w:szCs w:val="7"/>
                <w:color w:val="auto"/>
              </w:rPr>
            </w:pPr>
          </w:p>
        </w:tc>
        <w:tc>
          <w:tcPr>
            <w:tcW w:w="2400" w:type="dxa"/>
            <w:vAlign w:val="bottom"/>
          </w:tcPr>
          <w:p>
            <w:pPr>
              <w:spacing w:after="0"/>
              <w:rPr>
                <w:sz w:val="7"/>
                <w:szCs w:val="7"/>
                <w:color w:val="auto"/>
              </w:rPr>
            </w:pPr>
          </w:p>
        </w:tc>
        <w:tc>
          <w:tcPr>
            <w:tcW w:w="2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7"/>
        </w:trPr>
        <w:tc>
          <w:tcPr>
            <w:tcW w:w="4340" w:type="dxa"/>
            <w:vAlign w:val="bottom"/>
            <w:tcBorders>
              <w:bottom w:val="single" w:sz="8" w:color="C0C0C0"/>
            </w:tcBorders>
          </w:tcPr>
          <w:p>
            <w:pPr>
              <w:spacing w:after="0"/>
              <w:rPr>
                <w:sz w:val="24"/>
                <w:szCs w:val="24"/>
                <w:color w:val="auto"/>
              </w:rPr>
            </w:pPr>
          </w:p>
        </w:tc>
        <w:tc>
          <w:tcPr>
            <w:tcW w:w="2060" w:type="dxa"/>
            <w:vAlign w:val="bottom"/>
            <w:tcBorders>
              <w:bottom w:val="single" w:sz="8" w:color="C0C0C0"/>
            </w:tcBorders>
          </w:tcPr>
          <w:p>
            <w:pPr>
              <w:spacing w:after="0"/>
              <w:rPr>
                <w:sz w:val="24"/>
                <w:szCs w:val="24"/>
                <w:color w:val="auto"/>
              </w:rPr>
            </w:pPr>
          </w:p>
        </w:tc>
        <w:tc>
          <w:tcPr>
            <w:tcW w:w="2400" w:type="dxa"/>
            <w:vAlign w:val="bottom"/>
            <w:tcBorders>
              <w:bottom w:val="single" w:sz="8" w:color="C0C0C0"/>
            </w:tcBorders>
          </w:tcPr>
          <w:p>
            <w:pPr>
              <w:spacing w:after="0"/>
              <w:rPr>
                <w:sz w:val="24"/>
                <w:szCs w:val="24"/>
                <w:color w:val="auto"/>
              </w:rPr>
            </w:pPr>
          </w:p>
        </w:tc>
        <w:tc>
          <w:tcPr>
            <w:tcW w:w="262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5613400</wp:posOffset>
            </wp:positionH>
            <wp:positionV relativeFrom="paragraph">
              <wp:posOffset>-334010</wp:posOffset>
            </wp:positionV>
            <wp:extent cx="1286510" cy="8572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1286510" cy="8572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Back to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32"/>
          <w:szCs w:val="32"/>
          <w:color w:val="1C90D3"/>
        </w:rPr>
        <w:t>Compensation Policies and Governance Practices</w:t>
      </w:r>
    </w:p>
    <w:p>
      <w:pPr>
        <w:spacing w:after="0" w:line="386" w:lineRule="exact"/>
        <w:rPr>
          <w:sz w:val="20"/>
          <w:szCs w:val="20"/>
          <w:color w:val="auto"/>
        </w:rPr>
      </w:pPr>
    </w:p>
    <w:p>
      <w:pPr>
        <w:ind w:left="500" w:hanging="492"/>
        <w:spacing w:after="0"/>
        <w:tabs>
          <w:tab w:leader="none" w:pos="500" w:val="left"/>
        </w:tabs>
        <w:numPr>
          <w:ilvl w:val="0"/>
          <w:numId w:val="83"/>
        </w:numPr>
        <w:rPr>
          <w:rFonts w:ascii="Arial" w:cs="Arial" w:eastAsia="Arial" w:hAnsi="Arial"/>
          <w:sz w:val="25"/>
          <w:szCs w:val="25"/>
          <w:color w:val="08228B"/>
        </w:rPr>
      </w:pPr>
      <w:r>
        <w:rPr>
          <w:rFonts w:ascii="Arial" w:cs="Arial" w:eastAsia="Arial" w:hAnsi="Arial"/>
          <w:sz w:val="25"/>
          <w:szCs w:val="25"/>
          <w:color w:val="auto"/>
        </w:rPr>
        <w:t>Stock Ownership Requirements</w:t>
      </w:r>
    </w:p>
    <w:p>
      <w:pPr>
        <w:spacing w:after="0" w:line="199"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In June 2014, in conjunction with shareholder approval of the STIP and LTIP, the Compensation Committee implemented stock ownership requirements to more closely align the interests of executives with those of our shareholders. The requirements:</w:t>
      </w:r>
    </w:p>
    <w:p>
      <w:pPr>
        <w:spacing w:after="0" w:line="169" w:lineRule="exact"/>
        <w:rPr>
          <w:sz w:val="20"/>
          <w:szCs w:val="20"/>
          <w:color w:val="auto"/>
        </w:rPr>
      </w:pPr>
    </w:p>
    <w:p>
      <w:pPr>
        <w:ind w:left="180" w:hanging="127"/>
        <w:spacing w:after="0"/>
        <w:tabs>
          <w:tab w:leader="none" w:pos="180" w:val="left"/>
        </w:tabs>
        <w:numPr>
          <w:ilvl w:val="1"/>
          <w:numId w:val="84"/>
        </w:numPr>
        <w:rPr>
          <w:rFonts w:ascii="Arial" w:cs="Arial" w:eastAsia="Arial" w:hAnsi="Arial"/>
          <w:sz w:val="16"/>
          <w:szCs w:val="16"/>
          <w:color w:val="08228B"/>
        </w:rPr>
      </w:pPr>
      <w:r>
        <w:rPr>
          <w:rFonts w:ascii="Arial" w:cs="Arial" w:eastAsia="Arial" w:hAnsi="Arial"/>
          <w:sz w:val="16"/>
          <w:szCs w:val="16"/>
          <w:color w:val="auto"/>
        </w:rPr>
        <w:t>cover approximately 300 senior leaders;</w:t>
      </w:r>
    </w:p>
    <w:p>
      <w:pPr>
        <w:spacing w:after="0" w:line="194" w:lineRule="exact"/>
        <w:rPr>
          <w:rFonts w:ascii="Arial" w:cs="Arial" w:eastAsia="Arial" w:hAnsi="Arial"/>
          <w:sz w:val="16"/>
          <w:szCs w:val="16"/>
          <w:color w:val="08228B"/>
        </w:rPr>
      </w:pPr>
    </w:p>
    <w:p>
      <w:pPr>
        <w:ind w:left="180" w:hanging="172"/>
        <w:spacing w:after="0"/>
        <w:tabs>
          <w:tab w:leader="none" w:pos="180" w:val="left"/>
        </w:tabs>
        <w:numPr>
          <w:ilvl w:val="0"/>
          <w:numId w:val="84"/>
        </w:numPr>
        <w:rPr>
          <w:rFonts w:ascii="Arial" w:cs="Arial" w:eastAsia="Arial" w:hAnsi="Arial"/>
          <w:sz w:val="16"/>
          <w:szCs w:val="16"/>
          <w:color w:val="08228B"/>
        </w:rPr>
      </w:pPr>
      <w:r>
        <w:rPr>
          <w:rFonts w:ascii="Arial" w:cs="Arial" w:eastAsia="Arial" w:hAnsi="Arial"/>
          <w:sz w:val="16"/>
          <w:szCs w:val="16"/>
          <w:color w:val="auto"/>
        </w:rPr>
        <w:t>set five years as the time frame for ownership requirements;</w:t>
      </w:r>
    </w:p>
    <w:p>
      <w:pPr>
        <w:spacing w:after="0" w:line="194" w:lineRule="exact"/>
        <w:rPr>
          <w:rFonts w:ascii="Arial" w:cs="Arial" w:eastAsia="Arial" w:hAnsi="Arial"/>
          <w:sz w:val="16"/>
          <w:szCs w:val="16"/>
          <w:color w:val="08228B"/>
        </w:rPr>
      </w:pPr>
    </w:p>
    <w:p>
      <w:pPr>
        <w:ind w:left="180" w:hanging="172"/>
        <w:spacing w:after="0"/>
        <w:tabs>
          <w:tab w:leader="none" w:pos="180" w:val="left"/>
        </w:tabs>
        <w:numPr>
          <w:ilvl w:val="0"/>
          <w:numId w:val="84"/>
        </w:numPr>
        <w:rPr>
          <w:rFonts w:ascii="Arial" w:cs="Arial" w:eastAsia="Arial" w:hAnsi="Arial"/>
          <w:sz w:val="16"/>
          <w:szCs w:val="16"/>
          <w:color w:val="08228B"/>
        </w:rPr>
      </w:pPr>
      <w:r>
        <w:rPr>
          <w:rFonts w:ascii="Arial" w:cs="Arial" w:eastAsia="Arial" w:hAnsi="Arial"/>
          <w:sz w:val="16"/>
          <w:szCs w:val="16"/>
          <w:color w:val="auto"/>
        </w:rPr>
        <w:t>establish a multiple of each executive’s base salary on the date they are first covered; and</w:t>
      </w:r>
    </w:p>
    <w:p>
      <w:pPr>
        <w:spacing w:after="0" w:line="194" w:lineRule="exact"/>
        <w:rPr>
          <w:rFonts w:ascii="Arial" w:cs="Arial" w:eastAsia="Arial" w:hAnsi="Arial"/>
          <w:sz w:val="16"/>
          <w:szCs w:val="16"/>
          <w:color w:val="08228B"/>
        </w:rPr>
      </w:pPr>
    </w:p>
    <w:p>
      <w:pPr>
        <w:ind w:left="180" w:hanging="172"/>
        <w:spacing w:after="0"/>
        <w:tabs>
          <w:tab w:leader="none" w:pos="180" w:val="left"/>
        </w:tabs>
        <w:numPr>
          <w:ilvl w:val="0"/>
          <w:numId w:val="84"/>
        </w:numPr>
        <w:rPr>
          <w:rFonts w:ascii="Arial" w:cs="Arial" w:eastAsia="Arial" w:hAnsi="Arial"/>
          <w:sz w:val="16"/>
          <w:szCs w:val="16"/>
          <w:color w:val="08228B"/>
        </w:rPr>
      </w:pPr>
      <w:r>
        <w:rPr>
          <w:rFonts w:ascii="Arial" w:cs="Arial" w:eastAsia="Arial" w:hAnsi="Arial"/>
          <w:sz w:val="16"/>
          <w:szCs w:val="16"/>
          <w:color w:val="auto"/>
        </w:rPr>
        <w:t>make it possible to meet ownership requirements by owning a multiple of base or required shares.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table to the right shows the stock ownership requirement by level in the Company as well as ownership requirements for each of our NEOs.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660" w:type="dxa"/>
            <w:vAlign w:val="bottom"/>
            <w:tcBorders>
              <w:top w:val="single" w:sz="8" w:color="1C90D3"/>
            </w:tcBorders>
          </w:tcPr>
          <w:p>
            <w:pPr>
              <w:spacing w:after="0"/>
              <w:rPr>
                <w:sz w:val="17"/>
                <w:szCs w:val="17"/>
                <w:color w:val="auto"/>
              </w:rPr>
            </w:pPr>
          </w:p>
        </w:tc>
        <w:tc>
          <w:tcPr>
            <w:tcW w:w="5640" w:type="dxa"/>
            <w:vAlign w:val="bottom"/>
            <w:tcBorders>
              <w:top w:val="single" w:sz="8" w:color="1C90D3"/>
            </w:tcBorders>
          </w:tcPr>
          <w:p>
            <w:pPr>
              <w:jc w:val="right"/>
              <w:spacing w:after="0"/>
              <w:rPr>
                <w:sz w:val="20"/>
                <w:szCs w:val="20"/>
                <w:color w:val="auto"/>
              </w:rPr>
            </w:pPr>
            <w:r>
              <w:rPr>
                <w:rFonts w:ascii="Arial" w:cs="Arial" w:eastAsia="Arial" w:hAnsi="Arial"/>
                <w:sz w:val="16"/>
                <w:szCs w:val="16"/>
                <w:b w:val="1"/>
                <w:bCs w:val="1"/>
                <w:color w:val="1C90D3"/>
              </w:rPr>
              <w:t>Ownership Requirement</w:t>
            </w:r>
          </w:p>
        </w:tc>
        <w:tc>
          <w:tcPr>
            <w:tcW w:w="0" w:type="dxa"/>
            <w:vAlign w:val="bottom"/>
          </w:tcPr>
          <w:p>
            <w:pPr>
              <w:spacing w:after="0"/>
              <w:rPr>
                <w:sz w:val="1"/>
                <w:szCs w:val="1"/>
                <w:color w:val="auto"/>
              </w:rPr>
            </w:pPr>
          </w:p>
        </w:tc>
      </w:tr>
      <w:tr>
        <w:trPr>
          <w:trHeight w:val="214"/>
        </w:trPr>
        <w:tc>
          <w:tcPr>
            <w:tcW w:w="5660" w:type="dxa"/>
            <w:vAlign w:val="bottom"/>
            <w:tcBorders>
              <w:bottom w:val="single" w:sz="8" w:color="1C90D3"/>
            </w:tcBorders>
          </w:tcPr>
          <w:p>
            <w:pPr>
              <w:ind w:left="40"/>
              <w:spacing w:after="0"/>
              <w:rPr>
                <w:sz w:val="20"/>
                <w:szCs w:val="20"/>
                <w:color w:val="auto"/>
              </w:rPr>
            </w:pPr>
            <w:r>
              <w:rPr>
                <w:rFonts w:ascii="Arial" w:cs="Arial" w:eastAsia="Arial" w:hAnsi="Arial"/>
                <w:sz w:val="16"/>
                <w:szCs w:val="16"/>
                <w:b w:val="1"/>
                <w:bCs w:val="1"/>
                <w:color w:val="1C90D3"/>
              </w:rPr>
              <w:t>Position</w:t>
            </w:r>
          </w:p>
        </w:tc>
        <w:tc>
          <w:tcPr>
            <w:tcW w:w="5640" w:type="dxa"/>
            <w:vAlign w:val="bottom"/>
            <w:tcBorders>
              <w:bottom w:val="single" w:sz="8" w:color="1C90D3"/>
            </w:tcBorders>
          </w:tcPr>
          <w:p>
            <w:pPr>
              <w:jc w:val="right"/>
              <w:spacing w:after="0"/>
              <w:rPr>
                <w:sz w:val="20"/>
                <w:szCs w:val="20"/>
                <w:color w:val="auto"/>
              </w:rPr>
            </w:pPr>
            <w:r>
              <w:rPr>
                <w:rFonts w:ascii="Arial" w:cs="Arial" w:eastAsia="Arial" w:hAnsi="Arial"/>
                <w:sz w:val="16"/>
                <w:szCs w:val="16"/>
                <w:b w:val="1"/>
                <w:bCs w:val="1"/>
                <w:color w:val="1C90D3"/>
              </w:rPr>
              <w:t>as a Multiple of Salary</w:t>
            </w:r>
          </w:p>
        </w:tc>
        <w:tc>
          <w:tcPr>
            <w:tcW w:w="0" w:type="dxa"/>
            <w:vAlign w:val="bottom"/>
          </w:tcPr>
          <w:p>
            <w:pPr>
              <w:spacing w:after="0"/>
              <w:rPr>
                <w:sz w:val="1"/>
                <w:szCs w:val="1"/>
                <w:color w:val="auto"/>
              </w:rPr>
            </w:pPr>
          </w:p>
        </w:tc>
      </w:tr>
      <w:tr>
        <w:trPr>
          <w:trHeight w:val="189"/>
        </w:trPr>
        <w:tc>
          <w:tcPr>
            <w:tcW w:w="56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08228B"/>
              </w:rPr>
              <w:t xml:space="preserve">• </w:t>
            </w:r>
            <w:r>
              <w:rPr>
                <w:rFonts w:ascii="Arial" w:cs="Arial" w:eastAsia="Arial" w:hAnsi="Arial"/>
                <w:sz w:val="16"/>
                <w:szCs w:val="16"/>
                <w:color w:val="000000"/>
              </w:rPr>
              <w:t>CEO</w:t>
            </w:r>
          </w:p>
        </w:tc>
        <w:tc>
          <w:tcPr>
            <w:tcW w:w="5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6x</w:t>
            </w:r>
          </w:p>
        </w:tc>
        <w:tc>
          <w:tcPr>
            <w:tcW w:w="0" w:type="dxa"/>
            <w:vAlign w:val="bottom"/>
          </w:tcPr>
          <w:p>
            <w:pPr>
              <w:spacing w:after="0"/>
              <w:rPr>
                <w:sz w:val="1"/>
                <w:szCs w:val="1"/>
                <w:color w:val="auto"/>
              </w:rPr>
            </w:pPr>
          </w:p>
        </w:tc>
      </w:tr>
      <w:tr>
        <w:trPr>
          <w:trHeight w:val="184"/>
        </w:trPr>
        <w:tc>
          <w:tcPr>
            <w:tcW w:w="5660" w:type="dxa"/>
            <w:vAlign w:val="bottom"/>
          </w:tcPr>
          <w:p>
            <w:pPr>
              <w:ind w:left="40"/>
              <w:spacing w:after="0"/>
              <w:rPr>
                <w:sz w:val="20"/>
                <w:szCs w:val="20"/>
                <w:color w:val="auto"/>
              </w:rPr>
            </w:pPr>
            <w:r>
              <w:rPr>
                <w:rFonts w:ascii="Arial" w:cs="Arial" w:eastAsia="Arial" w:hAnsi="Arial"/>
                <w:sz w:val="16"/>
                <w:szCs w:val="16"/>
                <w:color w:val="08228B"/>
              </w:rPr>
              <w:t xml:space="preserve">• </w:t>
            </w:r>
            <w:r>
              <w:rPr>
                <w:rFonts w:ascii="Arial" w:cs="Arial" w:eastAsia="Arial" w:hAnsi="Arial"/>
                <w:sz w:val="16"/>
                <w:szCs w:val="16"/>
                <w:color w:val="000000"/>
              </w:rPr>
              <w:t>President</w:t>
            </w:r>
          </w:p>
        </w:tc>
        <w:tc>
          <w:tcPr>
            <w:tcW w:w="5640" w:type="dxa"/>
            <w:vAlign w:val="bottom"/>
            <w:vMerge w:val="restart"/>
          </w:tcPr>
          <w:p>
            <w:pPr>
              <w:jc w:val="right"/>
              <w:spacing w:after="0"/>
              <w:rPr>
                <w:sz w:val="20"/>
                <w:szCs w:val="20"/>
                <w:color w:val="auto"/>
              </w:rPr>
            </w:pPr>
            <w:r>
              <w:rPr>
                <w:rFonts w:ascii="Arial" w:cs="Arial" w:eastAsia="Arial" w:hAnsi="Arial"/>
                <w:sz w:val="16"/>
                <w:szCs w:val="16"/>
                <w:color w:val="auto"/>
              </w:rPr>
              <w:t>4x</w:t>
            </w:r>
          </w:p>
        </w:tc>
        <w:tc>
          <w:tcPr>
            <w:tcW w:w="0" w:type="dxa"/>
            <w:vAlign w:val="bottom"/>
          </w:tcPr>
          <w:p>
            <w:pPr>
              <w:spacing w:after="0"/>
              <w:rPr>
                <w:sz w:val="1"/>
                <w:szCs w:val="1"/>
                <w:color w:val="auto"/>
              </w:rPr>
            </w:pPr>
          </w:p>
        </w:tc>
      </w:tr>
      <w:tr>
        <w:trPr>
          <w:trHeight w:val="100"/>
        </w:trPr>
        <w:tc>
          <w:tcPr>
            <w:tcW w:w="5660" w:type="dxa"/>
            <w:vAlign w:val="bottom"/>
            <w:vMerge w:val="restart"/>
          </w:tcPr>
          <w:p>
            <w:pPr>
              <w:ind w:left="40"/>
              <w:spacing w:after="0"/>
              <w:rPr>
                <w:sz w:val="20"/>
                <w:szCs w:val="20"/>
                <w:color w:val="auto"/>
              </w:rPr>
            </w:pPr>
            <w:r>
              <w:rPr>
                <w:rFonts w:ascii="Arial" w:cs="Arial" w:eastAsia="Arial" w:hAnsi="Arial"/>
                <w:sz w:val="16"/>
                <w:szCs w:val="16"/>
                <w:color w:val="08228B"/>
              </w:rPr>
              <w:t xml:space="preserve">• </w:t>
            </w:r>
            <w:r>
              <w:rPr>
                <w:rFonts w:ascii="Arial" w:cs="Arial" w:eastAsia="Arial" w:hAnsi="Arial"/>
                <w:sz w:val="16"/>
                <w:szCs w:val="16"/>
                <w:color w:val="000000"/>
              </w:rPr>
              <w:t>Executive Vice President</w:t>
            </w:r>
          </w:p>
        </w:tc>
        <w:tc>
          <w:tcPr>
            <w:tcW w:w="5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5660" w:type="dxa"/>
            <w:vAlign w:val="bottom"/>
            <w:tcBorders>
              <w:bottom w:val="single" w:sz="8" w:color="auto"/>
            </w:tcBorders>
            <w:vMerge w:val="continue"/>
          </w:tcPr>
          <w:p>
            <w:pPr>
              <w:spacing w:after="0"/>
              <w:rPr>
                <w:sz w:val="7"/>
                <w:szCs w:val="7"/>
                <w:color w:val="auto"/>
              </w:rPr>
            </w:pPr>
          </w:p>
        </w:tc>
        <w:tc>
          <w:tcPr>
            <w:tcW w:w="56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5660" w:type="dxa"/>
            <w:vAlign w:val="bottom"/>
            <w:tcBorders>
              <w:bottom w:val="single" w:sz="8" w:color="auto"/>
            </w:tcBorders>
          </w:tcPr>
          <w:p>
            <w:pPr>
              <w:ind w:left="40"/>
              <w:spacing w:after="0" w:line="183" w:lineRule="exact"/>
              <w:rPr>
                <w:sz w:val="20"/>
                <w:szCs w:val="20"/>
                <w:color w:val="auto"/>
              </w:rPr>
            </w:pPr>
            <w:r>
              <w:rPr>
                <w:rFonts w:ascii="Arial" w:cs="Arial" w:eastAsia="Arial" w:hAnsi="Arial"/>
                <w:sz w:val="16"/>
                <w:szCs w:val="16"/>
                <w:color w:val="08228B"/>
              </w:rPr>
              <w:t xml:space="preserve">• </w:t>
            </w:r>
            <w:r>
              <w:rPr>
                <w:rFonts w:ascii="Arial" w:cs="Arial" w:eastAsia="Arial" w:hAnsi="Arial"/>
                <w:sz w:val="16"/>
                <w:szCs w:val="16"/>
                <w:color w:val="000000"/>
              </w:rPr>
              <w:t>Senior Vice President</w:t>
            </w:r>
          </w:p>
        </w:tc>
        <w:tc>
          <w:tcPr>
            <w:tcW w:w="56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3x</w:t>
            </w:r>
          </w:p>
        </w:tc>
        <w:tc>
          <w:tcPr>
            <w:tcW w:w="0" w:type="dxa"/>
            <w:vAlign w:val="bottom"/>
          </w:tcPr>
          <w:p>
            <w:pPr>
              <w:spacing w:after="0"/>
              <w:rPr>
                <w:sz w:val="1"/>
                <w:szCs w:val="1"/>
                <w:color w:val="auto"/>
              </w:rPr>
            </w:pPr>
          </w:p>
        </w:tc>
      </w:tr>
      <w:tr>
        <w:trPr>
          <w:trHeight w:val="190"/>
        </w:trPr>
        <w:tc>
          <w:tcPr>
            <w:tcW w:w="5660" w:type="dxa"/>
            <w:vAlign w:val="bottom"/>
            <w:tcBorders>
              <w:bottom w:val="single" w:sz="8" w:color="08228B"/>
            </w:tcBorders>
          </w:tcPr>
          <w:p>
            <w:pPr>
              <w:ind w:left="40"/>
              <w:spacing w:after="0" w:line="183" w:lineRule="exact"/>
              <w:rPr>
                <w:sz w:val="20"/>
                <w:szCs w:val="20"/>
                <w:color w:val="auto"/>
              </w:rPr>
            </w:pPr>
            <w:r>
              <w:rPr>
                <w:rFonts w:ascii="Arial" w:cs="Arial" w:eastAsia="Arial" w:hAnsi="Arial"/>
                <w:sz w:val="16"/>
                <w:szCs w:val="16"/>
                <w:color w:val="08228B"/>
              </w:rPr>
              <w:t xml:space="preserve">• </w:t>
            </w:r>
            <w:r>
              <w:rPr>
                <w:rFonts w:ascii="Arial" w:cs="Arial" w:eastAsia="Arial" w:hAnsi="Arial"/>
                <w:sz w:val="16"/>
                <w:szCs w:val="16"/>
                <w:color w:val="000000"/>
              </w:rPr>
              <w:t>Senior Executive</w:t>
            </w:r>
          </w:p>
        </w:tc>
        <w:tc>
          <w:tcPr>
            <w:tcW w:w="5640" w:type="dxa"/>
            <w:vAlign w:val="bottom"/>
            <w:tcBorders>
              <w:bottom w:val="single" w:sz="8" w:color="08228B"/>
            </w:tcBorders>
          </w:tcPr>
          <w:p>
            <w:pPr>
              <w:jc w:val="right"/>
              <w:spacing w:after="0" w:line="183" w:lineRule="exact"/>
              <w:rPr>
                <w:sz w:val="20"/>
                <w:szCs w:val="20"/>
                <w:color w:val="auto"/>
              </w:rPr>
            </w:pPr>
            <w:r>
              <w:rPr>
                <w:rFonts w:ascii="Arial" w:cs="Arial" w:eastAsia="Arial" w:hAnsi="Arial"/>
                <w:sz w:val="16"/>
                <w:szCs w:val="16"/>
                <w:color w:val="auto"/>
              </w:rPr>
              <w:t>1x</w:t>
            </w:r>
          </w:p>
        </w:tc>
        <w:tc>
          <w:tcPr>
            <w:tcW w:w="0" w:type="dxa"/>
            <w:vAlign w:val="bottom"/>
          </w:tcPr>
          <w:p>
            <w:pPr>
              <w:spacing w:after="0"/>
              <w:rPr>
                <w:sz w:val="1"/>
                <w:szCs w:val="1"/>
                <w:color w:val="auto"/>
              </w:rPr>
            </w:pPr>
          </w:p>
        </w:tc>
      </w:tr>
    </w:tbl>
    <w:p>
      <w:pPr>
        <w:spacing w:after="0" w:line="191"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share requirement to meet ownership guidelines is based on the 12-month trailing stock price from June 30 in the year the senior leader is first covered by stock ownership requirements. As of December 31, 2015, all NEOs are on track to meet stock ownership requirements by their respective dates.</w:t>
      </w:r>
    </w:p>
    <w:p>
      <w:pPr>
        <w:spacing w:after="0" w:line="290" w:lineRule="exact"/>
        <w:rPr>
          <w:sz w:val="20"/>
          <w:szCs w:val="20"/>
          <w:color w:val="auto"/>
        </w:rPr>
      </w:pPr>
    </w:p>
    <w:p>
      <w:pPr>
        <w:ind w:left="500" w:hanging="492"/>
        <w:spacing w:after="0"/>
        <w:tabs>
          <w:tab w:leader="none" w:pos="500" w:val="left"/>
        </w:tabs>
        <w:numPr>
          <w:ilvl w:val="0"/>
          <w:numId w:val="85"/>
        </w:numPr>
        <w:rPr>
          <w:rFonts w:ascii="Arial" w:cs="Arial" w:eastAsia="Arial" w:hAnsi="Arial"/>
          <w:sz w:val="25"/>
          <w:szCs w:val="25"/>
          <w:color w:val="08228B"/>
        </w:rPr>
      </w:pPr>
      <w:r>
        <w:rPr>
          <w:rFonts w:ascii="Arial" w:cs="Arial" w:eastAsia="Arial" w:hAnsi="Arial"/>
          <w:sz w:val="25"/>
          <w:szCs w:val="25"/>
          <w:color w:val="auto"/>
        </w:rPr>
        <w:t>Policy on Recoupment of Incentive Compensation</w:t>
      </w:r>
    </w:p>
    <w:p>
      <w:pPr>
        <w:spacing w:after="0" w:line="19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 xml:space="preserve">We have adopted a corporate policy to recover incentive compensation paid to executive officers in cases where financial statements are restated because of employee fraud, negligence, or intentional misconduct. Under this clawback policy, which is posted on our website, </w:t>
      </w:r>
      <w:r>
        <w:rPr>
          <w:rFonts w:ascii="Arial" w:cs="Arial" w:eastAsia="Arial" w:hAnsi="Arial"/>
          <w:sz w:val="16"/>
          <w:szCs w:val="16"/>
          <w:i w:val="1"/>
          <w:iCs w:val="1"/>
          <w:color w:val="auto"/>
        </w:rPr>
        <w:t>www.gm.com/investor</w:t>
      </w:r>
      <w:r>
        <w:rPr>
          <w:rFonts w:ascii="Arial" w:cs="Arial" w:eastAsia="Arial" w:hAnsi="Arial"/>
          <w:sz w:val="16"/>
          <w:szCs w:val="16"/>
          <w:color w:val="auto"/>
        </w:rPr>
        <w:t>, under “Corporate Governance,” if our Board or an appropriate Board Committee determines any bonus, retention award, or short or long-term incentive compensation has been paid to any executive officer based on materially inaccurate misstatement of earnings, revenues, gains, or other criteria, the Board or Compensation Committee will take the action it deems necessary to recover the compensation paid, remedy the misconduct, and prevent its recurrence. For this purpose, a financial statement or performance metric will be treated as materially inaccurate when an employee knowingly engaged in providing inaccurate information or knowingly failed to timely correct information relating to those financial statements or performance metrics. We will continue to review our policy to ensure it is consistent with all legal requirements and in the best interests of the Company and its shareholders.</w:t>
      </w:r>
    </w:p>
    <w:p>
      <w:pPr>
        <w:spacing w:after="0" w:line="302" w:lineRule="exact"/>
        <w:rPr>
          <w:sz w:val="20"/>
          <w:szCs w:val="20"/>
          <w:color w:val="auto"/>
        </w:rPr>
      </w:pPr>
    </w:p>
    <w:p>
      <w:pPr>
        <w:ind w:left="500" w:hanging="492"/>
        <w:spacing w:after="0"/>
        <w:tabs>
          <w:tab w:leader="none" w:pos="500" w:val="left"/>
        </w:tabs>
        <w:numPr>
          <w:ilvl w:val="0"/>
          <w:numId w:val="86"/>
        </w:numPr>
        <w:rPr>
          <w:rFonts w:ascii="Arial" w:cs="Arial" w:eastAsia="Arial" w:hAnsi="Arial"/>
          <w:sz w:val="25"/>
          <w:szCs w:val="25"/>
          <w:color w:val="08228B"/>
        </w:rPr>
      </w:pPr>
      <w:r>
        <w:rPr>
          <w:rFonts w:ascii="Arial" w:cs="Arial" w:eastAsia="Arial" w:hAnsi="Arial"/>
          <w:sz w:val="25"/>
          <w:szCs w:val="25"/>
          <w:color w:val="auto"/>
        </w:rPr>
        <w:t>Securities Trading Policy</w:t>
      </w:r>
    </w:p>
    <w:p>
      <w:pPr>
        <w:spacing w:after="0" w:line="19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securities trading policy prohibits our employees from buying or selling GM securities when in possession of material nonpublic information. Any sale or purchase of common stock by directors and executive officers must be made according to a Rule 10b5-1 plan or during pre-established periods after receiving preclearance by a member of the GM Legal Staff.</w:t>
      </w:r>
    </w:p>
    <w:p>
      <w:pPr>
        <w:spacing w:after="0" w:line="174"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 xml:space="preserve">Trading in GM derivatives (i.e., puts or calls), engaging in short sales, and pledging of GM securities is also prohibited. All GM executive officers are in compliance with the policy of not pledging any shares of common stock. This policy is posted on our website, </w:t>
      </w:r>
      <w:r>
        <w:rPr>
          <w:rFonts w:ascii="Arial" w:cs="Arial" w:eastAsia="Arial" w:hAnsi="Arial"/>
          <w:sz w:val="16"/>
          <w:szCs w:val="16"/>
          <w:i w:val="1"/>
          <w:iCs w:val="1"/>
          <w:color w:val="auto"/>
        </w:rPr>
        <w:t>www.gm.com/investor</w:t>
      </w:r>
      <w:r>
        <w:rPr>
          <w:rFonts w:ascii="Arial" w:cs="Arial" w:eastAsia="Arial" w:hAnsi="Arial"/>
          <w:sz w:val="16"/>
          <w:szCs w:val="16"/>
          <w:color w:val="auto"/>
        </w:rPr>
        <w:t>, under “Corporate Governance.”</w:t>
      </w:r>
    </w:p>
    <w:p>
      <w:pPr>
        <w:spacing w:after="0" w:line="296" w:lineRule="exact"/>
        <w:rPr>
          <w:sz w:val="20"/>
          <w:szCs w:val="20"/>
          <w:color w:val="auto"/>
        </w:rPr>
      </w:pPr>
    </w:p>
    <w:p>
      <w:pPr>
        <w:ind w:left="500" w:hanging="492"/>
        <w:spacing w:after="0"/>
        <w:tabs>
          <w:tab w:leader="none" w:pos="500" w:val="left"/>
        </w:tabs>
        <w:numPr>
          <w:ilvl w:val="0"/>
          <w:numId w:val="87"/>
        </w:numPr>
        <w:rPr>
          <w:rFonts w:ascii="Arial" w:cs="Arial" w:eastAsia="Arial" w:hAnsi="Arial"/>
          <w:sz w:val="25"/>
          <w:szCs w:val="25"/>
          <w:color w:val="08228B"/>
        </w:rPr>
      </w:pPr>
      <w:r>
        <w:rPr>
          <w:rFonts w:ascii="Arial" w:cs="Arial" w:eastAsia="Arial" w:hAnsi="Arial"/>
          <w:sz w:val="25"/>
          <w:szCs w:val="25"/>
          <w:color w:val="auto"/>
        </w:rPr>
        <w:t>Tax Considerations</w:t>
      </w:r>
    </w:p>
    <w:p>
      <w:pPr>
        <w:spacing w:after="0" w:line="19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IRC Section 162(m) generally disallows federal tax deductions for compensation in excess of $1 million paid to the CEO and the next three of our highest-paid officers (other than the CFO) whose compensation is required to be reported in the Summary Compensation Table of this Proxy Statement (“Covered Executives”). Certain performance-based compensation is not subject to this deduction limitation. Generally, we strive to maximize the tax deductibility of compensation arrangements. The Compensation Committee, however, may award compensation that is not fully tax deductible if it deems it appropriate as compensation designed to attract and retain talented executives in the highly competitive market for talent.</w:t>
      </w:r>
    </w:p>
    <w:p>
      <w:pPr>
        <w:spacing w:after="0" w:line="17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STIP awards are paid based on the achievement of performance measures approved by shareholders in 2014 as part of the 2014 STIP. Because the STIP awards are intended to be deductible as performance-based compensation under 162(m), the Compensation Committee set the maximum award for each NEO (except the CFO) at $7.5 million. Incentive amounts equal to the maximum will be funded for each covered executive officer once a threshold level of positive EBIT-Adjusted has been achieved. The Compensation Committee then exercises negative discretion, as needed, to determine actual incentive awards based on other business and individual performance, as described in the “Short-Term Incentive Plan” section of the CD&amp;A.</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13"/>
        </w:trPr>
        <w:tc>
          <w:tcPr>
            <w:tcW w:w="4340" w:type="dxa"/>
            <w:vAlign w:val="bottom"/>
            <w:tcBorders>
              <w:bottom w:val="single" w:sz="8" w:color="08228B"/>
            </w:tcBorders>
          </w:tcPr>
          <w:p>
            <w:pPr>
              <w:spacing w:after="0"/>
              <w:rPr>
                <w:sz w:val="9"/>
                <w:szCs w:val="9"/>
                <w:color w:val="auto"/>
              </w:rPr>
            </w:pPr>
          </w:p>
        </w:tc>
        <w:tc>
          <w:tcPr>
            <w:tcW w:w="2060" w:type="dxa"/>
            <w:vAlign w:val="bottom"/>
            <w:vMerge w:val="restart"/>
          </w:tcPr>
          <w:p>
            <w:pPr>
              <w:ind w:left="60"/>
              <w:spacing w:after="0"/>
              <w:rPr>
                <w:sz w:val="20"/>
                <w:szCs w:val="20"/>
                <w:color w:val="auto"/>
              </w:rPr>
            </w:pPr>
            <w:r>
              <w:rPr>
                <w:rFonts w:ascii="Arial" w:cs="Arial" w:eastAsia="Arial" w:hAnsi="Arial"/>
                <w:sz w:val="16"/>
                <w:szCs w:val="16"/>
                <w:b w:val="1"/>
                <w:bCs w:val="1"/>
                <w:color w:val="1C90D3"/>
              </w:rPr>
              <w:t xml:space="preserve">2016 </w:t>
            </w:r>
            <w:r>
              <w:rPr>
                <w:rFonts w:ascii="Arial" w:cs="Arial" w:eastAsia="Arial" w:hAnsi="Arial"/>
                <w:sz w:val="16"/>
                <w:szCs w:val="16"/>
                <w:color w:val="08228B"/>
              </w:rPr>
              <w:t>PROXY STATEMENT</w:t>
            </w:r>
          </w:p>
        </w:tc>
        <w:tc>
          <w:tcPr>
            <w:tcW w:w="2400" w:type="dxa"/>
            <w:vAlign w:val="bottom"/>
            <w:tcBorders>
              <w:bottom w:val="single" w:sz="8" w:color="08228B"/>
            </w:tcBorders>
          </w:tcPr>
          <w:p>
            <w:pPr>
              <w:spacing w:after="0"/>
              <w:rPr>
                <w:sz w:val="9"/>
                <w:szCs w:val="9"/>
                <w:color w:val="auto"/>
              </w:rPr>
            </w:pPr>
          </w:p>
        </w:tc>
        <w:tc>
          <w:tcPr>
            <w:tcW w:w="2620" w:type="dxa"/>
            <w:vAlign w:val="bottom"/>
            <w:vMerge w:val="restart"/>
          </w:tcPr>
          <w:p>
            <w:pPr>
              <w:jc w:val="right"/>
              <w:ind w:right="39"/>
              <w:spacing w:after="0"/>
              <w:rPr>
                <w:sz w:val="20"/>
                <w:szCs w:val="20"/>
                <w:color w:val="auto"/>
              </w:rPr>
            </w:pPr>
            <w:r>
              <w:rPr>
                <w:rFonts w:ascii="Arial" w:cs="Arial" w:eastAsia="Arial" w:hAnsi="Arial"/>
                <w:sz w:val="16"/>
                <w:szCs w:val="16"/>
                <w:color w:val="08228B"/>
              </w:rPr>
              <w:t>52</w:t>
            </w:r>
          </w:p>
        </w:tc>
        <w:tc>
          <w:tcPr>
            <w:tcW w:w="0" w:type="dxa"/>
            <w:vAlign w:val="bottom"/>
          </w:tcPr>
          <w:p>
            <w:pPr>
              <w:spacing w:after="0"/>
              <w:rPr>
                <w:sz w:val="1"/>
                <w:szCs w:val="1"/>
                <w:color w:val="auto"/>
              </w:rPr>
            </w:pPr>
          </w:p>
        </w:tc>
      </w:tr>
      <w:tr>
        <w:trPr>
          <w:trHeight w:val="82"/>
        </w:trPr>
        <w:tc>
          <w:tcPr>
            <w:tcW w:w="4340" w:type="dxa"/>
            <w:vAlign w:val="bottom"/>
          </w:tcPr>
          <w:p>
            <w:pPr>
              <w:spacing w:after="0"/>
              <w:rPr>
                <w:sz w:val="7"/>
                <w:szCs w:val="7"/>
                <w:color w:val="auto"/>
              </w:rPr>
            </w:pPr>
          </w:p>
        </w:tc>
        <w:tc>
          <w:tcPr>
            <w:tcW w:w="2060" w:type="dxa"/>
            <w:vAlign w:val="bottom"/>
            <w:vMerge w:val="continue"/>
          </w:tcPr>
          <w:p>
            <w:pPr>
              <w:spacing w:after="0"/>
              <w:rPr>
                <w:sz w:val="7"/>
                <w:szCs w:val="7"/>
                <w:color w:val="auto"/>
              </w:rPr>
            </w:pPr>
          </w:p>
        </w:tc>
        <w:tc>
          <w:tcPr>
            <w:tcW w:w="2400" w:type="dxa"/>
            <w:vAlign w:val="bottom"/>
          </w:tcPr>
          <w:p>
            <w:pPr>
              <w:spacing w:after="0"/>
              <w:rPr>
                <w:sz w:val="7"/>
                <w:szCs w:val="7"/>
                <w:color w:val="auto"/>
              </w:rPr>
            </w:pPr>
          </w:p>
        </w:tc>
        <w:tc>
          <w:tcPr>
            <w:tcW w:w="2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7"/>
        </w:trPr>
        <w:tc>
          <w:tcPr>
            <w:tcW w:w="4340" w:type="dxa"/>
            <w:vAlign w:val="bottom"/>
            <w:tcBorders>
              <w:bottom w:val="single" w:sz="8" w:color="C0C0C0"/>
            </w:tcBorders>
          </w:tcPr>
          <w:p>
            <w:pPr>
              <w:spacing w:after="0"/>
              <w:rPr>
                <w:sz w:val="24"/>
                <w:szCs w:val="24"/>
                <w:color w:val="auto"/>
              </w:rPr>
            </w:pPr>
          </w:p>
        </w:tc>
        <w:tc>
          <w:tcPr>
            <w:tcW w:w="2060" w:type="dxa"/>
            <w:vAlign w:val="bottom"/>
            <w:tcBorders>
              <w:bottom w:val="single" w:sz="8" w:color="C0C0C0"/>
            </w:tcBorders>
          </w:tcPr>
          <w:p>
            <w:pPr>
              <w:spacing w:after="0"/>
              <w:rPr>
                <w:sz w:val="24"/>
                <w:szCs w:val="24"/>
                <w:color w:val="auto"/>
              </w:rPr>
            </w:pPr>
          </w:p>
        </w:tc>
        <w:tc>
          <w:tcPr>
            <w:tcW w:w="2400" w:type="dxa"/>
            <w:vAlign w:val="bottom"/>
            <w:tcBorders>
              <w:bottom w:val="single" w:sz="8" w:color="C0C0C0"/>
            </w:tcBorders>
          </w:tcPr>
          <w:p>
            <w:pPr>
              <w:spacing w:after="0"/>
              <w:rPr>
                <w:sz w:val="24"/>
                <w:szCs w:val="24"/>
                <w:color w:val="auto"/>
              </w:rPr>
            </w:pPr>
          </w:p>
        </w:tc>
        <w:tc>
          <w:tcPr>
            <w:tcW w:w="262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5613400</wp:posOffset>
            </wp:positionH>
            <wp:positionV relativeFrom="paragraph">
              <wp:posOffset>-334010</wp:posOffset>
            </wp:positionV>
            <wp:extent cx="1286510" cy="8572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1286510" cy="8572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Back to Contents</w:t>
        </w:r>
      </w:hyperlink>
    </w:p>
    <w:p>
      <w:pPr>
        <w:spacing w:after="0" w:line="196" w:lineRule="exact"/>
        <w:rPr>
          <w:sz w:val="20"/>
          <w:szCs w:val="20"/>
          <w:color w:val="auto"/>
        </w:rPr>
      </w:pPr>
    </w:p>
    <w:p>
      <w:pPr>
        <w:ind w:left="500" w:hanging="492"/>
        <w:spacing w:after="0"/>
        <w:tabs>
          <w:tab w:leader="none" w:pos="500" w:val="left"/>
        </w:tabs>
        <w:numPr>
          <w:ilvl w:val="0"/>
          <w:numId w:val="88"/>
        </w:numPr>
        <w:rPr>
          <w:rFonts w:ascii="Arial" w:cs="Arial" w:eastAsia="Arial" w:hAnsi="Arial"/>
          <w:sz w:val="25"/>
          <w:szCs w:val="25"/>
          <w:color w:val="08228B"/>
        </w:rPr>
      </w:pPr>
      <w:r>
        <w:rPr>
          <w:rFonts w:ascii="Arial" w:cs="Arial" w:eastAsia="Arial" w:hAnsi="Arial"/>
          <w:sz w:val="25"/>
          <w:szCs w:val="25"/>
          <w:color w:val="auto"/>
        </w:rPr>
        <w:t>Compensation Committee and Consultant Independence</w:t>
      </w:r>
    </w:p>
    <w:p>
      <w:pPr>
        <w:spacing w:after="0" w:line="19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Our Compensation Committee is composed entirely of independent directors as determined by the Board under NYSE standards and as defined for various regulatory purposes. Farient Advisors assisted the Compensation Committee in 2015. Farient Advisors is an independent compensation consulting firm that takes direction from and is solely responsible to the Compensation Committee. The Compensation Committee is also aided in its deliberations by in-house legal counsel.</w:t>
      </w:r>
    </w:p>
    <w:p>
      <w:pPr>
        <w:spacing w:after="0" w:line="17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Under its charter, the Compensation Committee has the authority to hire outside consultants and advisors at the Company’s expense. The Compensation Committee retains the services of Farient Advisors for advice on issues related to the compensation of NEOs and other executive compensation-related matters. A representative of Farient Advisors attended all Compensation Committee meetings, either in person or via telephone, consulted with and advised the Compensation Committee members on executive compensation, including the structure and amounts of various pay elements, and developed executive benchmarking data for the Compensation Committee. Farient Advisors provided no services to the Company’s management.</w:t>
      </w:r>
    </w:p>
    <w:p>
      <w:pPr>
        <w:spacing w:after="0" w:line="176"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The Compensation Committee annually reviews the performance of the compensation consultant and considers the following factors when assessing consultant independence in accordance with NYSE standards:</w:t>
      </w:r>
    </w:p>
    <w:p>
      <w:pPr>
        <w:spacing w:after="0" w:line="169" w:lineRule="exact"/>
        <w:rPr>
          <w:sz w:val="20"/>
          <w:szCs w:val="20"/>
          <w:color w:val="auto"/>
        </w:rPr>
      </w:pPr>
    </w:p>
    <w:p>
      <w:pPr>
        <w:ind w:left="180" w:hanging="127"/>
        <w:spacing w:after="0"/>
        <w:tabs>
          <w:tab w:leader="none" w:pos="180" w:val="left"/>
        </w:tabs>
        <w:numPr>
          <w:ilvl w:val="1"/>
          <w:numId w:val="89"/>
        </w:numPr>
        <w:rPr>
          <w:rFonts w:ascii="Arial" w:cs="Arial" w:eastAsia="Arial" w:hAnsi="Arial"/>
          <w:sz w:val="16"/>
          <w:szCs w:val="16"/>
          <w:color w:val="08228B"/>
        </w:rPr>
      </w:pPr>
      <w:r>
        <w:rPr>
          <w:rFonts w:ascii="Arial" w:cs="Arial" w:eastAsia="Arial" w:hAnsi="Arial"/>
          <w:sz w:val="16"/>
          <w:szCs w:val="16"/>
          <w:color w:val="auto"/>
        </w:rPr>
        <w:t>Services provided to GM management outside of the services provided to the Compensation Committee;</w:t>
      </w:r>
    </w:p>
    <w:p>
      <w:pPr>
        <w:spacing w:after="0" w:line="207" w:lineRule="exact"/>
        <w:rPr>
          <w:rFonts w:ascii="Arial" w:cs="Arial" w:eastAsia="Arial" w:hAnsi="Arial"/>
          <w:sz w:val="16"/>
          <w:szCs w:val="16"/>
          <w:color w:val="08228B"/>
        </w:rPr>
      </w:pPr>
    </w:p>
    <w:p>
      <w:pPr>
        <w:ind w:left="180" w:hanging="172"/>
        <w:spacing w:after="0"/>
        <w:tabs>
          <w:tab w:leader="none" w:pos="180" w:val="left"/>
        </w:tabs>
        <w:numPr>
          <w:ilvl w:val="0"/>
          <w:numId w:val="89"/>
        </w:numPr>
        <w:rPr>
          <w:rFonts w:ascii="Arial" w:cs="Arial" w:eastAsia="Arial" w:hAnsi="Arial"/>
          <w:sz w:val="16"/>
          <w:szCs w:val="16"/>
          <w:color w:val="08228B"/>
        </w:rPr>
      </w:pPr>
      <w:r>
        <w:rPr>
          <w:rFonts w:ascii="Arial" w:cs="Arial" w:eastAsia="Arial" w:hAnsi="Arial"/>
          <w:sz w:val="16"/>
          <w:szCs w:val="16"/>
          <w:color w:val="auto"/>
        </w:rPr>
        <w:t>Fees paid as a percentage of Farient Advisors’ total revenue;</w:t>
      </w:r>
    </w:p>
    <w:p>
      <w:pPr>
        <w:spacing w:after="0" w:line="207" w:lineRule="exact"/>
        <w:rPr>
          <w:rFonts w:ascii="Arial" w:cs="Arial" w:eastAsia="Arial" w:hAnsi="Arial"/>
          <w:sz w:val="16"/>
          <w:szCs w:val="16"/>
          <w:color w:val="08228B"/>
        </w:rPr>
      </w:pPr>
    </w:p>
    <w:p>
      <w:pPr>
        <w:ind w:left="180" w:hanging="172"/>
        <w:spacing w:after="0"/>
        <w:tabs>
          <w:tab w:leader="none" w:pos="180" w:val="left"/>
        </w:tabs>
        <w:numPr>
          <w:ilvl w:val="0"/>
          <w:numId w:val="89"/>
        </w:numPr>
        <w:rPr>
          <w:rFonts w:ascii="Arial" w:cs="Arial" w:eastAsia="Arial" w:hAnsi="Arial"/>
          <w:sz w:val="16"/>
          <w:szCs w:val="16"/>
          <w:color w:val="08228B"/>
        </w:rPr>
      </w:pPr>
      <w:r>
        <w:rPr>
          <w:rFonts w:ascii="Arial" w:cs="Arial" w:eastAsia="Arial" w:hAnsi="Arial"/>
          <w:sz w:val="16"/>
          <w:szCs w:val="16"/>
          <w:color w:val="auto"/>
        </w:rPr>
        <w:t>Policies and procedures of Farient Advisors designed to prevent conflicts of interest;</w:t>
      </w:r>
    </w:p>
    <w:p>
      <w:pPr>
        <w:spacing w:after="0" w:line="207" w:lineRule="exact"/>
        <w:rPr>
          <w:rFonts w:ascii="Arial" w:cs="Arial" w:eastAsia="Arial" w:hAnsi="Arial"/>
          <w:sz w:val="16"/>
          <w:szCs w:val="16"/>
          <w:color w:val="08228B"/>
        </w:rPr>
      </w:pPr>
    </w:p>
    <w:p>
      <w:pPr>
        <w:ind w:left="180" w:hanging="172"/>
        <w:spacing w:after="0"/>
        <w:tabs>
          <w:tab w:leader="none" w:pos="180" w:val="left"/>
        </w:tabs>
        <w:numPr>
          <w:ilvl w:val="0"/>
          <w:numId w:val="89"/>
        </w:numPr>
        <w:rPr>
          <w:rFonts w:ascii="Arial" w:cs="Arial" w:eastAsia="Arial" w:hAnsi="Arial"/>
          <w:sz w:val="16"/>
          <w:szCs w:val="16"/>
          <w:color w:val="08228B"/>
        </w:rPr>
      </w:pPr>
      <w:r>
        <w:rPr>
          <w:rFonts w:ascii="Arial" w:cs="Arial" w:eastAsia="Arial" w:hAnsi="Arial"/>
          <w:sz w:val="16"/>
          <w:szCs w:val="16"/>
          <w:color w:val="auto"/>
        </w:rPr>
        <w:t>Any business or personal relationships with members of the Compensation Committee;</w:t>
      </w:r>
    </w:p>
    <w:p>
      <w:pPr>
        <w:spacing w:after="0" w:line="207" w:lineRule="exact"/>
        <w:rPr>
          <w:rFonts w:ascii="Arial" w:cs="Arial" w:eastAsia="Arial" w:hAnsi="Arial"/>
          <w:sz w:val="16"/>
          <w:szCs w:val="16"/>
          <w:color w:val="08228B"/>
        </w:rPr>
      </w:pPr>
    </w:p>
    <w:p>
      <w:pPr>
        <w:ind w:left="180" w:hanging="172"/>
        <w:spacing w:after="0"/>
        <w:tabs>
          <w:tab w:leader="none" w:pos="180" w:val="left"/>
        </w:tabs>
        <w:numPr>
          <w:ilvl w:val="0"/>
          <w:numId w:val="89"/>
        </w:numPr>
        <w:rPr>
          <w:rFonts w:ascii="Arial" w:cs="Arial" w:eastAsia="Arial" w:hAnsi="Arial"/>
          <w:sz w:val="16"/>
          <w:szCs w:val="16"/>
          <w:color w:val="08228B"/>
        </w:rPr>
      </w:pPr>
      <w:r>
        <w:rPr>
          <w:rFonts w:ascii="Arial" w:cs="Arial" w:eastAsia="Arial" w:hAnsi="Arial"/>
          <w:sz w:val="16"/>
          <w:szCs w:val="16"/>
          <w:color w:val="auto"/>
        </w:rPr>
        <w:t>Stock ownership by employees of Farient Advisors; and</w:t>
      </w:r>
    </w:p>
    <w:p>
      <w:pPr>
        <w:spacing w:after="0" w:line="207" w:lineRule="exact"/>
        <w:rPr>
          <w:rFonts w:ascii="Arial" w:cs="Arial" w:eastAsia="Arial" w:hAnsi="Arial"/>
          <w:sz w:val="16"/>
          <w:szCs w:val="16"/>
          <w:color w:val="08228B"/>
        </w:rPr>
      </w:pPr>
    </w:p>
    <w:p>
      <w:pPr>
        <w:ind w:left="180" w:hanging="127"/>
        <w:spacing w:after="0"/>
        <w:tabs>
          <w:tab w:leader="none" w:pos="180" w:val="left"/>
        </w:tabs>
        <w:numPr>
          <w:ilvl w:val="1"/>
          <w:numId w:val="89"/>
        </w:numPr>
        <w:rPr>
          <w:rFonts w:ascii="Arial" w:cs="Arial" w:eastAsia="Arial" w:hAnsi="Arial"/>
          <w:sz w:val="16"/>
          <w:szCs w:val="16"/>
          <w:color w:val="08228B"/>
        </w:rPr>
      </w:pPr>
      <w:r>
        <w:rPr>
          <w:rFonts w:ascii="Arial" w:cs="Arial" w:eastAsia="Arial" w:hAnsi="Arial"/>
          <w:sz w:val="16"/>
          <w:szCs w:val="16"/>
          <w:color w:val="auto"/>
        </w:rPr>
        <w:t>Any business or personal relationships between GM and Farient Advisors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Compensation Committee reviewed the performance and independence of Farient Advisors and no performance or independence issues were identified.</w:t>
      </w:r>
    </w:p>
    <w:p>
      <w:pPr>
        <w:spacing w:after="0" w:line="315" w:lineRule="exact"/>
        <w:rPr>
          <w:sz w:val="20"/>
          <w:szCs w:val="20"/>
          <w:color w:val="auto"/>
        </w:rPr>
      </w:pPr>
    </w:p>
    <w:p>
      <w:pPr>
        <w:ind w:left="500" w:hanging="492"/>
        <w:spacing w:after="0"/>
        <w:tabs>
          <w:tab w:leader="none" w:pos="500" w:val="left"/>
        </w:tabs>
        <w:numPr>
          <w:ilvl w:val="0"/>
          <w:numId w:val="90"/>
        </w:numPr>
        <w:rPr>
          <w:rFonts w:ascii="Arial" w:cs="Arial" w:eastAsia="Arial" w:hAnsi="Arial"/>
          <w:sz w:val="25"/>
          <w:szCs w:val="25"/>
          <w:color w:val="08228B"/>
        </w:rPr>
      </w:pPr>
      <w:r>
        <w:rPr>
          <w:rFonts w:ascii="Arial" w:cs="Arial" w:eastAsia="Arial" w:hAnsi="Arial"/>
          <w:sz w:val="25"/>
          <w:szCs w:val="25"/>
          <w:color w:val="auto"/>
        </w:rPr>
        <w:t>Compensation Risk Assessment</w:t>
      </w:r>
    </w:p>
    <w:p>
      <w:pPr>
        <w:spacing w:after="0" w:line="19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During 2015, the Compensation Committee reviewed and discussed the impact of executive compensation programs on organizational risk. The Compensation Committee discussed plans and reviewed risk mitigation features in each of the plans to evaluate, with the assistance of our risk management organization, the overall impact compensation programs have on organizational risk. The Compensation Committee determined compensation programs have sufficient risk mitigation features and do not encourage or reward employees for taking excessive or unnecessary risk. The mix of our short and long-term compensation programs appropriately reward employees while balancing risk through the delayed payment of long-term awards.</w:t>
      </w:r>
    </w:p>
    <w:p>
      <w:pPr>
        <w:spacing w:after="0" w:line="17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As a result of the compensation risk review completed on December 8, 2015, the Compensation Committee determined the overall risk of compensation programs exposing the organization to unnecessary or excessive risks is low.</w:t>
      </w:r>
    </w:p>
    <w:p>
      <w:pPr>
        <w:spacing w:after="0" w:line="290" w:lineRule="exact"/>
        <w:rPr>
          <w:sz w:val="20"/>
          <w:szCs w:val="20"/>
          <w:color w:val="auto"/>
        </w:rPr>
      </w:pPr>
    </w:p>
    <w:p>
      <w:pPr>
        <w:ind w:left="500" w:hanging="492"/>
        <w:spacing w:after="0"/>
        <w:tabs>
          <w:tab w:leader="none" w:pos="500" w:val="left"/>
        </w:tabs>
        <w:numPr>
          <w:ilvl w:val="0"/>
          <w:numId w:val="91"/>
        </w:numPr>
        <w:rPr>
          <w:rFonts w:ascii="Arial" w:cs="Arial" w:eastAsia="Arial" w:hAnsi="Arial"/>
          <w:sz w:val="25"/>
          <w:szCs w:val="25"/>
          <w:color w:val="08228B"/>
        </w:rPr>
      </w:pPr>
      <w:r>
        <w:rPr>
          <w:rFonts w:ascii="Arial" w:cs="Arial" w:eastAsia="Arial" w:hAnsi="Arial"/>
          <w:sz w:val="25"/>
          <w:szCs w:val="25"/>
          <w:color w:val="auto"/>
        </w:rPr>
        <w:t>Employment and Termination Agreements</w:t>
      </w:r>
    </w:p>
    <w:p>
      <w:pPr>
        <w:spacing w:after="0" w:line="199"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The Company has no employment or termination agreements with any of our 2015 NEOs. All NEOs are eligible to receive the same severance treatment available to other executive employees.</w:t>
      </w:r>
    </w:p>
    <w:p>
      <w:pPr>
        <w:spacing w:after="0" w:line="360" w:lineRule="exact"/>
        <w:rPr>
          <w:sz w:val="20"/>
          <w:szCs w:val="20"/>
          <w:color w:val="auto"/>
        </w:rPr>
      </w:pPr>
    </w:p>
    <w:p>
      <w:pPr>
        <w:spacing w:after="0"/>
        <w:rPr>
          <w:sz w:val="20"/>
          <w:szCs w:val="20"/>
          <w:color w:val="auto"/>
        </w:rPr>
      </w:pPr>
      <w:r>
        <w:rPr>
          <w:rFonts w:ascii="Arial" w:cs="Arial" w:eastAsia="Arial" w:hAnsi="Arial"/>
          <w:sz w:val="32"/>
          <w:szCs w:val="32"/>
          <w:color w:val="1C90D3"/>
        </w:rPr>
        <w:t>Compensation Committee Report</w:t>
      </w:r>
    </w:p>
    <w:p>
      <w:pPr>
        <w:spacing w:after="0" w:line="197"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Compensation Committee has reviewed and discussed with management the CD&amp;A and, based on that review and discussion, has recommended to the Board of Directors that the CD&amp;A be included in this Proxy Statement and incorporated by reference in the GM 2015 Annual Report on Form 10-K.</w:t>
      </w:r>
    </w:p>
    <w:p>
      <w:pPr>
        <w:spacing w:after="0" w:line="149" w:lineRule="exact"/>
        <w:rPr>
          <w:sz w:val="20"/>
          <w:szCs w:val="20"/>
          <w:color w:val="auto"/>
        </w:rPr>
      </w:pPr>
    </w:p>
    <w:p>
      <w:pPr>
        <w:ind w:left="7220"/>
        <w:spacing w:after="0"/>
        <w:rPr>
          <w:sz w:val="20"/>
          <w:szCs w:val="20"/>
          <w:color w:val="auto"/>
        </w:rPr>
      </w:pPr>
      <w:r>
        <w:rPr>
          <w:rFonts w:ascii="Arial" w:cs="Arial" w:eastAsia="Arial" w:hAnsi="Arial"/>
          <w:sz w:val="16"/>
          <w:szCs w:val="16"/>
          <w:b w:val="1"/>
          <w:bCs w:val="1"/>
          <w:color w:val="auto"/>
        </w:rPr>
        <w:t>Compensation Committee</w:t>
      </w:r>
    </w:p>
    <w:p>
      <w:pPr>
        <w:spacing w:after="0" w:line="214" w:lineRule="exact"/>
        <w:rPr>
          <w:sz w:val="20"/>
          <w:szCs w:val="20"/>
          <w:color w:val="auto"/>
        </w:rPr>
      </w:pPr>
    </w:p>
    <w:p>
      <w:pPr>
        <w:ind w:left="7220"/>
        <w:spacing w:after="0"/>
        <w:rPr>
          <w:sz w:val="20"/>
          <w:szCs w:val="20"/>
          <w:color w:val="auto"/>
        </w:rPr>
      </w:pPr>
      <w:r>
        <w:rPr>
          <w:rFonts w:ascii="Arial" w:cs="Arial" w:eastAsia="Arial" w:hAnsi="Arial"/>
          <w:sz w:val="16"/>
          <w:szCs w:val="16"/>
          <w:color w:val="auto"/>
        </w:rPr>
        <w:t>Carol M. Stephenson (Chair)</w:t>
      </w:r>
    </w:p>
    <w:p>
      <w:pPr>
        <w:spacing w:after="0" w:line="5" w:lineRule="exact"/>
        <w:rPr>
          <w:sz w:val="20"/>
          <w:szCs w:val="20"/>
          <w:color w:val="auto"/>
        </w:rPr>
      </w:pPr>
    </w:p>
    <w:p>
      <w:pPr>
        <w:ind w:left="7220"/>
        <w:spacing w:after="0"/>
        <w:rPr>
          <w:sz w:val="20"/>
          <w:szCs w:val="20"/>
          <w:color w:val="auto"/>
        </w:rPr>
      </w:pPr>
      <w:r>
        <w:rPr>
          <w:rFonts w:ascii="Arial" w:cs="Arial" w:eastAsia="Arial" w:hAnsi="Arial"/>
          <w:sz w:val="16"/>
          <w:szCs w:val="16"/>
          <w:color w:val="auto"/>
        </w:rPr>
        <w:t>Joseph Jimenez</w:t>
      </w:r>
    </w:p>
    <w:p>
      <w:pPr>
        <w:spacing w:after="0" w:line="5" w:lineRule="exact"/>
        <w:rPr>
          <w:sz w:val="20"/>
          <w:szCs w:val="20"/>
          <w:color w:val="auto"/>
        </w:rPr>
      </w:pPr>
    </w:p>
    <w:p>
      <w:pPr>
        <w:ind w:left="7220"/>
        <w:spacing w:after="0"/>
        <w:rPr>
          <w:sz w:val="20"/>
          <w:szCs w:val="20"/>
          <w:color w:val="auto"/>
        </w:rPr>
      </w:pPr>
      <w:r>
        <w:rPr>
          <w:rFonts w:ascii="Arial" w:cs="Arial" w:eastAsia="Arial" w:hAnsi="Arial"/>
          <w:sz w:val="16"/>
          <w:szCs w:val="16"/>
          <w:color w:val="auto"/>
        </w:rPr>
        <w:t>James J. Mulva</w:t>
      </w:r>
    </w:p>
    <w:p>
      <w:pPr>
        <w:spacing w:after="0" w:line="5" w:lineRule="exact"/>
        <w:rPr>
          <w:sz w:val="20"/>
          <w:szCs w:val="20"/>
          <w:color w:val="auto"/>
        </w:rPr>
      </w:pPr>
    </w:p>
    <w:p>
      <w:pPr>
        <w:ind w:left="7220"/>
        <w:spacing w:after="0"/>
        <w:rPr>
          <w:sz w:val="20"/>
          <w:szCs w:val="20"/>
          <w:color w:val="auto"/>
        </w:rPr>
      </w:pPr>
      <w:r>
        <w:rPr>
          <w:rFonts w:ascii="Arial" w:cs="Arial" w:eastAsia="Arial" w:hAnsi="Arial"/>
          <w:sz w:val="16"/>
          <w:szCs w:val="16"/>
          <w:color w:val="auto"/>
        </w:rPr>
        <w:t>Patricia F. Russo</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13"/>
        </w:trPr>
        <w:tc>
          <w:tcPr>
            <w:tcW w:w="4340" w:type="dxa"/>
            <w:vAlign w:val="bottom"/>
            <w:tcBorders>
              <w:bottom w:val="single" w:sz="8" w:color="08228B"/>
            </w:tcBorders>
          </w:tcPr>
          <w:p>
            <w:pPr>
              <w:spacing w:after="0"/>
              <w:rPr>
                <w:sz w:val="9"/>
                <w:szCs w:val="9"/>
                <w:color w:val="auto"/>
              </w:rPr>
            </w:pPr>
          </w:p>
        </w:tc>
        <w:tc>
          <w:tcPr>
            <w:tcW w:w="2060" w:type="dxa"/>
            <w:vAlign w:val="bottom"/>
            <w:vMerge w:val="restart"/>
          </w:tcPr>
          <w:p>
            <w:pPr>
              <w:ind w:left="60"/>
              <w:spacing w:after="0"/>
              <w:rPr>
                <w:sz w:val="20"/>
                <w:szCs w:val="20"/>
                <w:color w:val="auto"/>
              </w:rPr>
            </w:pPr>
            <w:r>
              <w:rPr>
                <w:rFonts w:ascii="Arial" w:cs="Arial" w:eastAsia="Arial" w:hAnsi="Arial"/>
                <w:sz w:val="16"/>
                <w:szCs w:val="16"/>
                <w:b w:val="1"/>
                <w:bCs w:val="1"/>
                <w:color w:val="1C90D3"/>
              </w:rPr>
              <w:t xml:space="preserve">2016 </w:t>
            </w:r>
            <w:r>
              <w:rPr>
                <w:rFonts w:ascii="Arial" w:cs="Arial" w:eastAsia="Arial" w:hAnsi="Arial"/>
                <w:sz w:val="16"/>
                <w:szCs w:val="16"/>
                <w:color w:val="08228B"/>
              </w:rPr>
              <w:t>PROXY STATEMENT</w:t>
            </w:r>
          </w:p>
        </w:tc>
        <w:tc>
          <w:tcPr>
            <w:tcW w:w="2400" w:type="dxa"/>
            <w:vAlign w:val="bottom"/>
            <w:tcBorders>
              <w:bottom w:val="single" w:sz="8" w:color="08228B"/>
            </w:tcBorders>
          </w:tcPr>
          <w:p>
            <w:pPr>
              <w:spacing w:after="0"/>
              <w:rPr>
                <w:sz w:val="9"/>
                <w:szCs w:val="9"/>
                <w:color w:val="auto"/>
              </w:rPr>
            </w:pPr>
          </w:p>
        </w:tc>
        <w:tc>
          <w:tcPr>
            <w:tcW w:w="2620" w:type="dxa"/>
            <w:vAlign w:val="bottom"/>
            <w:vMerge w:val="restart"/>
          </w:tcPr>
          <w:p>
            <w:pPr>
              <w:jc w:val="right"/>
              <w:ind w:right="39"/>
              <w:spacing w:after="0"/>
              <w:rPr>
                <w:sz w:val="20"/>
                <w:szCs w:val="20"/>
                <w:color w:val="auto"/>
              </w:rPr>
            </w:pPr>
            <w:r>
              <w:rPr>
                <w:rFonts w:ascii="Arial" w:cs="Arial" w:eastAsia="Arial" w:hAnsi="Arial"/>
                <w:sz w:val="16"/>
                <w:szCs w:val="16"/>
                <w:color w:val="08228B"/>
              </w:rPr>
              <w:t>53</w:t>
            </w:r>
          </w:p>
        </w:tc>
        <w:tc>
          <w:tcPr>
            <w:tcW w:w="0" w:type="dxa"/>
            <w:vAlign w:val="bottom"/>
          </w:tcPr>
          <w:p>
            <w:pPr>
              <w:spacing w:after="0"/>
              <w:rPr>
                <w:sz w:val="1"/>
                <w:szCs w:val="1"/>
                <w:color w:val="auto"/>
              </w:rPr>
            </w:pPr>
          </w:p>
        </w:tc>
      </w:tr>
      <w:tr>
        <w:trPr>
          <w:trHeight w:val="82"/>
        </w:trPr>
        <w:tc>
          <w:tcPr>
            <w:tcW w:w="4340" w:type="dxa"/>
            <w:vAlign w:val="bottom"/>
          </w:tcPr>
          <w:p>
            <w:pPr>
              <w:spacing w:after="0"/>
              <w:rPr>
                <w:sz w:val="7"/>
                <w:szCs w:val="7"/>
                <w:color w:val="auto"/>
              </w:rPr>
            </w:pPr>
          </w:p>
        </w:tc>
        <w:tc>
          <w:tcPr>
            <w:tcW w:w="2060" w:type="dxa"/>
            <w:vAlign w:val="bottom"/>
            <w:vMerge w:val="continue"/>
          </w:tcPr>
          <w:p>
            <w:pPr>
              <w:spacing w:after="0"/>
              <w:rPr>
                <w:sz w:val="7"/>
                <w:szCs w:val="7"/>
                <w:color w:val="auto"/>
              </w:rPr>
            </w:pPr>
          </w:p>
        </w:tc>
        <w:tc>
          <w:tcPr>
            <w:tcW w:w="2400" w:type="dxa"/>
            <w:vAlign w:val="bottom"/>
          </w:tcPr>
          <w:p>
            <w:pPr>
              <w:spacing w:after="0"/>
              <w:rPr>
                <w:sz w:val="7"/>
                <w:szCs w:val="7"/>
                <w:color w:val="auto"/>
              </w:rPr>
            </w:pPr>
          </w:p>
        </w:tc>
        <w:tc>
          <w:tcPr>
            <w:tcW w:w="2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7"/>
        </w:trPr>
        <w:tc>
          <w:tcPr>
            <w:tcW w:w="4340" w:type="dxa"/>
            <w:vAlign w:val="bottom"/>
            <w:tcBorders>
              <w:bottom w:val="single" w:sz="8" w:color="C0C0C0"/>
            </w:tcBorders>
          </w:tcPr>
          <w:p>
            <w:pPr>
              <w:spacing w:after="0"/>
              <w:rPr>
                <w:sz w:val="24"/>
                <w:szCs w:val="24"/>
                <w:color w:val="auto"/>
              </w:rPr>
            </w:pPr>
          </w:p>
        </w:tc>
        <w:tc>
          <w:tcPr>
            <w:tcW w:w="2060" w:type="dxa"/>
            <w:vAlign w:val="bottom"/>
            <w:tcBorders>
              <w:bottom w:val="single" w:sz="8" w:color="C0C0C0"/>
            </w:tcBorders>
          </w:tcPr>
          <w:p>
            <w:pPr>
              <w:spacing w:after="0"/>
              <w:rPr>
                <w:sz w:val="24"/>
                <w:szCs w:val="24"/>
                <w:color w:val="auto"/>
              </w:rPr>
            </w:pPr>
          </w:p>
        </w:tc>
        <w:tc>
          <w:tcPr>
            <w:tcW w:w="2400" w:type="dxa"/>
            <w:vAlign w:val="bottom"/>
            <w:tcBorders>
              <w:bottom w:val="single" w:sz="8" w:color="C0C0C0"/>
            </w:tcBorders>
          </w:tcPr>
          <w:p>
            <w:pPr>
              <w:spacing w:after="0"/>
              <w:rPr>
                <w:sz w:val="24"/>
                <w:szCs w:val="24"/>
                <w:color w:val="auto"/>
              </w:rPr>
            </w:pPr>
          </w:p>
        </w:tc>
        <w:tc>
          <w:tcPr>
            <w:tcW w:w="262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5613400</wp:posOffset>
            </wp:positionH>
            <wp:positionV relativeFrom="paragraph">
              <wp:posOffset>-334010</wp:posOffset>
            </wp:positionV>
            <wp:extent cx="1286510" cy="8572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1286510" cy="8572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Back to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32"/>
          <w:szCs w:val="32"/>
          <w:color w:val="1C90D3"/>
        </w:rPr>
        <w:t>Executive Compensation Tables</w:t>
      </w:r>
    </w:p>
    <w:p>
      <w:pPr>
        <w:spacing w:after="0" w:line="386" w:lineRule="exact"/>
        <w:rPr>
          <w:sz w:val="20"/>
          <w:szCs w:val="20"/>
          <w:color w:val="auto"/>
        </w:rPr>
      </w:pPr>
    </w:p>
    <w:p>
      <w:pPr>
        <w:ind w:left="500" w:hanging="492"/>
        <w:spacing w:after="0"/>
        <w:tabs>
          <w:tab w:leader="none" w:pos="500" w:val="left"/>
        </w:tabs>
        <w:numPr>
          <w:ilvl w:val="0"/>
          <w:numId w:val="92"/>
        </w:numPr>
        <w:rPr>
          <w:rFonts w:ascii="Arial" w:cs="Arial" w:eastAsia="Arial" w:hAnsi="Arial"/>
          <w:sz w:val="25"/>
          <w:szCs w:val="25"/>
          <w:color w:val="08228B"/>
        </w:rPr>
      </w:pPr>
      <w:r>
        <w:rPr>
          <w:rFonts w:ascii="Arial" w:cs="Arial" w:eastAsia="Arial" w:hAnsi="Arial"/>
          <w:sz w:val="25"/>
          <w:szCs w:val="25"/>
          <w:color w:val="auto"/>
        </w:rPr>
        <w:t>2015 Summary Compensation Table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880" w:type="dxa"/>
            <w:vAlign w:val="bottom"/>
            <w:tcBorders>
              <w:top w:val="single" w:sz="8" w:color="1C90D3"/>
            </w:tcBorders>
          </w:tcPr>
          <w:p>
            <w:pPr>
              <w:spacing w:after="0"/>
              <w:rPr>
                <w:sz w:val="15"/>
                <w:szCs w:val="15"/>
                <w:color w:val="auto"/>
              </w:rPr>
            </w:pPr>
          </w:p>
        </w:tc>
        <w:tc>
          <w:tcPr>
            <w:tcW w:w="740" w:type="dxa"/>
            <w:vAlign w:val="bottom"/>
            <w:tcBorders>
              <w:top w:val="single" w:sz="8" w:color="1C90D3"/>
            </w:tcBorders>
          </w:tcPr>
          <w:p>
            <w:pPr>
              <w:spacing w:after="0"/>
              <w:rPr>
                <w:sz w:val="15"/>
                <w:szCs w:val="15"/>
                <w:color w:val="auto"/>
              </w:rPr>
            </w:pPr>
          </w:p>
        </w:tc>
        <w:tc>
          <w:tcPr>
            <w:tcW w:w="920" w:type="dxa"/>
            <w:vAlign w:val="bottom"/>
            <w:tcBorders>
              <w:top w:val="single" w:sz="8" w:color="1C90D3"/>
            </w:tcBorders>
          </w:tcPr>
          <w:p>
            <w:pPr>
              <w:spacing w:after="0"/>
              <w:rPr>
                <w:sz w:val="15"/>
                <w:szCs w:val="15"/>
                <w:color w:val="auto"/>
              </w:rPr>
            </w:pPr>
          </w:p>
        </w:tc>
        <w:tc>
          <w:tcPr>
            <w:tcW w:w="800" w:type="dxa"/>
            <w:vAlign w:val="bottom"/>
            <w:tcBorders>
              <w:top w:val="single" w:sz="8" w:color="1C90D3"/>
            </w:tcBorders>
          </w:tcPr>
          <w:p>
            <w:pPr>
              <w:spacing w:after="0"/>
              <w:rPr>
                <w:sz w:val="15"/>
                <w:szCs w:val="15"/>
                <w:color w:val="auto"/>
              </w:rPr>
            </w:pPr>
          </w:p>
        </w:tc>
        <w:tc>
          <w:tcPr>
            <w:tcW w:w="1020" w:type="dxa"/>
            <w:vAlign w:val="bottom"/>
            <w:tcBorders>
              <w:top w:val="single" w:sz="8" w:color="1C90D3"/>
            </w:tcBorders>
          </w:tcPr>
          <w:p>
            <w:pPr>
              <w:spacing w:after="0"/>
              <w:rPr>
                <w:sz w:val="15"/>
                <w:szCs w:val="15"/>
                <w:color w:val="auto"/>
              </w:rPr>
            </w:pPr>
          </w:p>
        </w:tc>
        <w:tc>
          <w:tcPr>
            <w:tcW w:w="1000" w:type="dxa"/>
            <w:vAlign w:val="bottom"/>
            <w:tcBorders>
              <w:top w:val="single" w:sz="8" w:color="1C90D3"/>
            </w:tcBorders>
          </w:tcPr>
          <w:p>
            <w:pPr>
              <w:spacing w:after="0"/>
              <w:rPr>
                <w:sz w:val="15"/>
                <w:szCs w:val="15"/>
                <w:color w:val="auto"/>
              </w:rPr>
            </w:pPr>
          </w:p>
        </w:tc>
        <w:tc>
          <w:tcPr>
            <w:tcW w:w="1340" w:type="dxa"/>
            <w:vAlign w:val="bottom"/>
            <w:tcBorders>
              <w:top w:val="single" w:sz="8" w:color="1C90D3"/>
            </w:tcBorders>
          </w:tcPr>
          <w:p>
            <w:pPr>
              <w:spacing w:after="0"/>
              <w:rPr>
                <w:sz w:val="15"/>
                <w:szCs w:val="15"/>
                <w:color w:val="auto"/>
              </w:rPr>
            </w:pPr>
          </w:p>
        </w:tc>
        <w:tc>
          <w:tcPr>
            <w:tcW w:w="1180" w:type="dxa"/>
            <w:vAlign w:val="bottom"/>
            <w:tcBorders>
              <w:top w:val="single" w:sz="8" w:color="1C90D3"/>
            </w:tcBorders>
          </w:tcPr>
          <w:p>
            <w:pPr>
              <w:jc w:val="right"/>
              <w:ind w:right="23"/>
              <w:spacing w:after="0"/>
              <w:rPr>
                <w:sz w:val="20"/>
                <w:szCs w:val="20"/>
                <w:color w:val="auto"/>
              </w:rPr>
            </w:pPr>
            <w:r>
              <w:rPr>
                <w:rFonts w:ascii="Arial" w:cs="Arial" w:eastAsia="Arial" w:hAnsi="Arial"/>
                <w:sz w:val="14"/>
                <w:szCs w:val="14"/>
                <w:b w:val="1"/>
                <w:bCs w:val="1"/>
                <w:color w:val="1C90D3"/>
              </w:rPr>
              <w:t>Change in</w:t>
            </w:r>
          </w:p>
        </w:tc>
        <w:tc>
          <w:tcPr>
            <w:tcW w:w="1400" w:type="dxa"/>
            <w:vAlign w:val="bottom"/>
            <w:tcBorders>
              <w:top w:val="single" w:sz="8" w:color="1C90D3"/>
            </w:tcBorders>
          </w:tcPr>
          <w:p>
            <w:pPr>
              <w:spacing w:after="0"/>
              <w:rPr>
                <w:sz w:val="15"/>
                <w:szCs w:val="15"/>
                <w:color w:val="auto"/>
              </w:rPr>
            </w:pPr>
          </w:p>
        </w:tc>
        <w:tc>
          <w:tcPr>
            <w:tcW w:w="1020" w:type="dxa"/>
            <w:vAlign w:val="bottom"/>
            <w:tcBorders>
              <w:top w:val="single" w:sz="8" w:color="1C90D3"/>
            </w:tcBorders>
          </w:tcPr>
          <w:p>
            <w:pPr>
              <w:spacing w:after="0"/>
              <w:rPr>
                <w:sz w:val="15"/>
                <w:szCs w:val="15"/>
                <w:color w:val="auto"/>
              </w:rPr>
            </w:pPr>
          </w:p>
        </w:tc>
      </w:tr>
      <w:tr>
        <w:trPr>
          <w:trHeight w:val="162"/>
        </w:trPr>
        <w:tc>
          <w:tcPr>
            <w:tcW w:w="1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80" w:type="dxa"/>
            <w:vAlign w:val="bottom"/>
          </w:tcPr>
          <w:p>
            <w:pPr>
              <w:jc w:val="right"/>
              <w:ind w:right="23"/>
              <w:spacing w:after="0"/>
              <w:rPr>
                <w:sz w:val="20"/>
                <w:szCs w:val="20"/>
                <w:color w:val="auto"/>
              </w:rPr>
            </w:pPr>
            <w:r>
              <w:rPr>
                <w:rFonts w:ascii="Arial" w:cs="Arial" w:eastAsia="Arial" w:hAnsi="Arial"/>
                <w:sz w:val="14"/>
                <w:szCs w:val="14"/>
                <w:b w:val="1"/>
                <w:bCs w:val="1"/>
                <w:color w:val="1C90D3"/>
              </w:rPr>
              <w:t>Pension</w:t>
            </w:r>
          </w:p>
        </w:tc>
        <w:tc>
          <w:tcPr>
            <w:tcW w:w="14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2"/>
        </w:trPr>
        <w:tc>
          <w:tcPr>
            <w:tcW w:w="1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80" w:type="dxa"/>
            <w:vAlign w:val="bottom"/>
          </w:tcPr>
          <w:p>
            <w:pPr>
              <w:jc w:val="right"/>
              <w:ind w:right="23"/>
              <w:spacing w:after="0"/>
              <w:rPr>
                <w:sz w:val="20"/>
                <w:szCs w:val="20"/>
                <w:color w:val="auto"/>
              </w:rPr>
            </w:pPr>
            <w:r>
              <w:rPr>
                <w:rFonts w:ascii="Arial" w:cs="Arial" w:eastAsia="Arial" w:hAnsi="Arial"/>
                <w:sz w:val="14"/>
                <w:szCs w:val="14"/>
                <w:b w:val="1"/>
                <w:bCs w:val="1"/>
                <w:color w:val="1C90D3"/>
              </w:rPr>
              <w:t>Value and</w:t>
            </w:r>
          </w:p>
        </w:tc>
        <w:tc>
          <w:tcPr>
            <w:tcW w:w="14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2"/>
        </w:trPr>
        <w:tc>
          <w:tcPr>
            <w:tcW w:w="1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40" w:type="dxa"/>
            <w:vAlign w:val="bottom"/>
          </w:tcPr>
          <w:p>
            <w:pPr>
              <w:jc w:val="right"/>
              <w:ind w:right="22"/>
              <w:spacing w:after="0"/>
              <w:rPr>
                <w:sz w:val="20"/>
                <w:szCs w:val="20"/>
                <w:color w:val="auto"/>
              </w:rPr>
            </w:pPr>
            <w:r>
              <w:rPr>
                <w:rFonts w:ascii="Arial" w:cs="Arial" w:eastAsia="Arial" w:hAnsi="Arial"/>
                <w:sz w:val="14"/>
                <w:szCs w:val="14"/>
                <w:b w:val="1"/>
                <w:bCs w:val="1"/>
                <w:color w:val="1C90D3"/>
              </w:rPr>
              <w:t>Nonequity</w:t>
            </w:r>
          </w:p>
        </w:tc>
        <w:tc>
          <w:tcPr>
            <w:tcW w:w="1180" w:type="dxa"/>
            <w:vAlign w:val="bottom"/>
          </w:tcPr>
          <w:p>
            <w:pPr>
              <w:jc w:val="right"/>
              <w:ind w:right="23"/>
              <w:spacing w:after="0"/>
              <w:rPr>
                <w:sz w:val="20"/>
                <w:szCs w:val="20"/>
                <w:color w:val="auto"/>
              </w:rPr>
            </w:pPr>
            <w:r>
              <w:rPr>
                <w:rFonts w:ascii="Arial" w:cs="Arial" w:eastAsia="Arial" w:hAnsi="Arial"/>
                <w:sz w:val="14"/>
                <w:szCs w:val="14"/>
                <w:b w:val="1"/>
                <w:bCs w:val="1"/>
                <w:color w:val="1C90D3"/>
              </w:rPr>
              <w:t>NQ Deferred</w:t>
            </w:r>
          </w:p>
        </w:tc>
        <w:tc>
          <w:tcPr>
            <w:tcW w:w="14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1"/>
        </w:trPr>
        <w:tc>
          <w:tcPr>
            <w:tcW w:w="1880" w:type="dxa"/>
            <w:vAlign w:val="bottom"/>
          </w:tcPr>
          <w:p>
            <w:pPr>
              <w:ind w:left="60"/>
              <w:spacing w:after="0"/>
              <w:rPr>
                <w:sz w:val="20"/>
                <w:szCs w:val="20"/>
                <w:color w:val="auto"/>
              </w:rPr>
            </w:pPr>
            <w:r>
              <w:rPr>
                <w:rFonts w:ascii="Arial" w:cs="Arial" w:eastAsia="Arial" w:hAnsi="Arial"/>
                <w:sz w:val="14"/>
                <w:szCs w:val="14"/>
                <w:b w:val="1"/>
                <w:bCs w:val="1"/>
                <w:color w:val="1C90D3"/>
              </w:rPr>
              <w:t>Name and</w:t>
            </w:r>
          </w:p>
        </w:tc>
        <w:tc>
          <w:tcPr>
            <w:tcW w:w="7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Pr>
          <w:p>
            <w:pPr>
              <w:jc w:val="right"/>
              <w:ind w:right="1"/>
              <w:spacing w:after="0"/>
              <w:rPr>
                <w:sz w:val="20"/>
                <w:szCs w:val="20"/>
                <w:color w:val="auto"/>
              </w:rPr>
            </w:pPr>
            <w:r>
              <w:rPr>
                <w:rFonts w:ascii="Arial" w:cs="Arial" w:eastAsia="Arial" w:hAnsi="Arial"/>
                <w:sz w:val="14"/>
                <w:szCs w:val="14"/>
                <w:b w:val="1"/>
                <w:bCs w:val="1"/>
                <w:color w:val="1C90D3"/>
              </w:rPr>
              <w:t>Stock</w:t>
            </w:r>
          </w:p>
        </w:tc>
        <w:tc>
          <w:tcPr>
            <w:tcW w:w="1000" w:type="dxa"/>
            <w:vAlign w:val="bottom"/>
          </w:tcPr>
          <w:p>
            <w:pPr>
              <w:jc w:val="right"/>
              <w:ind w:right="1"/>
              <w:spacing w:after="0"/>
              <w:rPr>
                <w:sz w:val="20"/>
                <w:szCs w:val="20"/>
                <w:color w:val="auto"/>
              </w:rPr>
            </w:pPr>
            <w:r>
              <w:rPr>
                <w:rFonts w:ascii="Arial" w:cs="Arial" w:eastAsia="Arial" w:hAnsi="Arial"/>
                <w:sz w:val="14"/>
                <w:szCs w:val="14"/>
                <w:b w:val="1"/>
                <w:bCs w:val="1"/>
                <w:color w:val="1C90D3"/>
              </w:rPr>
              <w:t>Option</w:t>
            </w:r>
          </w:p>
        </w:tc>
        <w:tc>
          <w:tcPr>
            <w:tcW w:w="1340" w:type="dxa"/>
            <w:vAlign w:val="bottom"/>
          </w:tcPr>
          <w:p>
            <w:pPr>
              <w:jc w:val="right"/>
              <w:ind w:right="22"/>
              <w:spacing w:after="0"/>
              <w:rPr>
                <w:sz w:val="20"/>
                <w:szCs w:val="20"/>
                <w:color w:val="auto"/>
              </w:rPr>
            </w:pPr>
            <w:r>
              <w:rPr>
                <w:rFonts w:ascii="Arial" w:cs="Arial" w:eastAsia="Arial" w:hAnsi="Arial"/>
                <w:sz w:val="14"/>
                <w:szCs w:val="14"/>
                <w:b w:val="1"/>
                <w:bCs w:val="1"/>
                <w:color w:val="1C90D3"/>
              </w:rPr>
              <w:t>Incentive Plan</w:t>
            </w:r>
          </w:p>
        </w:tc>
        <w:tc>
          <w:tcPr>
            <w:tcW w:w="1180" w:type="dxa"/>
            <w:vAlign w:val="bottom"/>
          </w:tcPr>
          <w:p>
            <w:pPr>
              <w:jc w:val="right"/>
              <w:ind w:right="23"/>
              <w:spacing w:after="0"/>
              <w:rPr>
                <w:sz w:val="20"/>
                <w:szCs w:val="20"/>
                <w:color w:val="auto"/>
              </w:rPr>
            </w:pPr>
            <w:r>
              <w:rPr>
                <w:rFonts w:ascii="Arial" w:cs="Arial" w:eastAsia="Arial" w:hAnsi="Arial"/>
                <w:sz w:val="14"/>
                <w:szCs w:val="14"/>
                <w:b w:val="1"/>
                <w:bCs w:val="1"/>
                <w:color w:val="1C90D3"/>
              </w:rPr>
              <w:t>Compensation</w:t>
            </w:r>
          </w:p>
        </w:tc>
        <w:tc>
          <w:tcPr>
            <w:tcW w:w="1400" w:type="dxa"/>
            <w:vAlign w:val="bottom"/>
          </w:tcPr>
          <w:p>
            <w:pPr>
              <w:jc w:val="right"/>
              <w:ind w:right="81"/>
              <w:spacing w:after="0"/>
              <w:rPr>
                <w:sz w:val="20"/>
                <w:szCs w:val="20"/>
                <w:color w:val="auto"/>
              </w:rPr>
            </w:pPr>
            <w:r>
              <w:rPr>
                <w:rFonts w:ascii="Arial" w:cs="Arial" w:eastAsia="Arial" w:hAnsi="Arial"/>
                <w:sz w:val="14"/>
                <w:szCs w:val="14"/>
                <w:b w:val="1"/>
                <w:bCs w:val="1"/>
                <w:color w:val="1C90D3"/>
              </w:rPr>
              <w:t>All Other</w:t>
            </w:r>
          </w:p>
        </w:tc>
        <w:tc>
          <w:tcPr>
            <w:tcW w:w="1020" w:type="dxa"/>
            <w:vAlign w:val="bottom"/>
          </w:tcPr>
          <w:p>
            <w:pPr>
              <w:spacing w:after="0"/>
              <w:rPr>
                <w:sz w:val="13"/>
                <w:szCs w:val="13"/>
                <w:color w:val="auto"/>
              </w:rPr>
            </w:pPr>
          </w:p>
        </w:tc>
      </w:tr>
      <w:tr>
        <w:trPr>
          <w:trHeight w:val="177"/>
        </w:trPr>
        <w:tc>
          <w:tcPr>
            <w:tcW w:w="1880" w:type="dxa"/>
            <w:vAlign w:val="bottom"/>
          </w:tcPr>
          <w:p>
            <w:pPr>
              <w:ind w:left="60"/>
              <w:spacing w:after="0"/>
              <w:rPr>
                <w:sz w:val="20"/>
                <w:szCs w:val="20"/>
                <w:color w:val="auto"/>
              </w:rPr>
            </w:pPr>
            <w:r>
              <w:rPr>
                <w:rFonts w:ascii="Arial" w:cs="Arial" w:eastAsia="Arial" w:hAnsi="Arial"/>
                <w:sz w:val="14"/>
                <w:szCs w:val="14"/>
                <w:b w:val="1"/>
                <w:bCs w:val="1"/>
                <w:color w:val="1C90D3"/>
              </w:rPr>
              <w:t>Principal</w:t>
            </w:r>
          </w:p>
        </w:tc>
        <w:tc>
          <w:tcPr>
            <w:tcW w:w="7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1C90D3"/>
              </w:rPr>
              <w:t>Salary</w:t>
            </w:r>
          </w:p>
        </w:tc>
        <w:tc>
          <w:tcPr>
            <w:tcW w:w="800" w:type="dxa"/>
            <w:vAlign w:val="bottom"/>
          </w:tcPr>
          <w:p>
            <w:pPr>
              <w:jc w:val="right"/>
              <w:ind w:right="21"/>
              <w:spacing w:after="0" w:line="177" w:lineRule="exact"/>
              <w:rPr>
                <w:sz w:val="20"/>
                <w:szCs w:val="20"/>
                <w:color w:val="auto"/>
              </w:rPr>
            </w:pPr>
            <w:r>
              <w:rPr>
                <w:rFonts w:ascii="Arial" w:cs="Arial" w:eastAsia="Arial" w:hAnsi="Arial"/>
                <w:sz w:val="13"/>
                <w:szCs w:val="13"/>
                <w:b w:val="1"/>
                <w:bCs w:val="1"/>
                <w:color w:val="1C90D3"/>
              </w:rPr>
              <w:t>Bonus</w:t>
            </w:r>
            <w:r>
              <w:rPr>
                <w:rFonts w:ascii="Arial" w:cs="Arial" w:eastAsia="Arial" w:hAnsi="Arial"/>
                <w:sz w:val="20"/>
                <w:szCs w:val="20"/>
                <w:b w:val="1"/>
                <w:bCs w:val="1"/>
                <w:color w:val="1C90D3"/>
                <w:vertAlign w:val="superscript"/>
              </w:rPr>
              <w:t>(3)</w:t>
            </w:r>
          </w:p>
        </w:tc>
        <w:tc>
          <w:tcPr>
            <w:tcW w:w="1020" w:type="dxa"/>
            <w:vAlign w:val="bottom"/>
          </w:tcPr>
          <w:p>
            <w:pPr>
              <w:jc w:val="right"/>
              <w:ind w:right="1"/>
              <w:spacing w:after="0" w:line="177" w:lineRule="exact"/>
              <w:rPr>
                <w:sz w:val="20"/>
                <w:szCs w:val="20"/>
                <w:color w:val="auto"/>
              </w:rPr>
            </w:pPr>
            <w:r>
              <w:rPr>
                <w:rFonts w:ascii="Arial" w:cs="Arial" w:eastAsia="Arial" w:hAnsi="Arial"/>
                <w:sz w:val="13"/>
                <w:szCs w:val="13"/>
                <w:b w:val="1"/>
                <w:bCs w:val="1"/>
                <w:color w:val="1C90D3"/>
              </w:rPr>
              <w:t>Awards</w:t>
            </w:r>
            <w:r>
              <w:rPr>
                <w:rFonts w:ascii="Arial" w:cs="Arial" w:eastAsia="Arial" w:hAnsi="Arial"/>
                <w:sz w:val="20"/>
                <w:szCs w:val="20"/>
                <w:b w:val="1"/>
                <w:bCs w:val="1"/>
                <w:color w:val="1C90D3"/>
                <w:vertAlign w:val="superscript"/>
              </w:rPr>
              <w:t>(4)</w:t>
            </w:r>
          </w:p>
        </w:tc>
        <w:tc>
          <w:tcPr>
            <w:tcW w:w="1000" w:type="dxa"/>
            <w:vAlign w:val="bottom"/>
          </w:tcPr>
          <w:p>
            <w:pPr>
              <w:jc w:val="right"/>
              <w:ind w:right="1"/>
              <w:spacing w:after="0" w:line="177" w:lineRule="exact"/>
              <w:rPr>
                <w:sz w:val="20"/>
                <w:szCs w:val="20"/>
                <w:color w:val="auto"/>
              </w:rPr>
            </w:pPr>
            <w:r>
              <w:rPr>
                <w:rFonts w:ascii="Arial" w:cs="Arial" w:eastAsia="Arial" w:hAnsi="Arial"/>
                <w:sz w:val="13"/>
                <w:szCs w:val="13"/>
                <w:b w:val="1"/>
                <w:bCs w:val="1"/>
                <w:color w:val="1C90D3"/>
              </w:rPr>
              <w:t>Awards</w:t>
            </w:r>
            <w:r>
              <w:rPr>
                <w:rFonts w:ascii="Arial" w:cs="Arial" w:eastAsia="Arial" w:hAnsi="Arial"/>
                <w:sz w:val="20"/>
                <w:szCs w:val="20"/>
                <w:b w:val="1"/>
                <w:bCs w:val="1"/>
                <w:color w:val="1C90D3"/>
                <w:vertAlign w:val="superscript"/>
              </w:rPr>
              <w:t>(5)</w:t>
            </w:r>
          </w:p>
        </w:tc>
        <w:tc>
          <w:tcPr>
            <w:tcW w:w="1340" w:type="dxa"/>
            <w:vAlign w:val="bottom"/>
          </w:tcPr>
          <w:p>
            <w:pPr>
              <w:jc w:val="right"/>
              <w:ind w:right="22"/>
              <w:spacing w:after="0" w:line="177" w:lineRule="exact"/>
              <w:rPr>
                <w:sz w:val="20"/>
                <w:szCs w:val="20"/>
                <w:color w:val="auto"/>
              </w:rPr>
            </w:pPr>
            <w:r>
              <w:rPr>
                <w:rFonts w:ascii="Arial" w:cs="Arial" w:eastAsia="Arial" w:hAnsi="Arial"/>
                <w:sz w:val="13"/>
                <w:szCs w:val="13"/>
                <w:b w:val="1"/>
                <w:bCs w:val="1"/>
                <w:color w:val="1C90D3"/>
              </w:rPr>
              <w:t>Compensation</w:t>
            </w:r>
            <w:r>
              <w:rPr>
                <w:rFonts w:ascii="Arial" w:cs="Arial" w:eastAsia="Arial" w:hAnsi="Arial"/>
                <w:sz w:val="20"/>
                <w:szCs w:val="20"/>
                <w:b w:val="1"/>
                <w:bCs w:val="1"/>
                <w:color w:val="1C90D3"/>
                <w:vertAlign w:val="superscript"/>
              </w:rPr>
              <w:t>(6)</w:t>
            </w:r>
          </w:p>
        </w:tc>
        <w:tc>
          <w:tcPr>
            <w:tcW w:w="1180" w:type="dxa"/>
            <w:vAlign w:val="bottom"/>
          </w:tcPr>
          <w:p>
            <w:pPr>
              <w:jc w:val="right"/>
              <w:ind w:right="43"/>
              <w:spacing w:after="0" w:line="177" w:lineRule="exact"/>
              <w:rPr>
                <w:sz w:val="20"/>
                <w:szCs w:val="20"/>
                <w:color w:val="auto"/>
              </w:rPr>
            </w:pPr>
            <w:r>
              <w:rPr>
                <w:rFonts w:ascii="Arial" w:cs="Arial" w:eastAsia="Arial" w:hAnsi="Arial"/>
                <w:sz w:val="13"/>
                <w:szCs w:val="13"/>
                <w:b w:val="1"/>
                <w:bCs w:val="1"/>
                <w:color w:val="1C90D3"/>
              </w:rPr>
              <w:t>Earnings</w:t>
            </w:r>
            <w:r>
              <w:rPr>
                <w:rFonts w:ascii="Arial" w:cs="Arial" w:eastAsia="Arial" w:hAnsi="Arial"/>
                <w:sz w:val="20"/>
                <w:szCs w:val="20"/>
                <w:b w:val="1"/>
                <w:bCs w:val="1"/>
                <w:color w:val="1C90D3"/>
                <w:vertAlign w:val="superscript"/>
              </w:rPr>
              <w:t>(7)</w:t>
            </w:r>
          </w:p>
        </w:tc>
        <w:tc>
          <w:tcPr>
            <w:tcW w:w="1400" w:type="dxa"/>
            <w:vAlign w:val="bottom"/>
          </w:tcPr>
          <w:p>
            <w:pPr>
              <w:jc w:val="right"/>
              <w:ind w:right="81"/>
              <w:spacing w:after="0" w:line="177" w:lineRule="exact"/>
              <w:rPr>
                <w:sz w:val="20"/>
                <w:szCs w:val="20"/>
                <w:color w:val="auto"/>
              </w:rPr>
            </w:pPr>
            <w:r>
              <w:rPr>
                <w:rFonts w:ascii="Arial" w:cs="Arial" w:eastAsia="Arial" w:hAnsi="Arial"/>
                <w:sz w:val="13"/>
                <w:szCs w:val="13"/>
                <w:b w:val="1"/>
                <w:bCs w:val="1"/>
                <w:color w:val="1C90D3"/>
              </w:rPr>
              <w:t>Compensation</w:t>
            </w:r>
            <w:r>
              <w:rPr>
                <w:rFonts w:ascii="Arial" w:cs="Arial" w:eastAsia="Arial" w:hAnsi="Arial"/>
                <w:sz w:val="20"/>
                <w:szCs w:val="20"/>
                <w:b w:val="1"/>
                <w:bCs w:val="1"/>
                <w:color w:val="1C90D3"/>
                <w:vertAlign w:val="superscript"/>
              </w:rPr>
              <w:t>(8)</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1C90D3"/>
              </w:rPr>
              <w:t>Total</w:t>
            </w:r>
          </w:p>
        </w:tc>
      </w:tr>
      <w:tr>
        <w:trPr>
          <w:trHeight w:val="196"/>
        </w:trPr>
        <w:tc>
          <w:tcPr>
            <w:tcW w:w="1880" w:type="dxa"/>
            <w:vAlign w:val="bottom"/>
            <w:tcBorders>
              <w:bottom w:val="single" w:sz="8" w:color="1C90D3"/>
            </w:tcBorders>
          </w:tcPr>
          <w:p>
            <w:pPr>
              <w:ind w:left="60"/>
              <w:spacing w:after="0" w:line="189" w:lineRule="exact"/>
              <w:rPr>
                <w:sz w:val="20"/>
                <w:szCs w:val="20"/>
                <w:color w:val="auto"/>
              </w:rPr>
            </w:pPr>
            <w:r>
              <w:rPr>
                <w:rFonts w:ascii="Arial" w:cs="Arial" w:eastAsia="Arial" w:hAnsi="Arial"/>
                <w:sz w:val="13"/>
                <w:szCs w:val="13"/>
                <w:b w:val="1"/>
                <w:bCs w:val="1"/>
                <w:color w:val="1C90D3"/>
              </w:rPr>
              <w:t>Position</w:t>
            </w:r>
            <w:r>
              <w:rPr>
                <w:rFonts w:ascii="Arial" w:cs="Arial" w:eastAsia="Arial" w:hAnsi="Arial"/>
                <w:sz w:val="21"/>
                <w:szCs w:val="21"/>
                <w:b w:val="1"/>
                <w:bCs w:val="1"/>
                <w:color w:val="1C90D3"/>
                <w:vertAlign w:val="superscript"/>
              </w:rPr>
              <w:t>(1)(2)</w:t>
            </w:r>
          </w:p>
        </w:tc>
        <w:tc>
          <w:tcPr>
            <w:tcW w:w="740" w:type="dxa"/>
            <w:vAlign w:val="bottom"/>
            <w:tcBorders>
              <w:bottom w:val="single" w:sz="8" w:color="1C90D3"/>
            </w:tcBorders>
          </w:tcPr>
          <w:p>
            <w:pPr>
              <w:jc w:val="right"/>
              <w:ind w:right="40"/>
              <w:spacing w:after="0"/>
              <w:rPr>
                <w:sz w:val="20"/>
                <w:szCs w:val="20"/>
                <w:color w:val="auto"/>
              </w:rPr>
            </w:pPr>
            <w:r>
              <w:rPr>
                <w:rFonts w:ascii="Arial" w:cs="Arial" w:eastAsia="Arial" w:hAnsi="Arial"/>
                <w:sz w:val="14"/>
                <w:szCs w:val="14"/>
                <w:b w:val="1"/>
                <w:bCs w:val="1"/>
                <w:color w:val="1C90D3"/>
              </w:rPr>
              <w:t>Year</w:t>
            </w:r>
          </w:p>
        </w:tc>
        <w:tc>
          <w:tcPr>
            <w:tcW w:w="920" w:type="dxa"/>
            <w:vAlign w:val="bottom"/>
            <w:tcBorders>
              <w:bottom w:val="single" w:sz="8" w:color="1C90D3"/>
            </w:tcBorders>
          </w:tcPr>
          <w:p>
            <w:pPr>
              <w:jc w:val="right"/>
              <w:spacing w:after="0"/>
              <w:rPr>
                <w:sz w:val="20"/>
                <w:szCs w:val="20"/>
                <w:color w:val="auto"/>
              </w:rPr>
            </w:pPr>
            <w:r>
              <w:rPr>
                <w:rFonts w:ascii="Arial" w:cs="Arial" w:eastAsia="Arial" w:hAnsi="Arial"/>
                <w:sz w:val="14"/>
                <w:szCs w:val="14"/>
                <w:b w:val="1"/>
                <w:bCs w:val="1"/>
                <w:color w:val="1C90D3"/>
              </w:rPr>
              <w:t>($)</w:t>
            </w:r>
          </w:p>
        </w:tc>
        <w:tc>
          <w:tcPr>
            <w:tcW w:w="800" w:type="dxa"/>
            <w:vAlign w:val="bottom"/>
            <w:tcBorders>
              <w:bottom w:val="single" w:sz="8" w:color="1C90D3"/>
            </w:tcBorders>
          </w:tcPr>
          <w:p>
            <w:pPr>
              <w:jc w:val="right"/>
              <w:ind w:right="21"/>
              <w:spacing w:after="0"/>
              <w:rPr>
                <w:sz w:val="20"/>
                <w:szCs w:val="20"/>
                <w:color w:val="auto"/>
              </w:rPr>
            </w:pPr>
            <w:r>
              <w:rPr>
                <w:rFonts w:ascii="Arial" w:cs="Arial" w:eastAsia="Arial" w:hAnsi="Arial"/>
                <w:sz w:val="14"/>
                <w:szCs w:val="14"/>
                <w:b w:val="1"/>
                <w:bCs w:val="1"/>
                <w:color w:val="1C90D3"/>
              </w:rPr>
              <w:t>($)</w:t>
            </w:r>
          </w:p>
        </w:tc>
        <w:tc>
          <w:tcPr>
            <w:tcW w:w="1020" w:type="dxa"/>
            <w:vAlign w:val="bottom"/>
            <w:tcBorders>
              <w:bottom w:val="single" w:sz="8" w:color="1C90D3"/>
            </w:tcBorders>
          </w:tcPr>
          <w:p>
            <w:pPr>
              <w:jc w:val="right"/>
              <w:ind w:right="1"/>
              <w:spacing w:after="0"/>
              <w:rPr>
                <w:sz w:val="20"/>
                <w:szCs w:val="20"/>
                <w:color w:val="auto"/>
              </w:rPr>
            </w:pPr>
            <w:r>
              <w:rPr>
                <w:rFonts w:ascii="Arial" w:cs="Arial" w:eastAsia="Arial" w:hAnsi="Arial"/>
                <w:sz w:val="14"/>
                <w:szCs w:val="14"/>
                <w:b w:val="1"/>
                <w:bCs w:val="1"/>
                <w:color w:val="1C90D3"/>
              </w:rPr>
              <w:t>($)</w:t>
            </w:r>
          </w:p>
        </w:tc>
        <w:tc>
          <w:tcPr>
            <w:tcW w:w="1000" w:type="dxa"/>
            <w:vAlign w:val="bottom"/>
            <w:tcBorders>
              <w:bottom w:val="single" w:sz="8" w:color="1C90D3"/>
            </w:tcBorders>
          </w:tcPr>
          <w:p>
            <w:pPr>
              <w:jc w:val="right"/>
              <w:ind w:right="1"/>
              <w:spacing w:after="0"/>
              <w:rPr>
                <w:sz w:val="20"/>
                <w:szCs w:val="20"/>
                <w:color w:val="auto"/>
              </w:rPr>
            </w:pPr>
            <w:r>
              <w:rPr>
                <w:rFonts w:ascii="Arial" w:cs="Arial" w:eastAsia="Arial" w:hAnsi="Arial"/>
                <w:sz w:val="14"/>
                <w:szCs w:val="14"/>
                <w:b w:val="1"/>
                <w:bCs w:val="1"/>
                <w:color w:val="1C90D3"/>
              </w:rPr>
              <w:t>($)</w:t>
            </w:r>
          </w:p>
        </w:tc>
        <w:tc>
          <w:tcPr>
            <w:tcW w:w="1340" w:type="dxa"/>
            <w:vAlign w:val="bottom"/>
            <w:tcBorders>
              <w:bottom w:val="single" w:sz="8" w:color="1C90D3"/>
            </w:tcBorders>
          </w:tcPr>
          <w:p>
            <w:pPr>
              <w:jc w:val="right"/>
              <w:ind w:right="22"/>
              <w:spacing w:after="0"/>
              <w:rPr>
                <w:sz w:val="20"/>
                <w:szCs w:val="20"/>
                <w:color w:val="auto"/>
              </w:rPr>
            </w:pPr>
            <w:r>
              <w:rPr>
                <w:rFonts w:ascii="Arial" w:cs="Arial" w:eastAsia="Arial" w:hAnsi="Arial"/>
                <w:sz w:val="14"/>
                <w:szCs w:val="14"/>
                <w:b w:val="1"/>
                <w:bCs w:val="1"/>
                <w:color w:val="1C90D3"/>
              </w:rPr>
              <w:t>($)</w:t>
            </w:r>
          </w:p>
        </w:tc>
        <w:tc>
          <w:tcPr>
            <w:tcW w:w="1180" w:type="dxa"/>
            <w:vAlign w:val="bottom"/>
            <w:tcBorders>
              <w:bottom w:val="single" w:sz="8" w:color="1C90D3"/>
            </w:tcBorders>
          </w:tcPr>
          <w:p>
            <w:pPr>
              <w:jc w:val="right"/>
              <w:ind w:right="23"/>
              <w:spacing w:after="0"/>
              <w:rPr>
                <w:sz w:val="20"/>
                <w:szCs w:val="20"/>
                <w:color w:val="auto"/>
              </w:rPr>
            </w:pPr>
            <w:r>
              <w:rPr>
                <w:rFonts w:ascii="Arial" w:cs="Arial" w:eastAsia="Arial" w:hAnsi="Arial"/>
                <w:sz w:val="14"/>
                <w:szCs w:val="14"/>
                <w:b w:val="1"/>
                <w:bCs w:val="1"/>
                <w:color w:val="1C90D3"/>
              </w:rPr>
              <w:t>($)</w:t>
            </w:r>
          </w:p>
        </w:tc>
        <w:tc>
          <w:tcPr>
            <w:tcW w:w="1400" w:type="dxa"/>
            <w:vAlign w:val="bottom"/>
            <w:tcBorders>
              <w:bottom w:val="single" w:sz="8" w:color="1C90D3"/>
            </w:tcBorders>
          </w:tcPr>
          <w:p>
            <w:pPr>
              <w:jc w:val="right"/>
              <w:ind w:right="81"/>
              <w:spacing w:after="0"/>
              <w:rPr>
                <w:sz w:val="20"/>
                <w:szCs w:val="20"/>
                <w:color w:val="auto"/>
              </w:rPr>
            </w:pPr>
            <w:r>
              <w:rPr>
                <w:rFonts w:ascii="Arial" w:cs="Arial" w:eastAsia="Arial" w:hAnsi="Arial"/>
                <w:sz w:val="14"/>
                <w:szCs w:val="14"/>
                <w:b w:val="1"/>
                <w:bCs w:val="1"/>
                <w:color w:val="1C90D3"/>
              </w:rPr>
              <w:t>($)</w:t>
            </w:r>
          </w:p>
        </w:tc>
        <w:tc>
          <w:tcPr>
            <w:tcW w:w="1020" w:type="dxa"/>
            <w:vAlign w:val="bottom"/>
            <w:tcBorders>
              <w:bottom w:val="single" w:sz="8" w:color="1C90D3"/>
            </w:tcBorders>
          </w:tcPr>
          <w:p>
            <w:pPr>
              <w:jc w:val="right"/>
              <w:spacing w:after="0"/>
              <w:rPr>
                <w:sz w:val="20"/>
                <w:szCs w:val="20"/>
                <w:color w:val="auto"/>
              </w:rPr>
            </w:pPr>
            <w:r>
              <w:rPr>
                <w:rFonts w:ascii="Arial" w:cs="Arial" w:eastAsia="Arial" w:hAnsi="Arial"/>
                <w:sz w:val="14"/>
                <w:szCs w:val="14"/>
                <w:b w:val="1"/>
                <w:bCs w:val="1"/>
                <w:color w:val="1C90D3"/>
              </w:rPr>
              <w:t>($)</w:t>
            </w:r>
          </w:p>
        </w:tc>
      </w:tr>
      <w:tr>
        <w:trPr>
          <w:trHeight w:val="243"/>
        </w:trPr>
        <w:tc>
          <w:tcPr>
            <w:tcW w:w="1880" w:type="dxa"/>
            <w:vAlign w:val="bottom"/>
          </w:tcPr>
          <w:p>
            <w:pPr>
              <w:ind w:left="60"/>
              <w:spacing w:after="0" w:line="242" w:lineRule="exact"/>
              <w:rPr>
                <w:sz w:val="20"/>
                <w:szCs w:val="20"/>
                <w:color w:val="auto"/>
              </w:rPr>
            </w:pPr>
            <w:r>
              <w:rPr>
                <w:rFonts w:ascii="Arial" w:cs="Arial" w:eastAsia="Arial" w:hAnsi="Arial"/>
                <w:sz w:val="16"/>
                <w:szCs w:val="16"/>
                <w:b w:val="1"/>
                <w:bCs w:val="1"/>
                <w:color w:val="auto"/>
              </w:rPr>
              <w:t>Mary T. Barra</w:t>
            </w:r>
            <w:r>
              <w:rPr>
                <w:rFonts w:ascii="Arial" w:cs="Arial" w:eastAsia="Arial" w:hAnsi="Arial"/>
                <w:sz w:val="27"/>
                <w:szCs w:val="27"/>
                <w:b w:val="1"/>
                <w:bCs w:val="1"/>
                <w:color w:val="auto"/>
                <w:vertAlign w:val="superscript"/>
              </w:rPr>
              <w:t>(1)</w:t>
            </w:r>
          </w:p>
        </w:tc>
        <w:tc>
          <w:tcPr>
            <w:tcW w:w="7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2015</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1,750,000</w:t>
            </w:r>
          </w:p>
        </w:tc>
        <w:tc>
          <w:tcPr>
            <w:tcW w:w="8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12,000,004</w:t>
            </w: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11,167,029</w:t>
            </w:r>
          </w:p>
        </w:tc>
        <w:tc>
          <w:tcPr>
            <w:tcW w:w="13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3,062,500</w:t>
            </w:r>
          </w:p>
        </w:tc>
        <w:tc>
          <w:tcPr>
            <w:tcW w:w="11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12,012</w:t>
            </w:r>
          </w:p>
        </w:tc>
        <w:tc>
          <w:tcPr>
            <w:tcW w:w="140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597,118</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28,588,663</w:t>
            </w:r>
          </w:p>
        </w:tc>
      </w:tr>
      <w:tr>
        <w:trPr>
          <w:trHeight w:val="193"/>
        </w:trPr>
        <w:tc>
          <w:tcPr>
            <w:tcW w:w="1880" w:type="dxa"/>
            <w:vAlign w:val="bottom"/>
          </w:tcPr>
          <w:p>
            <w:pPr>
              <w:ind w:left="60"/>
              <w:spacing w:after="0"/>
              <w:rPr>
                <w:sz w:val="20"/>
                <w:szCs w:val="20"/>
                <w:color w:val="auto"/>
              </w:rPr>
            </w:pPr>
            <w:r>
              <w:rPr>
                <w:rFonts w:ascii="Arial" w:cs="Arial" w:eastAsia="Arial" w:hAnsi="Arial"/>
                <w:sz w:val="16"/>
                <w:szCs w:val="16"/>
                <w:color w:val="auto"/>
              </w:rPr>
              <w:t>Chief Executive</w:t>
            </w:r>
          </w:p>
        </w:tc>
        <w:tc>
          <w:tcPr>
            <w:tcW w:w="7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2014</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1,567,803</w:t>
            </w:r>
          </w:p>
        </w:tc>
        <w:tc>
          <w:tcPr>
            <w:tcW w:w="8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11,760,567</w:t>
            </w: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2,072,000</w:t>
            </w:r>
          </w:p>
        </w:tc>
        <w:tc>
          <w:tcPr>
            <w:tcW w:w="11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349,926</w:t>
            </w:r>
          </w:p>
        </w:tc>
        <w:tc>
          <w:tcPr>
            <w:tcW w:w="140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412,532</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16,162,828</w:t>
            </w:r>
          </w:p>
        </w:tc>
      </w:tr>
      <w:tr>
        <w:trPr>
          <w:trHeight w:val="199"/>
        </w:trPr>
        <w:tc>
          <w:tcPr>
            <w:tcW w:w="188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Officer</w:t>
            </w:r>
          </w:p>
        </w:tc>
        <w:tc>
          <w:tcPr>
            <w:tcW w:w="7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2013</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750,000</w:t>
            </w:r>
          </w:p>
        </w:tc>
        <w:tc>
          <w:tcPr>
            <w:tcW w:w="8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4,446,504</w:t>
            </w: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36,636</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5,233,140</w:t>
            </w:r>
          </w:p>
        </w:tc>
      </w:tr>
      <w:tr>
        <w:trPr>
          <w:trHeight w:val="196"/>
        </w:trPr>
        <w:tc>
          <w:tcPr>
            <w:tcW w:w="1880" w:type="dxa"/>
            <w:vAlign w:val="bottom"/>
          </w:tcPr>
          <w:p>
            <w:pPr>
              <w:ind w:left="60"/>
              <w:spacing w:after="0"/>
              <w:rPr>
                <w:sz w:val="20"/>
                <w:szCs w:val="20"/>
                <w:color w:val="auto"/>
              </w:rPr>
            </w:pPr>
            <w:r>
              <w:rPr>
                <w:rFonts w:ascii="Arial" w:cs="Arial" w:eastAsia="Arial" w:hAnsi="Arial"/>
                <w:sz w:val="16"/>
                <w:szCs w:val="16"/>
                <w:b w:val="1"/>
                <w:bCs w:val="1"/>
                <w:color w:val="auto"/>
              </w:rPr>
              <w:t>Charles K. Stevens, III</w:t>
            </w:r>
          </w:p>
        </w:tc>
        <w:tc>
          <w:tcPr>
            <w:tcW w:w="7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2015</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1,000,000</w:t>
            </w:r>
          </w:p>
        </w:tc>
        <w:tc>
          <w:tcPr>
            <w:tcW w:w="8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2,875,049</w:t>
            </w: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2,675,437</w:t>
            </w:r>
          </w:p>
        </w:tc>
        <w:tc>
          <w:tcPr>
            <w:tcW w:w="13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1,375,000</w:t>
            </w:r>
          </w:p>
        </w:tc>
        <w:tc>
          <w:tcPr>
            <w:tcW w:w="11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176,738</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8,102,224</w:t>
            </w:r>
          </w:p>
        </w:tc>
      </w:tr>
      <w:tr>
        <w:trPr>
          <w:trHeight w:val="184"/>
        </w:trPr>
        <w:tc>
          <w:tcPr>
            <w:tcW w:w="1880" w:type="dxa"/>
            <w:vAlign w:val="bottom"/>
          </w:tcPr>
          <w:p>
            <w:pPr>
              <w:ind w:left="60"/>
              <w:spacing w:after="0" w:line="177" w:lineRule="exact"/>
              <w:rPr>
                <w:sz w:val="20"/>
                <w:szCs w:val="20"/>
                <w:color w:val="auto"/>
              </w:rPr>
            </w:pPr>
            <w:r>
              <w:rPr>
                <w:rFonts w:ascii="Arial" w:cs="Arial" w:eastAsia="Arial" w:hAnsi="Arial"/>
                <w:sz w:val="16"/>
                <w:szCs w:val="16"/>
                <w:color w:val="auto"/>
              </w:rPr>
              <w:t>Executive Vice President</w:t>
            </w: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2014</w:t>
            </w:r>
          </w:p>
        </w:tc>
        <w:tc>
          <w:tcPr>
            <w:tcW w:w="920" w:type="dxa"/>
            <w:vAlign w:val="bottom"/>
          </w:tcPr>
          <w:p>
            <w:pPr>
              <w:jc w:val="right"/>
              <w:spacing w:after="0"/>
              <w:rPr>
                <w:sz w:val="20"/>
                <w:szCs w:val="20"/>
                <w:color w:val="auto"/>
              </w:rPr>
            </w:pPr>
            <w:r>
              <w:rPr>
                <w:rFonts w:ascii="Arial" w:cs="Arial" w:eastAsia="Arial" w:hAnsi="Arial"/>
                <w:sz w:val="16"/>
                <w:szCs w:val="16"/>
                <w:color w:val="auto"/>
              </w:rPr>
              <w:t>691,667</w:t>
            </w: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3,177,354</w:t>
            </w: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2"/>
              <w:spacing w:after="0"/>
              <w:rPr>
                <w:sz w:val="20"/>
                <w:szCs w:val="20"/>
                <w:color w:val="auto"/>
              </w:rPr>
            </w:pPr>
            <w:r>
              <w:rPr>
                <w:rFonts w:ascii="Arial" w:cs="Arial" w:eastAsia="Arial" w:hAnsi="Arial"/>
                <w:sz w:val="16"/>
                <w:szCs w:val="16"/>
                <w:color w:val="auto"/>
              </w:rPr>
              <w:t>647,500</w:t>
            </w:r>
          </w:p>
        </w:tc>
        <w:tc>
          <w:tcPr>
            <w:tcW w:w="1180" w:type="dxa"/>
            <w:vAlign w:val="bottom"/>
          </w:tcPr>
          <w:p>
            <w:pPr>
              <w:jc w:val="right"/>
              <w:ind w:right="23"/>
              <w:spacing w:after="0"/>
              <w:rPr>
                <w:sz w:val="20"/>
                <w:szCs w:val="20"/>
                <w:color w:val="auto"/>
              </w:rPr>
            </w:pPr>
            <w:r>
              <w:rPr>
                <w:rFonts w:ascii="Arial" w:cs="Arial" w:eastAsia="Arial" w:hAnsi="Arial"/>
                <w:sz w:val="16"/>
                <w:szCs w:val="16"/>
                <w:color w:val="auto"/>
              </w:rPr>
              <w:t>265,201</w:t>
            </w:r>
          </w:p>
        </w:tc>
        <w:tc>
          <w:tcPr>
            <w:tcW w:w="1400" w:type="dxa"/>
            <w:vAlign w:val="bottom"/>
          </w:tcPr>
          <w:p>
            <w:pPr>
              <w:jc w:val="right"/>
              <w:ind w:right="101"/>
              <w:spacing w:after="0"/>
              <w:rPr>
                <w:sz w:val="20"/>
                <w:szCs w:val="20"/>
                <w:color w:val="auto"/>
              </w:rPr>
            </w:pPr>
            <w:r>
              <w:rPr>
                <w:rFonts w:ascii="Arial" w:cs="Arial" w:eastAsia="Arial" w:hAnsi="Arial"/>
                <w:sz w:val="16"/>
                <w:szCs w:val="16"/>
                <w:color w:val="auto"/>
              </w:rPr>
              <w:t>113,110</w:t>
            </w:r>
          </w:p>
        </w:tc>
        <w:tc>
          <w:tcPr>
            <w:tcW w:w="1020" w:type="dxa"/>
            <w:vAlign w:val="bottom"/>
          </w:tcPr>
          <w:p>
            <w:pPr>
              <w:jc w:val="right"/>
              <w:spacing w:after="0"/>
              <w:rPr>
                <w:sz w:val="20"/>
                <w:szCs w:val="20"/>
                <w:color w:val="auto"/>
              </w:rPr>
            </w:pPr>
            <w:r>
              <w:rPr>
                <w:rFonts w:ascii="Arial" w:cs="Arial" w:eastAsia="Arial" w:hAnsi="Arial"/>
                <w:sz w:val="16"/>
                <w:szCs w:val="16"/>
                <w:color w:val="auto"/>
              </w:rPr>
              <w:t>4,894,832</w:t>
            </w:r>
          </w:p>
        </w:tc>
      </w:tr>
      <w:tr>
        <w:trPr>
          <w:trHeight w:val="198"/>
        </w:trPr>
        <w:tc>
          <w:tcPr>
            <w:tcW w:w="188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&amp; Chief Financial Officer</w:t>
            </w:r>
          </w:p>
        </w:tc>
        <w:tc>
          <w:tcPr>
            <w:tcW w:w="7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r>
      <w:tr>
        <w:trPr>
          <w:trHeight w:val="199"/>
        </w:trPr>
        <w:tc>
          <w:tcPr>
            <w:tcW w:w="1880" w:type="dxa"/>
            <w:vAlign w:val="bottom"/>
          </w:tcPr>
          <w:p>
            <w:pPr>
              <w:ind w:left="60"/>
              <w:spacing w:after="0"/>
              <w:rPr>
                <w:sz w:val="20"/>
                <w:szCs w:val="20"/>
                <w:color w:val="auto"/>
              </w:rPr>
            </w:pPr>
            <w:r>
              <w:rPr>
                <w:rFonts w:ascii="Arial" w:cs="Arial" w:eastAsia="Arial" w:hAnsi="Arial"/>
                <w:sz w:val="16"/>
                <w:szCs w:val="16"/>
                <w:b w:val="1"/>
                <w:bCs w:val="1"/>
                <w:color w:val="auto"/>
              </w:rPr>
              <w:t>Daniel Ammann</w:t>
            </w:r>
          </w:p>
        </w:tc>
        <w:tc>
          <w:tcPr>
            <w:tcW w:w="7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2015</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1,200,000</w:t>
            </w:r>
          </w:p>
        </w:tc>
        <w:tc>
          <w:tcPr>
            <w:tcW w:w="8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4,500,021</w:t>
            </w: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4,187,636</w:t>
            </w:r>
          </w:p>
        </w:tc>
        <w:tc>
          <w:tcPr>
            <w:tcW w:w="13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1,650,000</w:t>
            </w:r>
          </w:p>
        </w:tc>
        <w:tc>
          <w:tcPr>
            <w:tcW w:w="11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262,420</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11,800,077</w:t>
            </w:r>
          </w:p>
        </w:tc>
      </w:tr>
      <w:tr>
        <w:trPr>
          <w:trHeight w:val="196"/>
        </w:trPr>
        <w:tc>
          <w:tcPr>
            <w:tcW w:w="1880" w:type="dxa"/>
            <w:vAlign w:val="bottom"/>
          </w:tcPr>
          <w:p>
            <w:pPr>
              <w:ind w:left="60"/>
              <w:spacing w:after="0"/>
              <w:rPr>
                <w:sz w:val="20"/>
                <w:szCs w:val="20"/>
                <w:color w:val="auto"/>
              </w:rPr>
            </w:pPr>
            <w:r>
              <w:rPr>
                <w:rFonts w:ascii="Arial" w:cs="Arial" w:eastAsia="Arial" w:hAnsi="Arial"/>
                <w:sz w:val="16"/>
                <w:szCs w:val="16"/>
                <w:color w:val="auto"/>
              </w:rPr>
              <w:t>President</w:t>
            </w:r>
          </w:p>
        </w:tc>
        <w:tc>
          <w:tcPr>
            <w:tcW w:w="7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2014</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990,530</w:t>
            </w:r>
          </w:p>
        </w:tc>
        <w:tc>
          <w:tcPr>
            <w:tcW w:w="8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6,310,564</w:t>
            </w: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925,000</w:t>
            </w:r>
          </w:p>
        </w:tc>
        <w:tc>
          <w:tcPr>
            <w:tcW w:w="11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263,252</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8,489,346</w:t>
            </w:r>
          </w:p>
        </w:tc>
      </w:tr>
      <w:tr>
        <w:trPr>
          <w:trHeight w:val="196"/>
        </w:trPr>
        <w:tc>
          <w:tcPr>
            <w:tcW w:w="18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2013</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750,000</w:t>
            </w:r>
          </w:p>
        </w:tc>
        <w:tc>
          <w:tcPr>
            <w:tcW w:w="8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4,481,562</w:t>
            </w: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28,475</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5,260,037</w:t>
            </w:r>
          </w:p>
        </w:tc>
      </w:tr>
      <w:tr>
        <w:trPr>
          <w:trHeight w:val="196"/>
        </w:trPr>
        <w:tc>
          <w:tcPr>
            <w:tcW w:w="1880" w:type="dxa"/>
            <w:vAlign w:val="bottom"/>
          </w:tcPr>
          <w:p>
            <w:pPr>
              <w:ind w:left="60"/>
              <w:spacing w:after="0"/>
              <w:rPr>
                <w:sz w:val="20"/>
                <w:szCs w:val="20"/>
                <w:color w:val="auto"/>
              </w:rPr>
            </w:pPr>
            <w:r>
              <w:rPr>
                <w:rFonts w:ascii="Arial" w:cs="Arial" w:eastAsia="Arial" w:hAnsi="Arial"/>
                <w:sz w:val="16"/>
                <w:szCs w:val="16"/>
                <w:b w:val="1"/>
                <w:bCs w:val="1"/>
                <w:color w:val="auto"/>
              </w:rPr>
              <w:t>Mark L. Reuss</w:t>
            </w:r>
          </w:p>
        </w:tc>
        <w:tc>
          <w:tcPr>
            <w:tcW w:w="7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2015</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1,100,000</w:t>
            </w:r>
          </w:p>
        </w:tc>
        <w:tc>
          <w:tcPr>
            <w:tcW w:w="8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3,825,012</w:t>
            </w: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3,559,495</w:t>
            </w:r>
          </w:p>
        </w:tc>
        <w:tc>
          <w:tcPr>
            <w:tcW w:w="13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1,515,000</w:t>
            </w:r>
          </w:p>
        </w:tc>
        <w:tc>
          <w:tcPr>
            <w:tcW w:w="11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199,629</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10,199,136</w:t>
            </w:r>
          </w:p>
        </w:tc>
      </w:tr>
      <w:tr>
        <w:trPr>
          <w:trHeight w:val="171"/>
        </w:trPr>
        <w:tc>
          <w:tcPr>
            <w:tcW w:w="1880" w:type="dxa"/>
            <w:vAlign w:val="bottom"/>
          </w:tcPr>
          <w:p>
            <w:pPr>
              <w:ind w:left="60"/>
              <w:spacing w:after="0" w:line="171" w:lineRule="exact"/>
              <w:rPr>
                <w:sz w:val="20"/>
                <w:szCs w:val="20"/>
                <w:color w:val="auto"/>
              </w:rPr>
            </w:pPr>
            <w:r>
              <w:rPr>
                <w:rFonts w:ascii="Arial" w:cs="Arial" w:eastAsia="Arial" w:hAnsi="Arial"/>
                <w:sz w:val="16"/>
                <w:szCs w:val="16"/>
                <w:color w:val="auto"/>
              </w:rPr>
              <w:t>Executive Vice</w:t>
            </w:r>
          </w:p>
        </w:tc>
        <w:tc>
          <w:tcPr>
            <w:tcW w:w="740" w:type="dxa"/>
            <w:vAlign w:val="bottom"/>
          </w:tcPr>
          <w:p>
            <w:pPr>
              <w:jc w:val="right"/>
              <w:ind w:right="40"/>
              <w:spacing w:after="0" w:line="171" w:lineRule="exact"/>
              <w:rPr>
                <w:sz w:val="20"/>
                <w:szCs w:val="20"/>
                <w:color w:val="auto"/>
              </w:rPr>
            </w:pPr>
            <w:r>
              <w:rPr>
                <w:rFonts w:ascii="Arial" w:cs="Arial" w:eastAsia="Arial" w:hAnsi="Arial"/>
                <w:sz w:val="16"/>
                <w:szCs w:val="16"/>
                <w:color w:val="auto"/>
              </w:rPr>
              <w:t>2014</w:t>
            </w:r>
          </w:p>
        </w:tc>
        <w:tc>
          <w:tcPr>
            <w:tcW w:w="920" w:type="dxa"/>
            <w:vAlign w:val="bottom"/>
          </w:tcPr>
          <w:p>
            <w:pPr>
              <w:jc w:val="right"/>
              <w:spacing w:after="0" w:line="171" w:lineRule="exact"/>
              <w:rPr>
                <w:sz w:val="20"/>
                <w:szCs w:val="20"/>
                <w:color w:val="auto"/>
              </w:rPr>
            </w:pPr>
            <w:r>
              <w:rPr>
                <w:rFonts w:ascii="Arial" w:cs="Arial" w:eastAsia="Arial" w:hAnsi="Arial"/>
                <w:sz w:val="16"/>
                <w:szCs w:val="16"/>
                <w:color w:val="auto"/>
              </w:rPr>
              <w:t>846,212</w:t>
            </w:r>
          </w:p>
        </w:tc>
        <w:tc>
          <w:tcPr>
            <w:tcW w:w="800" w:type="dxa"/>
            <w:vAlign w:val="bottom"/>
          </w:tcPr>
          <w:p>
            <w:pPr>
              <w:jc w:val="right"/>
              <w:ind w:right="21"/>
              <w:spacing w:after="0" w:line="171" w:lineRule="exact"/>
              <w:rPr>
                <w:sz w:val="20"/>
                <w:szCs w:val="20"/>
                <w:color w:val="auto"/>
              </w:rPr>
            </w:pPr>
            <w:r>
              <w:rPr>
                <w:rFonts w:ascii="Arial" w:cs="Arial" w:eastAsia="Arial" w:hAnsi="Arial"/>
                <w:sz w:val="16"/>
                <w:szCs w:val="16"/>
                <w:color w:val="auto"/>
              </w:rPr>
              <w:t>–</w:t>
            </w:r>
          </w:p>
        </w:tc>
        <w:tc>
          <w:tcPr>
            <w:tcW w:w="1020" w:type="dxa"/>
            <w:vAlign w:val="bottom"/>
          </w:tcPr>
          <w:p>
            <w:pPr>
              <w:jc w:val="right"/>
              <w:ind w:right="1"/>
              <w:spacing w:after="0" w:line="171" w:lineRule="exact"/>
              <w:rPr>
                <w:sz w:val="20"/>
                <w:szCs w:val="20"/>
                <w:color w:val="auto"/>
              </w:rPr>
            </w:pPr>
            <w:r>
              <w:rPr>
                <w:rFonts w:ascii="Arial" w:cs="Arial" w:eastAsia="Arial" w:hAnsi="Arial"/>
                <w:sz w:val="16"/>
                <w:szCs w:val="16"/>
                <w:color w:val="auto"/>
              </w:rPr>
              <w:t>7,458,881</w:t>
            </w:r>
          </w:p>
        </w:tc>
        <w:tc>
          <w:tcPr>
            <w:tcW w:w="1000" w:type="dxa"/>
            <w:vAlign w:val="bottom"/>
          </w:tcPr>
          <w:p>
            <w:pPr>
              <w:jc w:val="right"/>
              <w:ind w:right="1"/>
              <w:spacing w:after="0" w:line="171" w:lineRule="exact"/>
              <w:rPr>
                <w:sz w:val="20"/>
                <w:szCs w:val="20"/>
                <w:color w:val="auto"/>
              </w:rPr>
            </w:pPr>
            <w:r>
              <w:rPr>
                <w:rFonts w:ascii="Arial" w:cs="Arial" w:eastAsia="Arial" w:hAnsi="Arial"/>
                <w:sz w:val="16"/>
                <w:szCs w:val="16"/>
                <w:color w:val="auto"/>
              </w:rPr>
              <w:t>–</w:t>
            </w:r>
          </w:p>
        </w:tc>
        <w:tc>
          <w:tcPr>
            <w:tcW w:w="1340" w:type="dxa"/>
            <w:vAlign w:val="bottom"/>
          </w:tcPr>
          <w:p>
            <w:pPr>
              <w:jc w:val="right"/>
              <w:ind w:right="22"/>
              <w:spacing w:after="0" w:line="171" w:lineRule="exact"/>
              <w:rPr>
                <w:sz w:val="20"/>
                <w:szCs w:val="20"/>
                <w:color w:val="auto"/>
              </w:rPr>
            </w:pPr>
            <w:r>
              <w:rPr>
                <w:rFonts w:ascii="Arial" w:cs="Arial" w:eastAsia="Arial" w:hAnsi="Arial"/>
                <w:sz w:val="16"/>
                <w:szCs w:val="16"/>
                <w:color w:val="auto"/>
              </w:rPr>
              <w:t>786,300</w:t>
            </w:r>
          </w:p>
        </w:tc>
        <w:tc>
          <w:tcPr>
            <w:tcW w:w="1180" w:type="dxa"/>
            <w:vAlign w:val="bottom"/>
          </w:tcPr>
          <w:p>
            <w:pPr>
              <w:jc w:val="right"/>
              <w:ind w:right="23"/>
              <w:spacing w:after="0" w:line="171" w:lineRule="exact"/>
              <w:rPr>
                <w:sz w:val="20"/>
                <w:szCs w:val="20"/>
                <w:color w:val="auto"/>
              </w:rPr>
            </w:pPr>
            <w:r>
              <w:rPr>
                <w:rFonts w:ascii="Arial" w:cs="Arial" w:eastAsia="Arial" w:hAnsi="Arial"/>
                <w:sz w:val="16"/>
                <w:szCs w:val="16"/>
                <w:color w:val="auto"/>
              </w:rPr>
              <w:t>275,588</w:t>
            </w:r>
          </w:p>
        </w:tc>
        <w:tc>
          <w:tcPr>
            <w:tcW w:w="1400" w:type="dxa"/>
            <w:vAlign w:val="bottom"/>
          </w:tcPr>
          <w:p>
            <w:pPr>
              <w:jc w:val="right"/>
              <w:ind w:right="101"/>
              <w:spacing w:after="0" w:line="171" w:lineRule="exact"/>
              <w:rPr>
                <w:sz w:val="20"/>
                <w:szCs w:val="20"/>
                <w:color w:val="auto"/>
              </w:rPr>
            </w:pPr>
            <w:r>
              <w:rPr>
                <w:rFonts w:ascii="Arial" w:cs="Arial" w:eastAsia="Arial" w:hAnsi="Arial"/>
                <w:sz w:val="16"/>
                <w:szCs w:val="16"/>
                <w:color w:val="auto"/>
              </w:rPr>
              <w:t>110,796</w:t>
            </w:r>
          </w:p>
        </w:tc>
        <w:tc>
          <w:tcPr>
            <w:tcW w:w="1020" w:type="dxa"/>
            <w:vAlign w:val="bottom"/>
          </w:tcPr>
          <w:p>
            <w:pPr>
              <w:jc w:val="right"/>
              <w:spacing w:after="0" w:line="171" w:lineRule="exact"/>
              <w:rPr>
                <w:sz w:val="20"/>
                <w:szCs w:val="20"/>
                <w:color w:val="auto"/>
              </w:rPr>
            </w:pPr>
            <w:r>
              <w:rPr>
                <w:rFonts w:ascii="Arial" w:cs="Arial" w:eastAsia="Arial" w:hAnsi="Arial"/>
                <w:sz w:val="16"/>
                <w:szCs w:val="16"/>
                <w:color w:val="auto"/>
              </w:rPr>
              <w:t>9,477,777</w:t>
            </w:r>
          </w:p>
        </w:tc>
      </w:tr>
      <w:tr>
        <w:trPr>
          <w:trHeight w:val="195"/>
        </w:trPr>
        <w:tc>
          <w:tcPr>
            <w:tcW w:w="1880" w:type="dxa"/>
            <w:vAlign w:val="bottom"/>
          </w:tcPr>
          <w:p>
            <w:pPr>
              <w:ind w:left="60"/>
              <w:spacing w:after="0"/>
              <w:rPr>
                <w:sz w:val="20"/>
                <w:szCs w:val="20"/>
                <w:color w:val="auto"/>
              </w:rPr>
            </w:pPr>
            <w:r>
              <w:rPr>
                <w:rFonts w:ascii="Arial" w:cs="Arial" w:eastAsia="Arial" w:hAnsi="Arial"/>
                <w:sz w:val="16"/>
                <w:szCs w:val="16"/>
                <w:color w:val="auto"/>
              </w:rPr>
              <w:t>President, Global</w:t>
            </w:r>
          </w:p>
        </w:tc>
        <w:tc>
          <w:tcPr>
            <w:tcW w:w="7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03"/>
        </w:trPr>
        <w:tc>
          <w:tcPr>
            <w:tcW w:w="1880" w:type="dxa"/>
            <w:vAlign w:val="bottom"/>
          </w:tcPr>
          <w:p>
            <w:pPr>
              <w:ind w:left="60"/>
              <w:spacing w:after="0"/>
              <w:rPr>
                <w:sz w:val="20"/>
                <w:szCs w:val="20"/>
                <w:color w:val="auto"/>
              </w:rPr>
            </w:pPr>
            <w:r>
              <w:rPr>
                <w:rFonts w:ascii="Arial" w:cs="Arial" w:eastAsia="Arial" w:hAnsi="Arial"/>
                <w:sz w:val="16"/>
                <w:szCs w:val="16"/>
                <w:color w:val="auto"/>
              </w:rPr>
              <w:t>Product Development,</w:t>
            </w:r>
          </w:p>
        </w:tc>
        <w:tc>
          <w:tcPr>
            <w:tcW w:w="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1880" w:type="dxa"/>
            <w:vAlign w:val="bottom"/>
          </w:tcPr>
          <w:p>
            <w:pPr>
              <w:ind w:left="60"/>
              <w:spacing w:after="0"/>
              <w:rPr>
                <w:sz w:val="20"/>
                <w:szCs w:val="20"/>
                <w:color w:val="auto"/>
              </w:rPr>
            </w:pPr>
            <w:r>
              <w:rPr>
                <w:rFonts w:ascii="Arial" w:cs="Arial" w:eastAsia="Arial" w:hAnsi="Arial"/>
                <w:sz w:val="16"/>
                <w:szCs w:val="16"/>
                <w:color w:val="auto"/>
              </w:rPr>
              <w:t>Purchasing and Supply</w:t>
            </w:r>
          </w:p>
        </w:tc>
        <w:tc>
          <w:tcPr>
            <w:tcW w:w="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5"/>
        </w:trPr>
        <w:tc>
          <w:tcPr>
            <w:tcW w:w="188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Chain</w:t>
            </w:r>
          </w:p>
        </w:tc>
        <w:tc>
          <w:tcPr>
            <w:tcW w:w="7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198"/>
        </w:trPr>
        <w:tc>
          <w:tcPr>
            <w:tcW w:w="1880" w:type="dxa"/>
            <w:vAlign w:val="bottom"/>
          </w:tcPr>
          <w:p>
            <w:pPr>
              <w:ind w:left="60"/>
              <w:spacing w:after="0"/>
              <w:rPr>
                <w:sz w:val="20"/>
                <w:szCs w:val="20"/>
                <w:color w:val="auto"/>
              </w:rPr>
            </w:pPr>
            <w:r>
              <w:rPr>
                <w:rFonts w:ascii="Arial" w:cs="Arial" w:eastAsia="Arial" w:hAnsi="Arial"/>
                <w:sz w:val="16"/>
                <w:szCs w:val="16"/>
                <w:b w:val="1"/>
                <w:bCs w:val="1"/>
                <w:color w:val="auto"/>
              </w:rPr>
              <w:t>Craig B. Glidden</w:t>
            </w: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2015</w:t>
            </w:r>
          </w:p>
        </w:tc>
        <w:tc>
          <w:tcPr>
            <w:tcW w:w="920" w:type="dxa"/>
            <w:vAlign w:val="bottom"/>
          </w:tcPr>
          <w:p>
            <w:pPr>
              <w:jc w:val="right"/>
              <w:spacing w:after="0"/>
              <w:rPr>
                <w:sz w:val="20"/>
                <w:szCs w:val="20"/>
                <w:color w:val="auto"/>
              </w:rPr>
            </w:pPr>
            <w:r>
              <w:rPr>
                <w:rFonts w:ascii="Arial" w:cs="Arial" w:eastAsia="Arial" w:hAnsi="Arial"/>
                <w:sz w:val="16"/>
                <w:szCs w:val="16"/>
                <w:color w:val="auto"/>
              </w:rPr>
              <w:t>583,333</w:t>
            </w: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500,000</w:t>
            </w: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4,475,042</w:t>
            </w: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1,791,380</w:t>
            </w:r>
          </w:p>
        </w:tc>
        <w:tc>
          <w:tcPr>
            <w:tcW w:w="1340" w:type="dxa"/>
            <w:vAlign w:val="bottom"/>
          </w:tcPr>
          <w:p>
            <w:pPr>
              <w:jc w:val="right"/>
              <w:ind w:right="22"/>
              <w:spacing w:after="0"/>
              <w:rPr>
                <w:sz w:val="20"/>
                <w:szCs w:val="20"/>
                <w:color w:val="auto"/>
              </w:rPr>
            </w:pPr>
            <w:r>
              <w:rPr>
                <w:rFonts w:ascii="Arial" w:cs="Arial" w:eastAsia="Arial" w:hAnsi="Arial"/>
                <w:sz w:val="16"/>
                <w:szCs w:val="16"/>
                <w:color w:val="auto"/>
              </w:rPr>
              <w:t>945,000</w:t>
            </w:r>
          </w:p>
        </w:tc>
        <w:tc>
          <w:tcPr>
            <w:tcW w:w="118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01"/>
              <w:spacing w:after="0"/>
              <w:rPr>
                <w:sz w:val="20"/>
                <w:szCs w:val="20"/>
                <w:color w:val="auto"/>
              </w:rPr>
            </w:pPr>
            <w:r>
              <w:rPr>
                <w:rFonts w:ascii="Arial" w:cs="Arial" w:eastAsia="Arial" w:hAnsi="Arial"/>
                <w:sz w:val="16"/>
                <w:szCs w:val="16"/>
                <w:color w:val="auto"/>
              </w:rPr>
              <w:t>145,064</w:t>
            </w:r>
          </w:p>
        </w:tc>
        <w:tc>
          <w:tcPr>
            <w:tcW w:w="1020" w:type="dxa"/>
            <w:vAlign w:val="bottom"/>
          </w:tcPr>
          <w:p>
            <w:pPr>
              <w:jc w:val="right"/>
              <w:spacing w:after="0"/>
              <w:rPr>
                <w:sz w:val="20"/>
                <w:szCs w:val="20"/>
                <w:color w:val="auto"/>
              </w:rPr>
            </w:pPr>
            <w:r>
              <w:rPr>
                <w:rFonts w:ascii="Arial" w:cs="Arial" w:eastAsia="Arial" w:hAnsi="Arial"/>
                <w:sz w:val="16"/>
                <w:szCs w:val="16"/>
                <w:color w:val="auto"/>
              </w:rPr>
              <w:t>8,439,819</w:t>
            </w:r>
          </w:p>
        </w:tc>
      </w:tr>
      <w:tr>
        <w:trPr>
          <w:trHeight w:val="195"/>
        </w:trPr>
        <w:tc>
          <w:tcPr>
            <w:tcW w:w="1880" w:type="dxa"/>
            <w:vAlign w:val="bottom"/>
          </w:tcPr>
          <w:p>
            <w:pPr>
              <w:ind w:left="60"/>
              <w:spacing w:after="0"/>
              <w:rPr>
                <w:sz w:val="20"/>
                <w:szCs w:val="20"/>
                <w:color w:val="auto"/>
              </w:rPr>
            </w:pPr>
            <w:r>
              <w:rPr>
                <w:rFonts w:ascii="Arial" w:cs="Arial" w:eastAsia="Arial" w:hAnsi="Arial"/>
                <w:sz w:val="16"/>
                <w:szCs w:val="16"/>
                <w:color w:val="auto"/>
              </w:rPr>
              <w:t>Executive Vice President</w:t>
            </w:r>
          </w:p>
        </w:tc>
        <w:tc>
          <w:tcPr>
            <w:tcW w:w="7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16"/>
        </w:trPr>
        <w:tc>
          <w:tcPr>
            <w:tcW w:w="1880" w:type="dxa"/>
            <w:vAlign w:val="bottom"/>
            <w:tcBorders>
              <w:bottom w:val="single" w:sz="8" w:color="08228B"/>
            </w:tcBorders>
          </w:tcPr>
          <w:p>
            <w:pPr>
              <w:ind w:left="60"/>
              <w:spacing w:after="0"/>
              <w:rPr>
                <w:sz w:val="20"/>
                <w:szCs w:val="20"/>
                <w:color w:val="auto"/>
              </w:rPr>
            </w:pPr>
            <w:r>
              <w:rPr>
                <w:rFonts w:ascii="Arial" w:cs="Arial" w:eastAsia="Arial" w:hAnsi="Arial"/>
                <w:sz w:val="16"/>
                <w:szCs w:val="16"/>
                <w:color w:val="auto"/>
              </w:rPr>
              <w:t>&amp; General Counsel</w:t>
            </w:r>
          </w:p>
        </w:tc>
        <w:tc>
          <w:tcPr>
            <w:tcW w:w="740" w:type="dxa"/>
            <w:vAlign w:val="bottom"/>
            <w:tcBorders>
              <w:bottom w:val="single" w:sz="8" w:color="08228B"/>
            </w:tcBorders>
          </w:tcPr>
          <w:p>
            <w:pPr>
              <w:spacing w:after="0"/>
              <w:rPr>
                <w:sz w:val="18"/>
                <w:szCs w:val="18"/>
                <w:color w:val="auto"/>
              </w:rPr>
            </w:pPr>
          </w:p>
        </w:tc>
        <w:tc>
          <w:tcPr>
            <w:tcW w:w="920" w:type="dxa"/>
            <w:vAlign w:val="bottom"/>
            <w:tcBorders>
              <w:bottom w:val="single" w:sz="8" w:color="08228B"/>
            </w:tcBorders>
          </w:tcPr>
          <w:p>
            <w:pPr>
              <w:spacing w:after="0"/>
              <w:rPr>
                <w:sz w:val="18"/>
                <w:szCs w:val="18"/>
                <w:color w:val="auto"/>
              </w:rPr>
            </w:pPr>
          </w:p>
        </w:tc>
        <w:tc>
          <w:tcPr>
            <w:tcW w:w="800" w:type="dxa"/>
            <w:vAlign w:val="bottom"/>
            <w:tcBorders>
              <w:bottom w:val="single" w:sz="8" w:color="08228B"/>
            </w:tcBorders>
          </w:tcPr>
          <w:p>
            <w:pPr>
              <w:spacing w:after="0"/>
              <w:rPr>
                <w:sz w:val="18"/>
                <w:szCs w:val="18"/>
                <w:color w:val="auto"/>
              </w:rPr>
            </w:pPr>
          </w:p>
        </w:tc>
        <w:tc>
          <w:tcPr>
            <w:tcW w:w="1020" w:type="dxa"/>
            <w:vAlign w:val="bottom"/>
            <w:tcBorders>
              <w:bottom w:val="single" w:sz="8" w:color="08228B"/>
            </w:tcBorders>
          </w:tcPr>
          <w:p>
            <w:pPr>
              <w:spacing w:after="0"/>
              <w:rPr>
                <w:sz w:val="18"/>
                <w:szCs w:val="18"/>
                <w:color w:val="auto"/>
              </w:rPr>
            </w:pPr>
          </w:p>
        </w:tc>
        <w:tc>
          <w:tcPr>
            <w:tcW w:w="1000" w:type="dxa"/>
            <w:vAlign w:val="bottom"/>
            <w:tcBorders>
              <w:bottom w:val="single" w:sz="8" w:color="08228B"/>
            </w:tcBorders>
          </w:tcPr>
          <w:p>
            <w:pPr>
              <w:spacing w:after="0"/>
              <w:rPr>
                <w:sz w:val="18"/>
                <w:szCs w:val="18"/>
                <w:color w:val="auto"/>
              </w:rPr>
            </w:pPr>
          </w:p>
        </w:tc>
        <w:tc>
          <w:tcPr>
            <w:tcW w:w="1340" w:type="dxa"/>
            <w:vAlign w:val="bottom"/>
            <w:tcBorders>
              <w:bottom w:val="single" w:sz="8" w:color="08228B"/>
            </w:tcBorders>
          </w:tcPr>
          <w:p>
            <w:pPr>
              <w:spacing w:after="0"/>
              <w:rPr>
                <w:sz w:val="18"/>
                <w:szCs w:val="18"/>
                <w:color w:val="auto"/>
              </w:rPr>
            </w:pPr>
          </w:p>
        </w:tc>
        <w:tc>
          <w:tcPr>
            <w:tcW w:w="1180" w:type="dxa"/>
            <w:vAlign w:val="bottom"/>
            <w:tcBorders>
              <w:bottom w:val="single" w:sz="8" w:color="08228B"/>
            </w:tcBorders>
          </w:tcPr>
          <w:p>
            <w:pPr>
              <w:spacing w:after="0"/>
              <w:rPr>
                <w:sz w:val="18"/>
                <w:szCs w:val="18"/>
                <w:color w:val="auto"/>
              </w:rPr>
            </w:pPr>
          </w:p>
        </w:tc>
        <w:tc>
          <w:tcPr>
            <w:tcW w:w="1400" w:type="dxa"/>
            <w:vAlign w:val="bottom"/>
            <w:tcBorders>
              <w:bottom w:val="single" w:sz="8" w:color="08228B"/>
            </w:tcBorders>
          </w:tcPr>
          <w:p>
            <w:pPr>
              <w:spacing w:after="0"/>
              <w:rPr>
                <w:sz w:val="18"/>
                <w:szCs w:val="18"/>
                <w:color w:val="auto"/>
              </w:rPr>
            </w:pPr>
          </w:p>
        </w:tc>
        <w:tc>
          <w:tcPr>
            <w:tcW w:w="1020" w:type="dxa"/>
            <w:vAlign w:val="bottom"/>
            <w:tcBorders>
              <w:bottom w:val="single" w:sz="8" w:color="08228B"/>
            </w:tcBorders>
          </w:tcPr>
          <w:p>
            <w:pPr>
              <w:spacing w:after="0"/>
              <w:rPr>
                <w:sz w:val="18"/>
                <w:szCs w:val="18"/>
                <w:color w:val="auto"/>
              </w:rPr>
            </w:pPr>
          </w:p>
        </w:tc>
      </w:tr>
    </w:tbl>
    <w:p>
      <w:pPr>
        <w:spacing w:after="0" w:line="58" w:lineRule="exact"/>
        <w:rPr>
          <w:sz w:val="20"/>
          <w:szCs w:val="20"/>
          <w:color w:val="auto"/>
        </w:rPr>
      </w:pPr>
    </w:p>
    <w:p>
      <w:pPr>
        <w:ind w:left="340" w:hanging="332"/>
        <w:spacing w:after="0"/>
        <w:tabs>
          <w:tab w:leader="none" w:pos="340" w:val="left"/>
        </w:tabs>
        <w:numPr>
          <w:ilvl w:val="0"/>
          <w:numId w:val="93"/>
        </w:numPr>
        <w:rPr>
          <w:rFonts w:ascii="Arial" w:cs="Arial" w:eastAsia="Arial" w:hAnsi="Arial"/>
          <w:sz w:val="14"/>
          <w:szCs w:val="14"/>
          <w:i w:val="1"/>
          <w:iCs w:val="1"/>
          <w:color w:val="auto"/>
        </w:rPr>
      </w:pPr>
      <w:r>
        <w:rPr>
          <w:rFonts w:ascii="Arial" w:cs="Arial" w:eastAsia="Arial" w:hAnsi="Arial"/>
          <w:sz w:val="14"/>
          <w:szCs w:val="14"/>
          <w:i w:val="1"/>
          <w:iCs w:val="1"/>
          <w:color w:val="auto"/>
        </w:rPr>
        <w:t>Titles in the table reflect the NEOs’ positions as of December 31, 2015; Mary Barra was elected Chairman of the Board of Directors on January 4, 2016.</w:t>
      </w:r>
    </w:p>
    <w:p>
      <w:pPr>
        <w:spacing w:after="0" w:line="55" w:lineRule="exact"/>
        <w:rPr>
          <w:rFonts w:ascii="Arial" w:cs="Arial" w:eastAsia="Arial" w:hAnsi="Arial"/>
          <w:sz w:val="14"/>
          <w:szCs w:val="14"/>
          <w:i w:val="1"/>
          <w:iCs w:val="1"/>
          <w:color w:val="auto"/>
        </w:rPr>
      </w:pPr>
    </w:p>
    <w:p>
      <w:pPr>
        <w:ind w:left="340" w:hanging="332"/>
        <w:spacing w:after="0"/>
        <w:tabs>
          <w:tab w:leader="none" w:pos="340" w:val="left"/>
        </w:tabs>
        <w:numPr>
          <w:ilvl w:val="0"/>
          <w:numId w:val="93"/>
        </w:numPr>
        <w:rPr>
          <w:rFonts w:ascii="Arial" w:cs="Arial" w:eastAsia="Arial" w:hAnsi="Arial"/>
          <w:sz w:val="14"/>
          <w:szCs w:val="14"/>
          <w:i w:val="1"/>
          <w:iCs w:val="1"/>
          <w:color w:val="auto"/>
        </w:rPr>
      </w:pPr>
      <w:r>
        <w:rPr>
          <w:rFonts w:ascii="Arial" w:cs="Arial" w:eastAsia="Arial" w:hAnsi="Arial"/>
          <w:sz w:val="14"/>
          <w:szCs w:val="14"/>
          <w:i w:val="1"/>
          <w:iCs w:val="1"/>
          <w:color w:val="auto"/>
        </w:rPr>
        <w:t>Messrs. Stevens and Reuss were not NEOs in 2013, and Mr. Glidden was not employed by the Company prior to 2015.</w:t>
      </w:r>
    </w:p>
    <w:p>
      <w:pPr>
        <w:spacing w:after="0" w:line="55" w:lineRule="exact"/>
        <w:rPr>
          <w:rFonts w:ascii="Arial" w:cs="Arial" w:eastAsia="Arial" w:hAnsi="Arial"/>
          <w:sz w:val="14"/>
          <w:szCs w:val="14"/>
          <w:i w:val="1"/>
          <w:iCs w:val="1"/>
          <w:color w:val="auto"/>
        </w:rPr>
      </w:pPr>
    </w:p>
    <w:p>
      <w:pPr>
        <w:ind w:left="340" w:hanging="332"/>
        <w:spacing w:after="0"/>
        <w:tabs>
          <w:tab w:leader="none" w:pos="340" w:val="left"/>
        </w:tabs>
        <w:numPr>
          <w:ilvl w:val="0"/>
          <w:numId w:val="93"/>
        </w:numPr>
        <w:rPr>
          <w:rFonts w:ascii="Arial" w:cs="Arial" w:eastAsia="Arial" w:hAnsi="Arial"/>
          <w:sz w:val="14"/>
          <w:szCs w:val="14"/>
          <w:i w:val="1"/>
          <w:iCs w:val="1"/>
          <w:color w:val="auto"/>
        </w:rPr>
      </w:pPr>
      <w:r>
        <w:rPr>
          <w:rFonts w:ascii="Arial" w:cs="Arial" w:eastAsia="Arial" w:hAnsi="Arial"/>
          <w:sz w:val="14"/>
          <w:szCs w:val="14"/>
          <w:i w:val="1"/>
          <w:iCs w:val="1"/>
          <w:color w:val="auto"/>
        </w:rPr>
        <w:t>For Mr. Glidden, the amount includes a cash sign-on bonus of $500,000.</w:t>
      </w:r>
    </w:p>
    <w:p>
      <w:pPr>
        <w:spacing w:after="0" w:line="55" w:lineRule="exact"/>
        <w:rPr>
          <w:rFonts w:ascii="Arial" w:cs="Arial" w:eastAsia="Arial" w:hAnsi="Arial"/>
          <w:sz w:val="14"/>
          <w:szCs w:val="14"/>
          <w:i w:val="1"/>
          <w:iCs w:val="1"/>
          <w:color w:val="auto"/>
        </w:rPr>
      </w:pPr>
    </w:p>
    <w:p>
      <w:pPr>
        <w:jc w:val="both"/>
        <w:ind w:left="340" w:right="120" w:hanging="332"/>
        <w:spacing w:after="0" w:line="254" w:lineRule="auto"/>
        <w:tabs>
          <w:tab w:leader="none" w:pos="340" w:val="left"/>
        </w:tabs>
        <w:numPr>
          <w:ilvl w:val="0"/>
          <w:numId w:val="93"/>
        </w:numPr>
        <w:rPr>
          <w:rFonts w:ascii="Arial" w:cs="Arial" w:eastAsia="Arial" w:hAnsi="Arial"/>
          <w:sz w:val="14"/>
          <w:szCs w:val="14"/>
          <w:i w:val="1"/>
          <w:iCs w:val="1"/>
          <w:color w:val="auto"/>
        </w:rPr>
      </w:pPr>
      <w:r>
        <w:rPr>
          <w:rFonts w:ascii="Arial" w:cs="Arial" w:eastAsia="Arial" w:hAnsi="Arial"/>
          <w:sz w:val="14"/>
          <w:szCs w:val="14"/>
          <w:i w:val="1"/>
          <w:iCs w:val="1"/>
          <w:color w:val="auto"/>
        </w:rPr>
        <w:t>Stock Awards displays the grant date fair value computed in accordance with Financial Accounting Standards Board (“FASB”) Accounting Standards Codification (“ASC”) Topic 718 and include RSUs and PSUs at target. The maximum award for PSUs for the 2015–2017 performance period is 200% of grant, the value at the time of grant was $37.67 per share. The table below shows the maximum PSU grant and value based on the grant date value of $37.67 per share. The value at the time of grant for Mr. Glidden was $36.74 for both PSUs and RSUs.</w:t>
      </w:r>
    </w:p>
    <w:p>
      <w:pPr>
        <w:spacing w:after="0" w:line="118" w:lineRule="exact"/>
        <w:rPr>
          <w:sz w:val="20"/>
          <w:szCs w:val="20"/>
          <w:color w:val="auto"/>
        </w:rPr>
      </w:pPr>
    </w:p>
    <w:tbl>
      <w:tblPr>
        <w:tblLayout w:type="fixed"/>
        <w:tblInd w:w="340" w:type="dxa"/>
        <w:tblCellMar>
          <w:top w:w="0" w:type="dxa"/>
          <w:left w:w="0" w:type="dxa"/>
          <w:bottom w:w="0" w:type="dxa"/>
          <w:right w:w="0" w:type="dxa"/>
        </w:tblCellMar>
      </w:tblPr>
      <w:tr>
        <w:trPr>
          <w:trHeight w:val="198"/>
        </w:trPr>
        <w:tc>
          <w:tcPr>
            <w:tcW w:w="3180" w:type="dxa"/>
            <w:vAlign w:val="bottom"/>
            <w:tcBorders>
              <w:top w:val="single" w:sz="8" w:color="1C90D3"/>
            </w:tcBorders>
          </w:tcPr>
          <w:p>
            <w:pPr>
              <w:spacing w:after="0"/>
              <w:rPr>
                <w:sz w:val="17"/>
                <w:szCs w:val="17"/>
                <w:color w:val="auto"/>
              </w:rPr>
            </w:pPr>
          </w:p>
        </w:tc>
        <w:tc>
          <w:tcPr>
            <w:tcW w:w="3460" w:type="dxa"/>
            <w:vAlign w:val="bottom"/>
            <w:tcBorders>
              <w:top w:val="single" w:sz="8" w:color="1C90D3"/>
            </w:tcBorders>
          </w:tcPr>
          <w:p>
            <w:pPr>
              <w:jc w:val="right"/>
              <w:ind w:right="259"/>
              <w:spacing w:after="0"/>
              <w:rPr>
                <w:sz w:val="20"/>
                <w:szCs w:val="20"/>
                <w:color w:val="auto"/>
              </w:rPr>
            </w:pPr>
            <w:r>
              <w:rPr>
                <w:rFonts w:ascii="Arial" w:cs="Arial" w:eastAsia="Arial" w:hAnsi="Arial"/>
                <w:sz w:val="16"/>
                <w:szCs w:val="16"/>
                <w:b w:val="1"/>
                <w:bCs w:val="1"/>
                <w:color w:val="1C90D3"/>
              </w:rPr>
              <w:t>Maximum PSU Grant</w:t>
            </w:r>
          </w:p>
        </w:tc>
        <w:tc>
          <w:tcPr>
            <w:tcW w:w="2480" w:type="dxa"/>
            <w:vAlign w:val="bottom"/>
            <w:tcBorders>
              <w:top w:val="single" w:sz="8" w:color="1C90D3"/>
            </w:tcBorders>
          </w:tcPr>
          <w:p>
            <w:pPr>
              <w:jc w:val="right"/>
              <w:spacing w:after="0"/>
              <w:rPr>
                <w:sz w:val="20"/>
                <w:szCs w:val="20"/>
                <w:color w:val="auto"/>
              </w:rPr>
            </w:pPr>
            <w:r>
              <w:rPr>
                <w:rFonts w:ascii="Arial" w:cs="Arial" w:eastAsia="Arial" w:hAnsi="Arial"/>
                <w:sz w:val="16"/>
                <w:szCs w:val="16"/>
                <w:b w:val="1"/>
                <w:bCs w:val="1"/>
                <w:color w:val="1C90D3"/>
              </w:rPr>
              <w:t>Maximum PSU Grant Value</w:t>
            </w:r>
          </w:p>
        </w:tc>
      </w:tr>
      <w:tr>
        <w:trPr>
          <w:trHeight w:val="214"/>
        </w:trPr>
        <w:tc>
          <w:tcPr>
            <w:tcW w:w="3180" w:type="dxa"/>
            <w:vAlign w:val="bottom"/>
            <w:tcBorders>
              <w:bottom w:val="single" w:sz="8" w:color="1C90D3"/>
            </w:tcBorders>
          </w:tcPr>
          <w:p>
            <w:pPr>
              <w:spacing w:after="0"/>
              <w:rPr>
                <w:sz w:val="18"/>
                <w:szCs w:val="18"/>
                <w:color w:val="auto"/>
              </w:rPr>
            </w:pPr>
          </w:p>
        </w:tc>
        <w:tc>
          <w:tcPr>
            <w:tcW w:w="3460" w:type="dxa"/>
            <w:vAlign w:val="bottom"/>
            <w:tcBorders>
              <w:bottom w:val="single" w:sz="8" w:color="1C90D3"/>
            </w:tcBorders>
          </w:tcPr>
          <w:p>
            <w:pPr>
              <w:jc w:val="right"/>
              <w:ind w:right="259"/>
              <w:spacing w:after="0"/>
              <w:rPr>
                <w:sz w:val="20"/>
                <w:szCs w:val="20"/>
                <w:color w:val="auto"/>
              </w:rPr>
            </w:pPr>
            <w:r>
              <w:rPr>
                <w:rFonts w:ascii="Arial" w:cs="Arial" w:eastAsia="Arial" w:hAnsi="Arial"/>
                <w:sz w:val="16"/>
                <w:szCs w:val="16"/>
                <w:b w:val="1"/>
                <w:bCs w:val="1"/>
                <w:color w:val="1C90D3"/>
              </w:rPr>
              <w:t>(#)</w:t>
            </w:r>
          </w:p>
        </w:tc>
        <w:tc>
          <w:tcPr>
            <w:tcW w:w="2480" w:type="dxa"/>
            <w:vAlign w:val="bottom"/>
            <w:tcBorders>
              <w:bottom w:val="single" w:sz="8" w:color="1C90D3"/>
            </w:tcBorders>
          </w:tcPr>
          <w:p>
            <w:pPr>
              <w:jc w:val="right"/>
              <w:spacing w:after="0"/>
              <w:rPr>
                <w:sz w:val="20"/>
                <w:szCs w:val="20"/>
                <w:color w:val="auto"/>
              </w:rPr>
            </w:pPr>
            <w:r>
              <w:rPr>
                <w:rFonts w:ascii="Arial" w:cs="Arial" w:eastAsia="Arial" w:hAnsi="Arial"/>
                <w:sz w:val="16"/>
                <w:szCs w:val="16"/>
                <w:b w:val="1"/>
                <w:bCs w:val="1"/>
                <w:color w:val="1C90D3"/>
              </w:rPr>
              <w:t>($)</w:t>
            </w:r>
          </w:p>
        </w:tc>
      </w:tr>
      <w:tr>
        <w:trPr>
          <w:trHeight w:val="189"/>
        </w:trPr>
        <w:tc>
          <w:tcPr>
            <w:tcW w:w="31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Mary T. Barra</w:t>
            </w:r>
          </w:p>
        </w:tc>
        <w:tc>
          <w:tcPr>
            <w:tcW w:w="34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477,834</w:t>
            </w:r>
          </w:p>
        </w:tc>
        <w:tc>
          <w:tcPr>
            <w:tcW w:w="2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18,000,007</w:t>
            </w:r>
          </w:p>
        </w:tc>
      </w:tr>
      <w:tr>
        <w:trPr>
          <w:trHeight w:val="183"/>
        </w:trPr>
        <w:tc>
          <w:tcPr>
            <w:tcW w:w="3180" w:type="dxa"/>
            <w:vAlign w:val="bottom"/>
            <w:tcBorders>
              <w:bottom w:val="single" w:sz="8" w:color="auto"/>
            </w:tcBorders>
          </w:tcPr>
          <w:p>
            <w:pPr>
              <w:ind w:left="40"/>
              <w:spacing w:after="0" w:line="183" w:lineRule="exact"/>
              <w:rPr>
                <w:sz w:val="20"/>
                <w:szCs w:val="20"/>
                <w:color w:val="auto"/>
              </w:rPr>
            </w:pPr>
            <w:r>
              <w:rPr>
                <w:rFonts w:ascii="Arial" w:cs="Arial" w:eastAsia="Arial" w:hAnsi="Arial"/>
                <w:sz w:val="16"/>
                <w:szCs w:val="16"/>
                <w:color w:val="auto"/>
              </w:rPr>
              <w:t>Charles K. Stevens, III</w:t>
            </w:r>
          </w:p>
        </w:tc>
        <w:tc>
          <w:tcPr>
            <w:tcW w:w="3460" w:type="dxa"/>
            <w:vAlign w:val="bottom"/>
            <w:tcBorders>
              <w:bottom w:val="single" w:sz="8" w:color="auto"/>
            </w:tcBorders>
          </w:tcPr>
          <w:p>
            <w:pPr>
              <w:jc w:val="right"/>
              <w:ind w:right="259"/>
              <w:spacing w:after="0" w:line="183" w:lineRule="exact"/>
              <w:rPr>
                <w:sz w:val="20"/>
                <w:szCs w:val="20"/>
                <w:color w:val="auto"/>
              </w:rPr>
            </w:pPr>
            <w:r>
              <w:rPr>
                <w:rFonts w:ascii="Arial" w:cs="Arial" w:eastAsia="Arial" w:hAnsi="Arial"/>
                <w:sz w:val="16"/>
                <w:szCs w:val="16"/>
                <w:color w:val="auto"/>
              </w:rPr>
              <w:t>114,482</w:t>
            </w:r>
          </w:p>
        </w:tc>
        <w:tc>
          <w:tcPr>
            <w:tcW w:w="24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4,312,537</w:t>
            </w:r>
          </w:p>
        </w:tc>
      </w:tr>
      <w:tr>
        <w:trPr>
          <w:trHeight w:val="183"/>
        </w:trPr>
        <w:tc>
          <w:tcPr>
            <w:tcW w:w="3180" w:type="dxa"/>
            <w:vAlign w:val="bottom"/>
            <w:tcBorders>
              <w:bottom w:val="single" w:sz="8" w:color="auto"/>
            </w:tcBorders>
          </w:tcPr>
          <w:p>
            <w:pPr>
              <w:ind w:left="40"/>
              <w:spacing w:after="0" w:line="183" w:lineRule="exact"/>
              <w:rPr>
                <w:sz w:val="20"/>
                <w:szCs w:val="20"/>
                <w:color w:val="auto"/>
              </w:rPr>
            </w:pPr>
            <w:r>
              <w:rPr>
                <w:rFonts w:ascii="Arial" w:cs="Arial" w:eastAsia="Arial" w:hAnsi="Arial"/>
                <w:sz w:val="16"/>
                <w:szCs w:val="16"/>
                <w:color w:val="auto"/>
              </w:rPr>
              <w:t>Daniel Ammann</w:t>
            </w:r>
          </w:p>
        </w:tc>
        <w:tc>
          <w:tcPr>
            <w:tcW w:w="3460" w:type="dxa"/>
            <w:vAlign w:val="bottom"/>
            <w:tcBorders>
              <w:bottom w:val="single" w:sz="8" w:color="auto"/>
            </w:tcBorders>
          </w:tcPr>
          <w:p>
            <w:pPr>
              <w:jc w:val="right"/>
              <w:ind w:right="259"/>
              <w:spacing w:after="0" w:line="183" w:lineRule="exact"/>
              <w:rPr>
                <w:sz w:val="20"/>
                <w:szCs w:val="20"/>
                <w:color w:val="auto"/>
              </w:rPr>
            </w:pPr>
            <w:r>
              <w:rPr>
                <w:rFonts w:ascii="Arial" w:cs="Arial" w:eastAsia="Arial" w:hAnsi="Arial"/>
                <w:sz w:val="16"/>
                <w:szCs w:val="16"/>
                <w:color w:val="auto"/>
              </w:rPr>
              <w:t>179,188</w:t>
            </w:r>
          </w:p>
        </w:tc>
        <w:tc>
          <w:tcPr>
            <w:tcW w:w="24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6,750,012</w:t>
            </w:r>
          </w:p>
        </w:tc>
      </w:tr>
      <w:tr>
        <w:trPr>
          <w:trHeight w:val="183"/>
        </w:trPr>
        <w:tc>
          <w:tcPr>
            <w:tcW w:w="3180" w:type="dxa"/>
            <w:vAlign w:val="bottom"/>
            <w:tcBorders>
              <w:bottom w:val="single" w:sz="8" w:color="auto"/>
            </w:tcBorders>
          </w:tcPr>
          <w:p>
            <w:pPr>
              <w:ind w:left="40"/>
              <w:spacing w:after="0" w:line="183" w:lineRule="exact"/>
              <w:rPr>
                <w:sz w:val="20"/>
                <w:szCs w:val="20"/>
                <w:color w:val="auto"/>
              </w:rPr>
            </w:pPr>
            <w:r>
              <w:rPr>
                <w:rFonts w:ascii="Arial" w:cs="Arial" w:eastAsia="Arial" w:hAnsi="Arial"/>
                <w:sz w:val="16"/>
                <w:szCs w:val="16"/>
                <w:color w:val="auto"/>
              </w:rPr>
              <w:t>Mark L. Reuss</w:t>
            </w:r>
          </w:p>
        </w:tc>
        <w:tc>
          <w:tcPr>
            <w:tcW w:w="3460" w:type="dxa"/>
            <w:vAlign w:val="bottom"/>
            <w:tcBorders>
              <w:bottom w:val="single" w:sz="8" w:color="auto"/>
            </w:tcBorders>
          </w:tcPr>
          <w:p>
            <w:pPr>
              <w:jc w:val="right"/>
              <w:ind w:right="259"/>
              <w:spacing w:after="0" w:line="183" w:lineRule="exact"/>
              <w:rPr>
                <w:sz w:val="20"/>
                <w:szCs w:val="20"/>
                <w:color w:val="auto"/>
              </w:rPr>
            </w:pPr>
            <w:r>
              <w:rPr>
                <w:rFonts w:ascii="Arial" w:cs="Arial" w:eastAsia="Arial" w:hAnsi="Arial"/>
                <w:sz w:val="16"/>
                <w:szCs w:val="16"/>
                <w:color w:val="auto"/>
              </w:rPr>
              <w:t>152,310</w:t>
            </w:r>
          </w:p>
        </w:tc>
        <w:tc>
          <w:tcPr>
            <w:tcW w:w="24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5,737,518</w:t>
            </w:r>
          </w:p>
        </w:tc>
      </w:tr>
      <w:tr>
        <w:trPr>
          <w:trHeight w:val="183"/>
        </w:trPr>
        <w:tc>
          <w:tcPr>
            <w:tcW w:w="3180" w:type="dxa"/>
            <w:vAlign w:val="bottom"/>
            <w:tcBorders>
              <w:bottom w:val="single" w:sz="8" w:color="auto"/>
            </w:tcBorders>
          </w:tcPr>
          <w:p>
            <w:pPr>
              <w:ind w:left="40"/>
              <w:spacing w:after="0" w:line="183" w:lineRule="exact"/>
              <w:rPr>
                <w:sz w:val="20"/>
                <w:szCs w:val="20"/>
                <w:color w:val="auto"/>
              </w:rPr>
            </w:pPr>
            <w:r>
              <w:rPr>
                <w:rFonts w:ascii="Arial" w:cs="Arial" w:eastAsia="Arial" w:hAnsi="Arial"/>
                <w:sz w:val="16"/>
                <w:szCs w:val="16"/>
                <w:color w:val="auto"/>
              </w:rPr>
              <w:t>Craig B. Glidden</w:t>
            </w:r>
          </w:p>
        </w:tc>
        <w:tc>
          <w:tcPr>
            <w:tcW w:w="3460" w:type="dxa"/>
            <w:vAlign w:val="bottom"/>
            <w:tcBorders>
              <w:bottom w:val="single" w:sz="8" w:color="auto"/>
            </w:tcBorders>
          </w:tcPr>
          <w:p>
            <w:pPr>
              <w:jc w:val="right"/>
              <w:ind w:right="259"/>
              <w:spacing w:after="0" w:line="183" w:lineRule="exact"/>
              <w:rPr>
                <w:sz w:val="20"/>
                <w:szCs w:val="20"/>
                <w:color w:val="auto"/>
              </w:rPr>
            </w:pPr>
            <w:r>
              <w:rPr>
                <w:rFonts w:ascii="Arial" w:cs="Arial" w:eastAsia="Arial" w:hAnsi="Arial"/>
                <w:sz w:val="16"/>
                <w:szCs w:val="16"/>
                <w:color w:val="auto"/>
              </w:rPr>
              <w:t>78,594</w:t>
            </w:r>
          </w:p>
        </w:tc>
        <w:tc>
          <w:tcPr>
            <w:tcW w:w="24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2,887,544</w:t>
            </w:r>
          </w:p>
        </w:tc>
      </w:tr>
    </w:tbl>
    <w:p>
      <w:pPr>
        <w:spacing w:after="0" w:line="153" w:lineRule="exact"/>
        <w:rPr>
          <w:sz w:val="20"/>
          <w:szCs w:val="20"/>
          <w:color w:val="auto"/>
        </w:rPr>
      </w:pPr>
    </w:p>
    <w:p>
      <w:pPr>
        <w:ind w:left="340" w:right="120" w:hanging="332"/>
        <w:spacing w:after="0" w:line="279" w:lineRule="auto"/>
        <w:tabs>
          <w:tab w:leader="none" w:pos="340" w:val="left"/>
        </w:tabs>
        <w:numPr>
          <w:ilvl w:val="0"/>
          <w:numId w:val="94"/>
        </w:numPr>
        <w:rPr>
          <w:rFonts w:ascii="Arial" w:cs="Arial" w:eastAsia="Arial" w:hAnsi="Arial"/>
          <w:sz w:val="14"/>
          <w:szCs w:val="14"/>
          <w:i w:val="1"/>
          <w:iCs w:val="1"/>
          <w:color w:val="auto"/>
        </w:rPr>
      </w:pPr>
      <w:r>
        <w:rPr>
          <w:rFonts w:ascii="Arial" w:cs="Arial" w:eastAsia="Arial" w:hAnsi="Arial"/>
          <w:sz w:val="14"/>
          <w:szCs w:val="14"/>
          <w:i w:val="1"/>
          <w:iCs w:val="1"/>
          <w:color w:val="auto"/>
        </w:rPr>
        <w:t>Option Awards displays the grant date fair value, computed in accordance with FASB ASC Topic 718, for the DSV Option Grant. All options use the grant date closing price of $31.32 as the exercise price for each option granted.</w:t>
      </w:r>
    </w:p>
    <w:p>
      <w:pPr>
        <w:spacing w:after="0" w:line="3" w:lineRule="exact"/>
        <w:rPr>
          <w:rFonts w:ascii="Arial" w:cs="Arial" w:eastAsia="Arial" w:hAnsi="Arial"/>
          <w:sz w:val="14"/>
          <w:szCs w:val="14"/>
          <w:i w:val="1"/>
          <w:iCs w:val="1"/>
          <w:color w:val="auto"/>
        </w:rPr>
      </w:pPr>
    </w:p>
    <w:p>
      <w:pPr>
        <w:jc w:val="both"/>
        <w:ind w:left="340" w:right="120" w:hanging="332"/>
        <w:spacing w:after="0" w:line="251" w:lineRule="auto"/>
        <w:tabs>
          <w:tab w:leader="none" w:pos="340" w:val="left"/>
        </w:tabs>
        <w:numPr>
          <w:ilvl w:val="0"/>
          <w:numId w:val="94"/>
        </w:numPr>
        <w:rPr>
          <w:rFonts w:ascii="Arial" w:cs="Arial" w:eastAsia="Arial" w:hAnsi="Arial"/>
          <w:sz w:val="14"/>
          <w:szCs w:val="14"/>
          <w:i w:val="1"/>
          <w:iCs w:val="1"/>
          <w:color w:val="auto"/>
        </w:rPr>
      </w:pPr>
      <w:r>
        <w:rPr>
          <w:rFonts w:ascii="Arial" w:cs="Arial" w:eastAsia="Arial" w:hAnsi="Arial"/>
          <w:sz w:val="14"/>
          <w:szCs w:val="14"/>
          <w:i w:val="1"/>
          <w:iCs w:val="1"/>
          <w:color w:val="auto"/>
        </w:rPr>
        <w:t>Each NEO was eligible for a payment under the STIP for 2015 performance based on the Company’s achievement of annual financial goals, operational and performance goals, and individual performance. The amounts displayed represent the Company performance portion of the annual STIP at 100% with adjustments for individual performance as follows: Mr. Stevens received an additional $125,000, Mr. Ammann received an additional $150,000, Mr. Reuss received an additional $140,000, and Mr. Glidden received an additional $70,000. Individual performance adjustments are based on performance against individual goals for each NEO determined by the Compensation Committee at the beginning of each year.</w:t>
      </w:r>
    </w:p>
    <w:p>
      <w:pPr>
        <w:spacing w:after="0" w:line="22" w:lineRule="exact"/>
        <w:rPr>
          <w:rFonts w:ascii="Arial" w:cs="Arial" w:eastAsia="Arial" w:hAnsi="Arial"/>
          <w:sz w:val="14"/>
          <w:szCs w:val="14"/>
          <w:i w:val="1"/>
          <w:iCs w:val="1"/>
          <w:color w:val="auto"/>
        </w:rPr>
      </w:pPr>
    </w:p>
    <w:p>
      <w:pPr>
        <w:jc w:val="both"/>
        <w:ind w:left="340" w:right="120" w:hanging="332"/>
        <w:spacing w:after="0" w:line="251" w:lineRule="auto"/>
        <w:tabs>
          <w:tab w:leader="none" w:pos="340" w:val="left"/>
        </w:tabs>
        <w:numPr>
          <w:ilvl w:val="0"/>
          <w:numId w:val="94"/>
        </w:numPr>
        <w:rPr>
          <w:rFonts w:ascii="Arial" w:cs="Arial" w:eastAsia="Arial" w:hAnsi="Arial"/>
          <w:sz w:val="14"/>
          <w:szCs w:val="14"/>
          <w:i w:val="1"/>
          <w:iCs w:val="1"/>
          <w:color w:val="auto"/>
        </w:rPr>
      </w:pPr>
      <w:r>
        <w:rPr>
          <w:rFonts w:ascii="Arial" w:cs="Arial" w:eastAsia="Arial" w:hAnsi="Arial"/>
          <w:sz w:val="14"/>
          <w:szCs w:val="14"/>
          <w:i w:val="1"/>
          <w:iCs w:val="1"/>
          <w:color w:val="auto"/>
        </w:rPr>
        <w:t>These amounts represent the actuarial change in the present value of the executive’s accrued benefit for 2015 attributed to year-over-year variances in applicable discount rates, lump sum interest rate, mortality rates, and employer contributions to tax-qualified and non-tax qualified plans as described in the section titled “Pension Benefits” on page 58. The Company does not credit interest at above-market rates to any deferred accounts, and no interest amounts are included in these totals. Mr. Stevens had a decrease in the present value of his pension in the amount of $6,968, and Mr. Reuss had a decrease in the amount of $9,106. Mr. Ammann and Mr. Glidden are not eligible for defined benefit pension plans.</w:t>
      </w:r>
    </w:p>
    <w:p>
      <w:pPr>
        <w:spacing w:after="0" w:line="22" w:lineRule="exact"/>
        <w:rPr>
          <w:rFonts w:ascii="Arial" w:cs="Arial" w:eastAsia="Arial" w:hAnsi="Arial"/>
          <w:sz w:val="14"/>
          <w:szCs w:val="14"/>
          <w:i w:val="1"/>
          <w:iCs w:val="1"/>
          <w:color w:val="auto"/>
        </w:rPr>
      </w:pPr>
    </w:p>
    <w:p>
      <w:pPr>
        <w:ind w:left="340" w:hanging="332"/>
        <w:spacing w:after="0"/>
        <w:tabs>
          <w:tab w:leader="none" w:pos="340" w:val="left"/>
        </w:tabs>
        <w:numPr>
          <w:ilvl w:val="0"/>
          <w:numId w:val="94"/>
        </w:numPr>
        <w:rPr>
          <w:rFonts w:ascii="Arial" w:cs="Arial" w:eastAsia="Arial" w:hAnsi="Arial"/>
          <w:sz w:val="14"/>
          <w:szCs w:val="14"/>
          <w:i w:val="1"/>
          <w:iCs w:val="1"/>
          <w:color w:val="auto"/>
        </w:rPr>
      </w:pPr>
      <w:r>
        <w:rPr>
          <w:rFonts w:ascii="Arial" w:cs="Arial" w:eastAsia="Arial" w:hAnsi="Arial"/>
          <w:sz w:val="14"/>
          <w:szCs w:val="14"/>
          <w:i w:val="1"/>
          <w:iCs w:val="1"/>
          <w:color w:val="auto"/>
        </w:rPr>
        <w:t>Totals for amounts included as “All Other Compensation” are described in the table below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13"/>
        </w:trPr>
        <w:tc>
          <w:tcPr>
            <w:tcW w:w="4340" w:type="dxa"/>
            <w:vAlign w:val="bottom"/>
            <w:tcBorders>
              <w:bottom w:val="single" w:sz="8" w:color="08228B"/>
            </w:tcBorders>
          </w:tcPr>
          <w:p>
            <w:pPr>
              <w:spacing w:after="0"/>
              <w:rPr>
                <w:sz w:val="9"/>
                <w:szCs w:val="9"/>
                <w:color w:val="auto"/>
              </w:rPr>
            </w:pPr>
          </w:p>
        </w:tc>
        <w:tc>
          <w:tcPr>
            <w:tcW w:w="2060" w:type="dxa"/>
            <w:vAlign w:val="bottom"/>
            <w:vMerge w:val="restart"/>
          </w:tcPr>
          <w:p>
            <w:pPr>
              <w:ind w:left="60"/>
              <w:spacing w:after="0"/>
              <w:rPr>
                <w:sz w:val="20"/>
                <w:szCs w:val="20"/>
                <w:color w:val="auto"/>
              </w:rPr>
            </w:pPr>
            <w:r>
              <w:rPr>
                <w:rFonts w:ascii="Arial" w:cs="Arial" w:eastAsia="Arial" w:hAnsi="Arial"/>
                <w:sz w:val="16"/>
                <w:szCs w:val="16"/>
                <w:b w:val="1"/>
                <w:bCs w:val="1"/>
                <w:color w:val="1C90D3"/>
              </w:rPr>
              <w:t xml:space="preserve">2016 </w:t>
            </w:r>
            <w:r>
              <w:rPr>
                <w:rFonts w:ascii="Arial" w:cs="Arial" w:eastAsia="Arial" w:hAnsi="Arial"/>
                <w:sz w:val="16"/>
                <w:szCs w:val="16"/>
                <w:color w:val="08228B"/>
              </w:rPr>
              <w:t>PROXY STATEMENT</w:t>
            </w:r>
          </w:p>
        </w:tc>
        <w:tc>
          <w:tcPr>
            <w:tcW w:w="2400" w:type="dxa"/>
            <w:vAlign w:val="bottom"/>
            <w:tcBorders>
              <w:bottom w:val="single" w:sz="8" w:color="08228B"/>
            </w:tcBorders>
          </w:tcPr>
          <w:p>
            <w:pPr>
              <w:spacing w:after="0"/>
              <w:rPr>
                <w:sz w:val="9"/>
                <w:szCs w:val="9"/>
                <w:color w:val="auto"/>
              </w:rPr>
            </w:pPr>
          </w:p>
        </w:tc>
        <w:tc>
          <w:tcPr>
            <w:tcW w:w="2620" w:type="dxa"/>
            <w:vAlign w:val="bottom"/>
            <w:vMerge w:val="restart"/>
          </w:tcPr>
          <w:p>
            <w:pPr>
              <w:jc w:val="right"/>
              <w:ind w:right="39"/>
              <w:spacing w:after="0"/>
              <w:rPr>
                <w:sz w:val="20"/>
                <w:szCs w:val="20"/>
                <w:color w:val="auto"/>
              </w:rPr>
            </w:pPr>
            <w:r>
              <w:rPr>
                <w:rFonts w:ascii="Arial" w:cs="Arial" w:eastAsia="Arial" w:hAnsi="Arial"/>
                <w:sz w:val="16"/>
                <w:szCs w:val="16"/>
                <w:color w:val="08228B"/>
              </w:rPr>
              <w:t>54</w:t>
            </w:r>
          </w:p>
        </w:tc>
        <w:tc>
          <w:tcPr>
            <w:tcW w:w="0" w:type="dxa"/>
            <w:vAlign w:val="bottom"/>
          </w:tcPr>
          <w:p>
            <w:pPr>
              <w:spacing w:after="0"/>
              <w:rPr>
                <w:sz w:val="1"/>
                <w:szCs w:val="1"/>
                <w:color w:val="auto"/>
              </w:rPr>
            </w:pPr>
          </w:p>
        </w:tc>
      </w:tr>
      <w:tr>
        <w:trPr>
          <w:trHeight w:val="82"/>
        </w:trPr>
        <w:tc>
          <w:tcPr>
            <w:tcW w:w="4340" w:type="dxa"/>
            <w:vAlign w:val="bottom"/>
          </w:tcPr>
          <w:p>
            <w:pPr>
              <w:spacing w:after="0"/>
              <w:rPr>
                <w:sz w:val="7"/>
                <w:szCs w:val="7"/>
                <w:color w:val="auto"/>
              </w:rPr>
            </w:pPr>
          </w:p>
        </w:tc>
        <w:tc>
          <w:tcPr>
            <w:tcW w:w="2060" w:type="dxa"/>
            <w:vAlign w:val="bottom"/>
            <w:vMerge w:val="continue"/>
          </w:tcPr>
          <w:p>
            <w:pPr>
              <w:spacing w:after="0"/>
              <w:rPr>
                <w:sz w:val="7"/>
                <w:szCs w:val="7"/>
                <w:color w:val="auto"/>
              </w:rPr>
            </w:pPr>
          </w:p>
        </w:tc>
        <w:tc>
          <w:tcPr>
            <w:tcW w:w="2400" w:type="dxa"/>
            <w:vAlign w:val="bottom"/>
          </w:tcPr>
          <w:p>
            <w:pPr>
              <w:spacing w:after="0"/>
              <w:rPr>
                <w:sz w:val="7"/>
                <w:szCs w:val="7"/>
                <w:color w:val="auto"/>
              </w:rPr>
            </w:pPr>
          </w:p>
        </w:tc>
        <w:tc>
          <w:tcPr>
            <w:tcW w:w="2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7"/>
        </w:trPr>
        <w:tc>
          <w:tcPr>
            <w:tcW w:w="4340" w:type="dxa"/>
            <w:vAlign w:val="bottom"/>
            <w:tcBorders>
              <w:bottom w:val="single" w:sz="8" w:color="C0C0C0"/>
            </w:tcBorders>
          </w:tcPr>
          <w:p>
            <w:pPr>
              <w:spacing w:after="0"/>
              <w:rPr>
                <w:sz w:val="24"/>
                <w:szCs w:val="24"/>
                <w:color w:val="auto"/>
              </w:rPr>
            </w:pPr>
          </w:p>
        </w:tc>
        <w:tc>
          <w:tcPr>
            <w:tcW w:w="2060" w:type="dxa"/>
            <w:vAlign w:val="bottom"/>
            <w:tcBorders>
              <w:bottom w:val="single" w:sz="8" w:color="C0C0C0"/>
            </w:tcBorders>
          </w:tcPr>
          <w:p>
            <w:pPr>
              <w:spacing w:after="0"/>
              <w:rPr>
                <w:sz w:val="24"/>
                <w:szCs w:val="24"/>
                <w:color w:val="auto"/>
              </w:rPr>
            </w:pPr>
          </w:p>
        </w:tc>
        <w:tc>
          <w:tcPr>
            <w:tcW w:w="2400" w:type="dxa"/>
            <w:vAlign w:val="bottom"/>
            <w:tcBorders>
              <w:bottom w:val="single" w:sz="8" w:color="C0C0C0"/>
            </w:tcBorders>
          </w:tcPr>
          <w:p>
            <w:pPr>
              <w:spacing w:after="0"/>
              <w:rPr>
                <w:sz w:val="24"/>
                <w:szCs w:val="24"/>
                <w:color w:val="auto"/>
              </w:rPr>
            </w:pPr>
          </w:p>
        </w:tc>
        <w:tc>
          <w:tcPr>
            <w:tcW w:w="262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5613400</wp:posOffset>
            </wp:positionH>
            <wp:positionV relativeFrom="paragraph">
              <wp:posOffset>-334010</wp:posOffset>
            </wp:positionV>
            <wp:extent cx="1286510" cy="8572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1286510" cy="8572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Back to Contents</w:t>
        </w:r>
      </w:hyperlink>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color w:val="1C90D3"/>
        </w:rPr>
        <w:t>All Other Compensation</w:t>
      </w:r>
    </w:p>
    <w:p>
      <w:pPr>
        <w:spacing w:after="0" w:line="205" w:lineRule="exact"/>
        <w:rPr>
          <w:sz w:val="20"/>
          <w:szCs w:val="20"/>
          <w:color w:val="auto"/>
        </w:rPr>
      </w:pPr>
    </w:p>
    <w:tbl>
      <w:tblPr>
        <w:tblLayout w:type="fixed"/>
        <w:tblInd w:w="340" w:type="dxa"/>
        <w:tblCellMar>
          <w:top w:w="0" w:type="dxa"/>
          <w:left w:w="0" w:type="dxa"/>
          <w:bottom w:w="0" w:type="dxa"/>
          <w:right w:w="0" w:type="dxa"/>
        </w:tblCellMar>
      </w:tblPr>
      <w:tr>
        <w:trPr>
          <w:trHeight w:val="198"/>
        </w:trPr>
        <w:tc>
          <w:tcPr>
            <w:tcW w:w="3200" w:type="dxa"/>
            <w:vAlign w:val="bottom"/>
            <w:tcBorders>
              <w:top w:val="single" w:sz="8" w:color="1C90D3"/>
            </w:tcBorders>
          </w:tcPr>
          <w:p>
            <w:pPr>
              <w:spacing w:after="0"/>
              <w:rPr>
                <w:sz w:val="17"/>
                <w:szCs w:val="17"/>
                <w:color w:val="auto"/>
              </w:rPr>
            </w:pPr>
          </w:p>
        </w:tc>
        <w:tc>
          <w:tcPr>
            <w:tcW w:w="1560" w:type="dxa"/>
            <w:vAlign w:val="bottom"/>
            <w:tcBorders>
              <w:top w:val="single" w:sz="8" w:color="1C90D3"/>
            </w:tcBorders>
          </w:tcPr>
          <w:p>
            <w:pPr>
              <w:jc w:val="right"/>
              <w:ind w:right="139"/>
              <w:spacing w:after="0"/>
              <w:rPr>
                <w:sz w:val="20"/>
                <w:szCs w:val="20"/>
                <w:color w:val="auto"/>
              </w:rPr>
            </w:pPr>
            <w:r>
              <w:rPr>
                <w:rFonts w:ascii="Arial" w:cs="Arial" w:eastAsia="Arial" w:hAnsi="Arial"/>
                <w:sz w:val="16"/>
                <w:szCs w:val="16"/>
                <w:b w:val="1"/>
                <w:bCs w:val="1"/>
                <w:color w:val="1C90D3"/>
              </w:rPr>
              <w:t>M.T. Barra</w:t>
            </w:r>
          </w:p>
        </w:tc>
        <w:tc>
          <w:tcPr>
            <w:tcW w:w="1460" w:type="dxa"/>
            <w:vAlign w:val="bottom"/>
            <w:tcBorders>
              <w:top w:val="single" w:sz="8" w:color="1C90D3"/>
            </w:tcBorders>
          </w:tcPr>
          <w:p>
            <w:pPr>
              <w:jc w:val="right"/>
              <w:ind w:right="179"/>
              <w:spacing w:after="0"/>
              <w:rPr>
                <w:sz w:val="20"/>
                <w:szCs w:val="20"/>
                <w:color w:val="auto"/>
              </w:rPr>
            </w:pPr>
            <w:r>
              <w:rPr>
                <w:rFonts w:ascii="Arial" w:cs="Arial" w:eastAsia="Arial" w:hAnsi="Arial"/>
                <w:sz w:val="16"/>
                <w:szCs w:val="16"/>
                <w:b w:val="1"/>
                <w:bCs w:val="1"/>
                <w:color w:val="1C90D3"/>
              </w:rPr>
              <w:t>C.K. Stevens</w:t>
            </w:r>
          </w:p>
        </w:tc>
        <w:tc>
          <w:tcPr>
            <w:tcW w:w="1460" w:type="dxa"/>
            <w:vAlign w:val="bottom"/>
            <w:tcBorders>
              <w:top w:val="single" w:sz="8" w:color="1C90D3"/>
            </w:tcBorders>
          </w:tcPr>
          <w:p>
            <w:pPr>
              <w:jc w:val="right"/>
              <w:ind w:right="199"/>
              <w:spacing w:after="0"/>
              <w:rPr>
                <w:sz w:val="20"/>
                <w:szCs w:val="20"/>
                <w:color w:val="auto"/>
              </w:rPr>
            </w:pPr>
            <w:r>
              <w:rPr>
                <w:rFonts w:ascii="Arial" w:cs="Arial" w:eastAsia="Arial" w:hAnsi="Arial"/>
                <w:sz w:val="16"/>
                <w:szCs w:val="16"/>
                <w:b w:val="1"/>
                <w:bCs w:val="1"/>
                <w:color w:val="1C90D3"/>
              </w:rPr>
              <w:t>D. Ammann</w:t>
            </w:r>
          </w:p>
        </w:tc>
        <w:tc>
          <w:tcPr>
            <w:tcW w:w="1340" w:type="dxa"/>
            <w:vAlign w:val="bottom"/>
            <w:tcBorders>
              <w:top w:val="single" w:sz="8" w:color="1C90D3"/>
            </w:tcBorders>
          </w:tcPr>
          <w:p>
            <w:pPr>
              <w:jc w:val="right"/>
              <w:ind w:right="119"/>
              <w:spacing w:after="0"/>
              <w:rPr>
                <w:sz w:val="20"/>
                <w:szCs w:val="20"/>
                <w:color w:val="auto"/>
              </w:rPr>
            </w:pPr>
            <w:r>
              <w:rPr>
                <w:rFonts w:ascii="Arial" w:cs="Arial" w:eastAsia="Arial" w:hAnsi="Arial"/>
                <w:sz w:val="16"/>
                <w:szCs w:val="16"/>
                <w:b w:val="1"/>
                <w:bCs w:val="1"/>
                <w:color w:val="1C90D3"/>
              </w:rPr>
              <w:t>M.L. Reuss</w:t>
            </w:r>
          </w:p>
        </w:tc>
        <w:tc>
          <w:tcPr>
            <w:tcW w:w="1240" w:type="dxa"/>
            <w:vAlign w:val="bottom"/>
            <w:tcBorders>
              <w:top w:val="single" w:sz="8" w:color="1C90D3"/>
            </w:tcBorders>
          </w:tcPr>
          <w:p>
            <w:pPr>
              <w:jc w:val="right"/>
              <w:spacing w:after="0"/>
              <w:rPr>
                <w:sz w:val="20"/>
                <w:szCs w:val="20"/>
                <w:color w:val="auto"/>
              </w:rPr>
            </w:pPr>
            <w:r>
              <w:rPr>
                <w:rFonts w:ascii="Arial" w:cs="Arial" w:eastAsia="Arial" w:hAnsi="Arial"/>
                <w:sz w:val="16"/>
                <w:szCs w:val="16"/>
                <w:b w:val="1"/>
                <w:bCs w:val="1"/>
                <w:color w:val="1C90D3"/>
              </w:rPr>
              <w:t>C.B. Glidden</w:t>
            </w:r>
          </w:p>
        </w:tc>
      </w:tr>
      <w:tr>
        <w:trPr>
          <w:trHeight w:val="214"/>
        </w:trPr>
        <w:tc>
          <w:tcPr>
            <w:tcW w:w="3200" w:type="dxa"/>
            <w:vAlign w:val="bottom"/>
            <w:tcBorders>
              <w:bottom w:val="single" w:sz="8" w:color="1C90D3"/>
            </w:tcBorders>
          </w:tcPr>
          <w:p>
            <w:pPr>
              <w:spacing w:after="0"/>
              <w:rPr>
                <w:sz w:val="18"/>
                <w:szCs w:val="18"/>
                <w:color w:val="auto"/>
              </w:rPr>
            </w:pPr>
          </w:p>
        </w:tc>
        <w:tc>
          <w:tcPr>
            <w:tcW w:w="1560" w:type="dxa"/>
            <w:vAlign w:val="bottom"/>
            <w:tcBorders>
              <w:bottom w:val="single" w:sz="8" w:color="1C90D3"/>
            </w:tcBorders>
          </w:tcPr>
          <w:p>
            <w:pPr>
              <w:jc w:val="right"/>
              <w:ind w:right="139"/>
              <w:spacing w:after="0"/>
              <w:rPr>
                <w:sz w:val="20"/>
                <w:szCs w:val="20"/>
                <w:color w:val="auto"/>
              </w:rPr>
            </w:pPr>
            <w:r>
              <w:rPr>
                <w:rFonts w:ascii="Arial" w:cs="Arial" w:eastAsia="Arial" w:hAnsi="Arial"/>
                <w:sz w:val="16"/>
                <w:szCs w:val="16"/>
                <w:b w:val="1"/>
                <w:bCs w:val="1"/>
                <w:color w:val="1C90D3"/>
              </w:rPr>
              <w:t>($)</w:t>
            </w:r>
          </w:p>
        </w:tc>
        <w:tc>
          <w:tcPr>
            <w:tcW w:w="1460" w:type="dxa"/>
            <w:vAlign w:val="bottom"/>
            <w:tcBorders>
              <w:bottom w:val="single" w:sz="8" w:color="1C90D3"/>
            </w:tcBorders>
          </w:tcPr>
          <w:p>
            <w:pPr>
              <w:jc w:val="right"/>
              <w:ind w:right="179"/>
              <w:spacing w:after="0"/>
              <w:rPr>
                <w:sz w:val="20"/>
                <w:szCs w:val="20"/>
                <w:color w:val="auto"/>
              </w:rPr>
            </w:pPr>
            <w:r>
              <w:rPr>
                <w:rFonts w:ascii="Arial" w:cs="Arial" w:eastAsia="Arial" w:hAnsi="Arial"/>
                <w:sz w:val="16"/>
                <w:szCs w:val="16"/>
                <w:b w:val="1"/>
                <w:bCs w:val="1"/>
                <w:color w:val="1C90D3"/>
              </w:rPr>
              <w:t>($)</w:t>
            </w:r>
          </w:p>
        </w:tc>
        <w:tc>
          <w:tcPr>
            <w:tcW w:w="1460" w:type="dxa"/>
            <w:vAlign w:val="bottom"/>
            <w:tcBorders>
              <w:bottom w:val="single" w:sz="8" w:color="1C90D3"/>
            </w:tcBorders>
          </w:tcPr>
          <w:p>
            <w:pPr>
              <w:jc w:val="right"/>
              <w:ind w:right="199"/>
              <w:spacing w:after="0"/>
              <w:rPr>
                <w:sz w:val="20"/>
                <w:szCs w:val="20"/>
                <w:color w:val="auto"/>
              </w:rPr>
            </w:pPr>
            <w:r>
              <w:rPr>
                <w:rFonts w:ascii="Arial" w:cs="Arial" w:eastAsia="Arial" w:hAnsi="Arial"/>
                <w:sz w:val="16"/>
                <w:szCs w:val="16"/>
                <w:b w:val="1"/>
                <w:bCs w:val="1"/>
                <w:color w:val="1C90D3"/>
              </w:rPr>
              <w:t>($)</w:t>
            </w:r>
          </w:p>
        </w:tc>
        <w:tc>
          <w:tcPr>
            <w:tcW w:w="1340" w:type="dxa"/>
            <w:vAlign w:val="bottom"/>
            <w:tcBorders>
              <w:bottom w:val="single" w:sz="8" w:color="1C90D3"/>
            </w:tcBorders>
          </w:tcPr>
          <w:p>
            <w:pPr>
              <w:jc w:val="right"/>
              <w:ind w:right="119"/>
              <w:spacing w:after="0"/>
              <w:rPr>
                <w:sz w:val="20"/>
                <w:szCs w:val="20"/>
                <w:color w:val="auto"/>
              </w:rPr>
            </w:pPr>
            <w:r>
              <w:rPr>
                <w:rFonts w:ascii="Arial" w:cs="Arial" w:eastAsia="Arial" w:hAnsi="Arial"/>
                <w:sz w:val="16"/>
                <w:szCs w:val="16"/>
                <w:b w:val="1"/>
                <w:bCs w:val="1"/>
                <w:color w:val="1C90D3"/>
              </w:rPr>
              <w:t>($)</w:t>
            </w:r>
          </w:p>
        </w:tc>
        <w:tc>
          <w:tcPr>
            <w:tcW w:w="1240" w:type="dxa"/>
            <w:vAlign w:val="bottom"/>
            <w:tcBorders>
              <w:bottom w:val="single" w:sz="8" w:color="1C90D3"/>
            </w:tcBorders>
          </w:tcPr>
          <w:p>
            <w:pPr>
              <w:jc w:val="right"/>
              <w:spacing w:after="0"/>
              <w:rPr>
                <w:sz w:val="20"/>
                <w:szCs w:val="20"/>
                <w:color w:val="auto"/>
              </w:rPr>
            </w:pPr>
            <w:r>
              <w:rPr>
                <w:rFonts w:ascii="Arial" w:cs="Arial" w:eastAsia="Arial" w:hAnsi="Arial"/>
                <w:sz w:val="16"/>
                <w:szCs w:val="16"/>
                <w:b w:val="1"/>
                <w:bCs w:val="1"/>
                <w:color w:val="1C90D3"/>
              </w:rPr>
              <w:t>($)</w:t>
            </w:r>
          </w:p>
        </w:tc>
      </w:tr>
      <w:tr>
        <w:trPr>
          <w:trHeight w:val="188"/>
        </w:trPr>
        <w:tc>
          <w:tcPr>
            <w:tcW w:w="3200" w:type="dxa"/>
            <w:vAlign w:val="bottom"/>
          </w:tcPr>
          <w:p>
            <w:pPr>
              <w:ind w:left="40"/>
              <w:spacing w:after="0"/>
              <w:rPr>
                <w:sz w:val="20"/>
                <w:szCs w:val="20"/>
                <w:color w:val="auto"/>
              </w:rPr>
            </w:pPr>
            <w:r>
              <w:rPr>
                <w:rFonts w:ascii="Arial" w:cs="Arial" w:eastAsia="Arial" w:hAnsi="Arial"/>
                <w:sz w:val="16"/>
                <w:szCs w:val="16"/>
                <w:color w:val="auto"/>
              </w:rPr>
              <w:t>Perquisites and Other Personal</w:t>
            </w:r>
          </w:p>
        </w:tc>
        <w:tc>
          <w:tcPr>
            <w:tcW w:w="1560" w:type="dxa"/>
            <w:vAlign w:val="bottom"/>
          </w:tcPr>
          <w:p>
            <w:pPr>
              <w:jc w:val="right"/>
              <w:ind w:right="159"/>
              <w:spacing w:after="0"/>
              <w:rPr>
                <w:sz w:val="20"/>
                <w:szCs w:val="20"/>
                <w:color w:val="auto"/>
              </w:rPr>
            </w:pPr>
            <w:r>
              <w:rPr>
                <w:rFonts w:ascii="Arial" w:cs="Arial" w:eastAsia="Arial" w:hAnsi="Arial"/>
                <w:sz w:val="16"/>
                <w:szCs w:val="16"/>
                <w:color w:val="auto"/>
              </w:rPr>
              <w:t>286,848</w:t>
            </w:r>
          </w:p>
        </w:tc>
        <w:tc>
          <w:tcPr>
            <w:tcW w:w="1460" w:type="dxa"/>
            <w:vAlign w:val="bottom"/>
          </w:tcPr>
          <w:p>
            <w:pPr>
              <w:jc w:val="right"/>
              <w:ind w:right="179"/>
              <w:spacing w:after="0"/>
              <w:rPr>
                <w:sz w:val="20"/>
                <w:szCs w:val="20"/>
                <w:color w:val="auto"/>
              </w:rPr>
            </w:pPr>
            <w:r>
              <w:rPr>
                <w:rFonts w:ascii="Arial" w:cs="Arial" w:eastAsia="Arial" w:hAnsi="Arial"/>
                <w:sz w:val="16"/>
                <w:szCs w:val="16"/>
                <w:color w:val="auto"/>
              </w:rPr>
              <w:t>32,216</w:t>
            </w:r>
          </w:p>
        </w:tc>
        <w:tc>
          <w:tcPr>
            <w:tcW w:w="1460" w:type="dxa"/>
            <w:vAlign w:val="bottom"/>
          </w:tcPr>
          <w:p>
            <w:pPr>
              <w:jc w:val="right"/>
              <w:ind w:right="199"/>
              <w:spacing w:after="0"/>
              <w:rPr>
                <w:sz w:val="20"/>
                <w:szCs w:val="20"/>
                <w:color w:val="auto"/>
              </w:rPr>
            </w:pPr>
            <w:r>
              <w:rPr>
                <w:rFonts w:ascii="Arial" w:cs="Arial" w:eastAsia="Arial" w:hAnsi="Arial"/>
                <w:sz w:val="16"/>
                <w:szCs w:val="16"/>
                <w:color w:val="auto"/>
              </w:rPr>
              <w:t>127,150</w:t>
            </w:r>
          </w:p>
        </w:tc>
        <w:tc>
          <w:tcPr>
            <w:tcW w:w="1340" w:type="dxa"/>
            <w:vAlign w:val="bottom"/>
          </w:tcPr>
          <w:p>
            <w:pPr>
              <w:jc w:val="right"/>
              <w:ind w:right="119"/>
              <w:spacing w:after="0"/>
              <w:rPr>
                <w:sz w:val="20"/>
                <w:szCs w:val="20"/>
                <w:color w:val="auto"/>
              </w:rPr>
            </w:pPr>
            <w:r>
              <w:rPr>
                <w:rFonts w:ascii="Arial" w:cs="Arial" w:eastAsia="Arial" w:hAnsi="Arial"/>
                <w:sz w:val="16"/>
                <w:szCs w:val="16"/>
                <w:color w:val="auto"/>
              </w:rPr>
              <w:t>37,440</w:t>
            </w:r>
          </w:p>
        </w:tc>
        <w:tc>
          <w:tcPr>
            <w:tcW w:w="1240" w:type="dxa"/>
            <w:vAlign w:val="bottom"/>
          </w:tcPr>
          <w:p>
            <w:pPr>
              <w:jc w:val="right"/>
              <w:spacing w:after="0"/>
              <w:rPr>
                <w:sz w:val="20"/>
                <w:szCs w:val="20"/>
                <w:color w:val="auto"/>
              </w:rPr>
            </w:pPr>
            <w:r>
              <w:rPr>
                <w:rFonts w:ascii="Arial" w:cs="Arial" w:eastAsia="Arial" w:hAnsi="Arial"/>
                <w:sz w:val="16"/>
                <w:szCs w:val="16"/>
                <w:color w:val="auto"/>
              </w:rPr>
              <w:t>31,058</w:t>
            </w:r>
          </w:p>
        </w:tc>
      </w:tr>
      <w:tr>
        <w:trPr>
          <w:trHeight w:val="230"/>
        </w:trPr>
        <w:tc>
          <w:tcPr>
            <w:tcW w:w="3200" w:type="dxa"/>
            <w:vAlign w:val="bottom"/>
            <w:tcBorders>
              <w:bottom w:val="single" w:sz="8" w:color="auto"/>
            </w:tcBorders>
          </w:tcPr>
          <w:p>
            <w:pPr>
              <w:ind w:left="40"/>
              <w:spacing w:after="0" w:line="230" w:lineRule="exact"/>
              <w:rPr>
                <w:sz w:val="20"/>
                <w:szCs w:val="20"/>
                <w:color w:val="auto"/>
              </w:rPr>
            </w:pPr>
            <w:r>
              <w:rPr>
                <w:rFonts w:ascii="Arial" w:cs="Arial" w:eastAsia="Arial" w:hAnsi="Arial"/>
                <w:sz w:val="16"/>
                <w:szCs w:val="16"/>
                <w:color w:val="auto"/>
              </w:rPr>
              <w:t>Benefits</w:t>
            </w:r>
            <w:r>
              <w:rPr>
                <w:rFonts w:ascii="Arial" w:cs="Arial" w:eastAsia="Arial" w:hAnsi="Arial"/>
                <w:sz w:val="26"/>
                <w:szCs w:val="26"/>
                <w:color w:val="auto"/>
                <w:vertAlign w:val="superscript"/>
              </w:rPr>
              <w:t>(1)</w:t>
            </w:r>
          </w:p>
        </w:tc>
        <w:tc>
          <w:tcPr>
            <w:tcW w:w="15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r>
      <w:tr>
        <w:trPr>
          <w:trHeight w:val="182"/>
        </w:trPr>
        <w:tc>
          <w:tcPr>
            <w:tcW w:w="3200" w:type="dxa"/>
            <w:vAlign w:val="bottom"/>
          </w:tcPr>
          <w:p>
            <w:pPr>
              <w:ind w:left="40"/>
              <w:spacing w:after="0" w:line="182" w:lineRule="exact"/>
              <w:rPr>
                <w:sz w:val="20"/>
                <w:szCs w:val="20"/>
                <w:color w:val="auto"/>
              </w:rPr>
            </w:pPr>
            <w:r>
              <w:rPr>
                <w:rFonts w:ascii="Arial" w:cs="Arial" w:eastAsia="Arial" w:hAnsi="Arial"/>
                <w:sz w:val="16"/>
                <w:szCs w:val="16"/>
                <w:color w:val="auto"/>
              </w:rPr>
              <w:t>Employer Contributions to Savings</w:t>
            </w:r>
          </w:p>
        </w:tc>
        <w:tc>
          <w:tcPr>
            <w:tcW w:w="1560" w:type="dxa"/>
            <w:vAlign w:val="bottom"/>
          </w:tcPr>
          <w:p>
            <w:pPr>
              <w:jc w:val="right"/>
              <w:ind w:right="159"/>
              <w:spacing w:after="0" w:line="182" w:lineRule="exact"/>
              <w:rPr>
                <w:sz w:val="20"/>
                <w:szCs w:val="20"/>
                <w:color w:val="auto"/>
              </w:rPr>
            </w:pPr>
            <w:r>
              <w:rPr>
                <w:rFonts w:ascii="Arial" w:cs="Arial" w:eastAsia="Arial" w:hAnsi="Arial"/>
                <w:sz w:val="16"/>
                <w:szCs w:val="16"/>
                <w:color w:val="auto"/>
              </w:rPr>
              <w:t>299,320</w:t>
            </w:r>
          </w:p>
        </w:tc>
        <w:tc>
          <w:tcPr>
            <w:tcW w:w="1460" w:type="dxa"/>
            <w:vAlign w:val="bottom"/>
          </w:tcPr>
          <w:p>
            <w:pPr>
              <w:jc w:val="right"/>
              <w:ind w:right="179"/>
              <w:spacing w:after="0" w:line="182" w:lineRule="exact"/>
              <w:rPr>
                <w:sz w:val="20"/>
                <w:szCs w:val="20"/>
                <w:color w:val="auto"/>
              </w:rPr>
            </w:pPr>
            <w:r>
              <w:rPr>
                <w:rFonts w:ascii="Arial" w:cs="Arial" w:eastAsia="Arial" w:hAnsi="Arial"/>
                <w:sz w:val="16"/>
                <w:szCs w:val="16"/>
                <w:color w:val="auto"/>
              </w:rPr>
              <w:t>138,850</w:t>
            </w:r>
          </w:p>
        </w:tc>
        <w:tc>
          <w:tcPr>
            <w:tcW w:w="1460" w:type="dxa"/>
            <w:vAlign w:val="bottom"/>
          </w:tcPr>
          <w:p>
            <w:pPr>
              <w:jc w:val="right"/>
              <w:ind w:right="199"/>
              <w:spacing w:after="0" w:line="182" w:lineRule="exact"/>
              <w:rPr>
                <w:sz w:val="20"/>
                <w:szCs w:val="20"/>
                <w:color w:val="auto"/>
              </w:rPr>
            </w:pPr>
            <w:r>
              <w:rPr>
                <w:rFonts w:ascii="Arial" w:cs="Arial" w:eastAsia="Arial" w:hAnsi="Arial"/>
                <w:sz w:val="16"/>
                <w:szCs w:val="16"/>
                <w:color w:val="auto"/>
              </w:rPr>
              <w:t>133,000</w:t>
            </w:r>
          </w:p>
        </w:tc>
        <w:tc>
          <w:tcPr>
            <w:tcW w:w="1340" w:type="dxa"/>
            <w:vAlign w:val="bottom"/>
          </w:tcPr>
          <w:p>
            <w:pPr>
              <w:jc w:val="right"/>
              <w:ind w:right="119"/>
              <w:spacing w:after="0" w:line="182" w:lineRule="exact"/>
              <w:rPr>
                <w:sz w:val="20"/>
                <w:szCs w:val="20"/>
                <w:color w:val="auto"/>
              </w:rPr>
            </w:pPr>
            <w:r>
              <w:rPr>
                <w:rFonts w:ascii="Arial" w:cs="Arial" w:eastAsia="Arial" w:hAnsi="Arial"/>
                <w:sz w:val="16"/>
                <w:szCs w:val="16"/>
                <w:color w:val="auto"/>
              </w:rPr>
              <w:t>157,178</w:t>
            </w:r>
          </w:p>
        </w:tc>
        <w:tc>
          <w:tcPr>
            <w:tcW w:w="1240" w:type="dxa"/>
            <w:vAlign w:val="bottom"/>
          </w:tcPr>
          <w:p>
            <w:pPr>
              <w:jc w:val="right"/>
              <w:spacing w:after="0" w:line="182" w:lineRule="exact"/>
              <w:rPr>
                <w:sz w:val="20"/>
                <w:szCs w:val="20"/>
                <w:color w:val="auto"/>
              </w:rPr>
            </w:pPr>
            <w:r>
              <w:rPr>
                <w:rFonts w:ascii="Arial" w:cs="Arial" w:eastAsia="Arial" w:hAnsi="Arial"/>
                <w:sz w:val="16"/>
                <w:szCs w:val="16"/>
                <w:color w:val="auto"/>
              </w:rPr>
              <w:t>45,500</w:t>
            </w:r>
          </w:p>
        </w:tc>
      </w:tr>
      <w:tr>
        <w:trPr>
          <w:trHeight w:val="230"/>
        </w:trPr>
        <w:tc>
          <w:tcPr>
            <w:tcW w:w="3200" w:type="dxa"/>
            <w:vAlign w:val="bottom"/>
            <w:tcBorders>
              <w:bottom w:val="single" w:sz="8" w:color="auto"/>
            </w:tcBorders>
          </w:tcPr>
          <w:p>
            <w:pPr>
              <w:ind w:left="40"/>
              <w:spacing w:after="0" w:line="230" w:lineRule="exact"/>
              <w:rPr>
                <w:sz w:val="20"/>
                <w:szCs w:val="20"/>
                <w:color w:val="auto"/>
              </w:rPr>
            </w:pPr>
            <w:r>
              <w:rPr>
                <w:rFonts w:ascii="Arial" w:cs="Arial" w:eastAsia="Arial" w:hAnsi="Arial"/>
                <w:sz w:val="16"/>
                <w:szCs w:val="16"/>
                <w:color w:val="auto"/>
              </w:rPr>
              <w:t>Plans</w:t>
            </w:r>
            <w:r>
              <w:rPr>
                <w:rFonts w:ascii="Arial" w:cs="Arial" w:eastAsia="Arial" w:hAnsi="Arial"/>
                <w:sz w:val="26"/>
                <w:szCs w:val="26"/>
                <w:color w:val="auto"/>
                <w:vertAlign w:val="superscript"/>
              </w:rPr>
              <w:t>(2)</w:t>
            </w:r>
          </w:p>
        </w:tc>
        <w:tc>
          <w:tcPr>
            <w:tcW w:w="15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r>
      <w:tr>
        <w:trPr>
          <w:trHeight w:val="223"/>
        </w:trPr>
        <w:tc>
          <w:tcPr>
            <w:tcW w:w="3200" w:type="dxa"/>
            <w:vAlign w:val="bottom"/>
            <w:tcBorders>
              <w:bottom w:val="single" w:sz="8" w:color="auto"/>
            </w:tcBorders>
          </w:tcPr>
          <w:p>
            <w:pPr>
              <w:ind w:left="40"/>
              <w:spacing w:after="0" w:line="223" w:lineRule="exact"/>
              <w:rPr>
                <w:sz w:val="20"/>
                <w:szCs w:val="20"/>
                <w:color w:val="auto"/>
              </w:rPr>
            </w:pPr>
            <w:r>
              <w:rPr>
                <w:rFonts w:ascii="Arial" w:cs="Arial" w:eastAsia="Arial" w:hAnsi="Arial"/>
                <w:sz w:val="15"/>
                <w:szCs w:val="15"/>
                <w:color w:val="auto"/>
              </w:rPr>
              <w:t>Life and Other Insurance Benefits</w:t>
            </w:r>
            <w:r>
              <w:rPr>
                <w:rFonts w:ascii="Arial" w:cs="Arial" w:eastAsia="Arial" w:hAnsi="Arial"/>
                <w:sz w:val="25"/>
                <w:szCs w:val="25"/>
                <w:color w:val="auto"/>
                <w:vertAlign w:val="superscript"/>
              </w:rPr>
              <w:t>(3)</w:t>
            </w:r>
          </w:p>
        </w:tc>
        <w:tc>
          <w:tcPr>
            <w:tcW w:w="15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8,511</w:t>
            </w:r>
          </w:p>
        </w:tc>
        <w:tc>
          <w:tcPr>
            <w:tcW w:w="14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5,672</w:t>
            </w:r>
          </w:p>
        </w:tc>
        <w:tc>
          <w:tcPr>
            <w:tcW w:w="14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2,270</w:t>
            </w:r>
          </w:p>
        </w:tc>
        <w:tc>
          <w:tcPr>
            <w:tcW w:w="13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5,011</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2,862</w:t>
            </w:r>
          </w:p>
        </w:tc>
      </w:tr>
      <w:tr>
        <w:trPr>
          <w:trHeight w:val="230"/>
        </w:trPr>
        <w:tc>
          <w:tcPr>
            <w:tcW w:w="3200" w:type="dxa"/>
            <w:vAlign w:val="bottom"/>
            <w:tcBorders>
              <w:bottom w:val="single" w:sz="8" w:color="08228B"/>
            </w:tcBorders>
          </w:tcPr>
          <w:p>
            <w:pPr>
              <w:ind w:left="40"/>
              <w:spacing w:after="0" w:line="223" w:lineRule="exact"/>
              <w:rPr>
                <w:sz w:val="20"/>
                <w:szCs w:val="20"/>
                <w:color w:val="auto"/>
              </w:rPr>
            </w:pPr>
            <w:r>
              <w:rPr>
                <w:rFonts w:ascii="Arial" w:cs="Arial" w:eastAsia="Arial" w:hAnsi="Arial"/>
                <w:sz w:val="15"/>
                <w:szCs w:val="15"/>
                <w:color w:val="auto"/>
              </w:rPr>
              <w:t>Other</w:t>
            </w:r>
            <w:r>
              <w:rPr>
                <w:rFonts w:ascii="Arial" w:cs="Arial" w:eastAsia="Arial" w:hAnsi="Arial"/>
                <w:sz w:val="25"/>
                <w:szCs w:val="25"/>
                <w:color w:val="auto"/>
                <w:vertAlign w:val="superscript"/>
              </w:rPr>
              <w:t>(4)</w:t>
            </w:r>
          </w:p>
        </w:tc>
        <w:tc>
          <w:tcPr>
            <w:tcW w:w="1560" w:type="dxa"/>
            <w:vAlign w:val="bottom"/>
            <w:tcBorders>
              <w:bottom w:val="single" w:sz="8" w:color="08228B"/>
            </w:tcBorders>
          </w:tcPr>
          <w:p>
            <w:pPr>
              <w:jc w:val="right"/>
              <w:ind w:right="139"/>
              <w:spacing w:after="0"/>
              <w:rPr>
                <w:sz w:val="20"/>
                <w:szCs w:val="20"/>
                <w:color w:val="auto"/>
              </w:rPr>
            </w:pPr>
            <w:r>
              <w:rPr>
                <w:rFonts w:ascii="Arial" w:cs="Arial" w:eastAsia="Arial" w:hAnsi="Arial"/>
                <w:sz w:val="16"/>
                <w:szCs w:val="16"/>
                <w:color w:val="auto"/>
              </w:rPr>
              <w:t>2,439</w:t>
            </w:r>
          </w:p>
        </w:tc>
        <w:tc>
          <w:tcPr>
            <w:tcW w:w="1460" w:type="dxa"/>
            <w:vAlign w:val="bottom"/>
            <w:tcBorders>
              <w:bottom w:val="single" w:sz="8" w:color="08228B"/>
            </w:tcBorders>
          </w:tcPr>
          <w:p>
            <w:pPr>
              <w:jc w:val="right"/>
              <w:ind w:right="17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08228B"/>
            </w:tcBorders>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08228B"/>
            </w:tcBorders>
          </w:tcPr>
          <w:p>
            <w:pPr>
              <w:jc w:val="right"/>
              <w:ind w:right="1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08228B"/>
            </w:tcBorders>
          </w:tcPr>
          <w:p>
            <w:pPr>
              <w:jc w:val="right"/>
              <w:spacing w:after="0"/>
              <w:rPr>
                <w:sz w:val="20"/>
                <w:szCs w:val="20"/>
                <w:color w:val="auto"/>
              </w:rPr>
            </w:pPr>
            <w:r>
              <w:rPr>
                <w:rFonts w:ascii="Arial" w:cs="Arial" w:eastAsia="Arial" w:hAnsi="Arial"/>
                <w:sz w:val="16"/>
                <w:szCs w:val="16"/>
                <w:color w:val="auto"/>
              </w:rPr>
              <w:t>65,644</w:t>
            </w:r>
          </w:p>
        </w:tc>
      </w:tr>
      <w:tr>
        <w:trPr>
          <w:trHeight w:val="196"/>
        </w:trPr>
        <w:tc>
          <w:tcPr>
            <w:tcW w:w="3200" w:type="dxa"/>
            <w:vAlign w:val="bottom"/>
            <w:tcBorders>
              <w:bottom w:val="single" w:sz="8" w:color="08228B"/>
            </w:tcBorders>
          </w:tcPr>
          <w:p>
            <w:pPr>
              <w:ind w:left="40"/>
              <w:spacing w:after="0"/>
              <w:rPr>
                <w:sz w:val="20"/>
                <w:szCs w:val="20"/>
                <w:color w:val="auto"/>
              </w:rPr>
            </w:pPr>
            <w:r>
              <w:rPr>
                <w:rFonts w:ascii="Arial" w:cs="Arial" w:eastAsia="Arial" w:hAnsi="Arial"/>
                <w:sz w:val="16"/>
                <w:szCs w:val="16"/>
                <w:b w:val="1"/>
                <w:bCs w:val="1"/>
                <w:color w:val="08228B"/>
              </w:rPr>
              <w:t>TOTAL</w:t>
            </w:r>
          </w:p>
        </w:tc>
        <w:tc>
          <w:tcPr>
            <w:tcW w:w="1560" w:type="dxa"/>
            <w:vAlign w:val="bottom"/>
            <w:tcBorders>
              <w:bottom w:val="single" w:sz="8" w:color="08228B"/>
            </w:tcBorders>
          </w:tcPr>
          <w:p>
            <w:pPr>
              <w:jc w:val="right"/>
              <w:ind w:right="159"/>
              <w:spacing w:after="0"/>
              <w:rPr>
                <w:sz w:val="20"/>
                <w:szCs w:val="20"/>
                <w:color w:val="auto"/>
              </w:rPr>
            </w:pPr>
            <w:r>
              <w:rPr>
                <w:rFonts w:ascii="Arial" w:cs="Arial" w:eastAsia="Arial" w:hAnsi="Arial"/>
                <w:sz w:val="16"/>
                <w:szCs w:val="16"/>
                <w:color w:val="auto"/>
              </w:rPr>
              <w:t>597,118</w:t>
            </w:r>
          </w:p>
        </w:tc>
        <w:tc>
          <w:tcPr>
            <w:tcW w:w="1460" w:type="dxa"/>
            <w:vAlign w:val="bottom"/>
            <w:tcBorders>
              <w:bottom w:val="single" w:sz="8" w:color="08228B"/>
            </w:tcBorders>
          </w:tcPr>
          <w:p>
            <w:pPr>
              <w:jc w:val="right"/>
              <w:ind w:right="179"/>
              <w:spacing w:after="0"/>
              <w:rPr>
                <w:sz w:val="20"/>
                <w:szCs w:val="20"/>
                <w:color w:val="auto"/>
              </w:rPr>
            </w:pPr>
            <w:r>
              <w:rPr>
                <w:rFonts w:ascii="Arial" w:cs="Arial" w:eastAsia="Arial" w:hAnsi="Arial"/>
                <w:sz w:val="16"/>
                <w:szCs w:val="16"/>
                <w:color w:val="auto"/>
              </w:rPr>
              <w:t>176,738</w:t>
            </w:r>
          </w:p>
        </w:tc>
        <w:tc>
          <w:tcPr>
            <w:tcW w:w="1460" w:type="dxa"/>
            <w:vAlign w:val="bottom"/>
            <w:tcBorders>
              <w:bottom w:val="single" w:sz="8" w:color="08228B"/>
            </w:tcBorders>
          </w:tcPr>
          <w:p>
            <w:pPr>
              <w:jc w:val="right"/>
              <w:ind w:right="199"/>
              <w:spacing w:after="0"/>
              <w:rPr>
                <w:sz w:val="20"/>
                <w:szCs w:val="20"/>
                <w:color w:val="auto"/>
              </w:rPr>
            </w:pPr>
            <w:r>
              <w:rPr>
                <w:rFonts w:ascii="Arial" w:cs="Arial" w:eastAsia="Arial" w:hAnsi="Arial"/>
                <w:sz w:val="16"/>
                <w:szCs w:val="16"/>
                <w:color w:val="auto"/>
              </w:rPr>
              <w:t>262,420</w:t>
            </w:r>
          </w:p>
        </w:tc>
        <w:tc>
          <w:tcPr>
            <w:tcW w:w="1340" w:type="dxa"/>
            <w:vAlign w:val="bottom"/>
            <w:tcBorders>
              <w:bottom w:val="single" w:sz="8" w:color="08228B"/>
            </w:tcBorders>
          </w:tcPr>
          <w:p>
            <w:pPr>
              <w:jc w:val="right"/>
              <w:ind w:right="119"/>
              <w:spacing w:after="0"/>
              <w:rPr>
                <w:sz w:val="20"/>
                <w:szCs w:val="20"/>
                <w:color w:val="auto"/>
              </w:rPr>
            </w:pPr>
            <w:r>
              <w:rPr>
                <w:rFonts w:ascii="Arial" w:cs="Arial" w:eastAsia="Arial" w:hAnsi="Arial"/>
                <w:sz w:val="16"/>
                <w:szCs w:val="16"/>
                <w:color w:val="auto"/>
              </w:rPr>
              <w:t>199,629</w:t>
            </w:r>
          </w:p>
        </w:tc>
        <w:tc>
          <w:tcPr>
            <w:tcW w:w="1240" w:type="dxa"/>
            <w:vAlign w:val="bottom"/>
            <w:tcBorders>
              <w:bottom w:val="single" w:sz="8" w:color="08228B"/>
            </w:tcBorders>
          </w:tcPr>
          <w:p>
            <w:pPr>
              <w:jc w:val="right"/>
              <w:spacing w:after="0"/>
              <w:rPr>
                <w:sz w:val="20"/>
                <w:szCs w:val="20"/>
                <w:color w:val="auto"/>
              </w:rPr>
            </w:pPr>
            <w:r>
              <w:rPr>
                <w:rFonts w:ascii="Arial" w:cs="Arial" w:eastAsia="Arial" w:hAnsi="Arial"/>
                <w:sz w:val="16"/>
                <w:szCs w:val="16"/>
                <w:color w:val="auto"/>
              </w:rPr>
              <w:t>145,064</w:t>
            </w:r>
          </w:p>
        </w:tc>
      </w:tr>
    </w:tbl>
    <w:p>
      <w:pPr>
        <w:spacing w:after="0" w:line="58" w:lineRule="exact"/>
        <w:rPr>
          <w:sz w:val="20"/>
          <w:szCs w:val="20"/>
          <w:color w:val="auto"/>
        </w:rPr>
      </w:pPr>
    </w:p>
    <w:p>
      <w:pPr>
        <w:ind w:left="660" w:hanging="328"/>
        <w:spacing w:after="0"/>
        <w:tabs>
          <w:tab w:leader="none" w:pos="660" w:val="left"/>
        </w:tabs>
        <w:numPr>
          <w:ilvl w:val="0"/>
          <w:numId w:val="95"/>
        </w:numPr>
        <w:rPr>
          <w:rFonts w:ascii="Arial" w:cs="Arial" w:eastAsia="Arial" w:hAnsi="Arial"/>
          <w:sz w:val="14"/>
          <w:szCs w:val="14"/>
          <w:i w:val="1"/>
          <w:iCs w:val="1"/>
          <w:color w:val="auto"/>
        </w:rPr>
      </w:pPr>
      <w:r>
        <w:rPr>
          <w:rFonts w:ascii="Arial" w:cs="Arial" w:eastAsia="Arial" w:hAnsi="Arial"/>
          <w:sz w:val="14"/>
          <w:szCs w:val="14"/>
          <w:i w:val="1"/>
          <w:iCs w:val="1"/>
          <w:color w:val="auto"/>
        </w:rPr>
        <w:t>See Perquisites and Other Personal Benefits table below for additional information.</w:t>
      </w:r>
    </w:p>
    <w:p>
      <w:pPr>
        <w:spacing w:after="0" w:line="55" w:lineRule="exact"/>
        <w:rPr>
          <w:rFonts w:ascii="Arial" w:cs="Arial" w:eastAsia="Arial" w:hAnsi="Arial"/>
          <w:sz w:val="14"/>
          <w:szCs w:val="14"/>
          <w:i w:val="1"/>
          <w:iCs w:val="1"/>
          <w:color w:val="auto"/>
        </w:rPr>
      </w:pPr>
    </w:p>
    <w:p>
      <w:pPr>
        <w:ind w:left="660" w:hanging="328"/>
        <w:spacing w:after="0"/>
        <w:tabs>
          <w:tab w:leader="none" w:pos="660" w:val="left"/>
        </w:tabs>
        <w:numPr>
          <w:ilvl w:val="0"/>
          <w:numId w:val="95"/>
        </w:numPr>
        <w:rPr>
          <w:rFonts w:ascii="Arial" w:cs="Arial" w:eastAsia="Arial" w:hAnsi="Arial"/>
          <w:sz w:val="14"/>
          <w:szCs w:val="14"/>
          <w:i w:val="1"/>
          <w:iCs w:val="1"/>
          <w:color w:val="auto"/>
        </w:rPr>
      </w:pPr>
      <w:r>
        <w:rPr>
          <w:rFonts w:ascii="Arial" w:cs="Arial" w:eastAsia="Arial" w:hAnsi="Arial"/>
          <w:sz w:val="14"/>
          <w:szCs w:val="14"/>
          <w:i w:val="1"/>
          <w:iCs w:val="1"/>
          <w:color w:val="auto"/>
        </w:rPr>
        <w:t>Includes employer contributions to tax-qualified and non-tax qualified savings and retirement plans during 2015.</w:t>
      </w:r>
    </w:p>
    <w:p>
      <w:pPr>
        <w:spacing w:after="0" w:line="55" w:lineRule="exact"/>
        <w:rPr>
          <w:rFonts w:ascii="Arial" w:cs="Arial" w:eastAsia="Arial" w:hAnsi="Arial"/>
          <w:sz w:val="14"/>
          <w:szCs w:val="14"/>
          <w:i w:val="1"/>
          <w:iCs w:val="1"/>
          <w:color w:val="auto"/>
        </w:rPr>
      </w:pPr>
    </w:p>
    <w:p>
      <w:pPr>
        <w:jc w:val="both"/>
        <w:ind w:left="660" w:right="120" w:hanging="328"/>
        <w:spacing w:after="0" w:line="260" w:lineRule="auto"/>
        <w:tabs>
          <w:tab w:leader="none" w:pos="660" w:val="left"/>
        </w:tabs>
        <w:numPr>
          <w:ilvl w:val="0"/>
          <w:numId w:val="95"/>
        </w:numPr>
        <w:rPr>
          <w:rFonts w:ascii="Arial" w:cs="Arial" w:eastAsia="Arial" w:hAnsi="Arial"/>
          <w:sz w:val="14"/>
          <w:szCs w:val="14"/>
          <w:i w:val="1"/>
          <w:iCs w:val="1"/>
          <w:color w:val="auto"/>
        </w:rPr>
      </w:pPr>
      <w:r>
        <w:rPr>
          <w:rFonts w:ascii="Arial" w:cs="Arial" w:eastAsia="Arial" w:hAnsi="Arial"/>
          <w:sz w:val="14"/>
          <w:szCs w:val="14"/>
          <w:i w:val="1"/>
          <w:iCs w:val="1"/>
          <w:color w:val="auto"/>
        </w:rPr>
        <w:t>Includes premiums paid by the Company for Group Variable Universal Life insurance for executives. Executives are responsible for any ordinary income taxes resulting from the cost of the GM-paid premiums. For Ms. Barra, amounts also include the Company’s cost of premiums for providing personal accident insurance for members of the Board.</w:t>
      </w:r>
    </w:p>
    <w:p>
      <w:pPr>
        <w:spacing w:after="0" w:line="16" w:lineRule="exact"/>
        <w:rPr>
          <w:rFonts w:ascii="Arial" w:cs="Arial" w:eastAsia="Arial" w:hAnsi="Arial"/>
          <w:sz w:val="14"/>
          <w:szCs w:val="14"/>
          <w:i w:val="1"/>
          <w:iCs w:val="1"/>
          <w:color w:val="auto"/>
        </w:rPr>
      </w:pPr>
    </w:p>
    <w:p>
      <w:pPr>
        <w:ind w:left="660" w:right="140" w:hanging="328"/>
        <w:spacing w:after="0" w:line="279" w:lineRule="auto"/>
        <w:tabs>
          <w:tab w:leader="none" w:pos="660" w:val="left"/>
        </w:tabs>
        <w:numPr>
          <w:ilvl w:val="0"/>
          <w:numId w:val="95"/>
        </w:numPr>
        <w:rPr>
          <w:rFonts w:ascii="Arial" w:cs="Arial" w:eastAsia="Arial" w:hAnsi="Arial"/>
          <w:sz w:val="14"/>
          <w:szCs w:val="14"/>
          <w:i w:val="1"/>
          <w:iCs w:val="1"/>
          <w:color w:val="auto"/>
        </w:rPr>
      </w:pPr>
      <w:r>
        <w:rPr>
          <w:rFonts w:ascii="Arial" w:cs="Arial" w:eastAsia="Arial" w:hAnsi="Arial"/>
          <w:sz w:val="14"/>
          <w:szCs w:val="14"/>
          <w:i w:val="1"/>
          <w:iCs w:val="1"/>
          <w:color w:val="auto"/>
        </w:rPr>
        <w:t>Amounts for Ms. Barra are related to tickets to various GM-sponsored events. Amounts for Mr. Glidden include $65,644 for costs associated with his relocation to Detroit, Michigan.</w:t>
      </w:r>
    </w:p>
    <w:p>
      <w:pPr>
        <w:spacing w:after="0" w:line="129" w:lineRule="exact"/>
        <w:rPr>
          <w:sz w:val="20"/>
          <w:szCs w:val="20"/>
          <w:color w:val="auto"/>
        </w:rPr>
      </w:pPr>
    </w:p>
    <w:p>
      <w:pPr>
        <w:spacing w:after="0"/>
        <w:rPr>
          <w:sz w:val="20"/>
          <w:szCs w:val="20"/>
          <w:color w:val="auto"/>
        </w:rPr>
      </w:pPr>
      <w:r>
        <w:rPr>
          <w:rFonts w:ascii="Arial" w:cs="Arial" w:eastAsia="Arial" w:hAnsi="Arial"/>
          <w:sz w:val="22"/>
          <w:szCs w:val="22"/>
          <w:b w:val="1"/>
          <w:bCs w:val="1"/>
          <w:color w:val="1C90D3"/>
        </w:rPr>
        <w:t>Perquisites and Other Personal Benefits</w:t>
      </w:r>
    </w:p>
    <w:p>
      <w:pPr>
        <w:spacing w:after="0" w:line="205" w:lineRule="exact"/>
        <w:rPr>
          <w:sz w:val="20"/>
          <w:szCs w:val="20"/>
          <w:color w:val="auto"/>
        </w:rPr>
      </w:pPr>
    </w:p>
    <w:tbl>
      <w:tblPr>
        <w:tblLayout w:type="fixed"/>
        <w:tblInd w:w="340" w:type="dxa"/>
        <w:tblCellMar>
          <w:top w:w="0" w:type="dxa"/>
          <w:left w:w="0" w:type="dxa"/>
          <w:bottom w:w="0" w:type="dxa"/>
          <w:right w:w="0" w:type="dxa"/>
        </w:tblCellMar>
      </w:tblPr>
      <w:tr>
        <w:trPr>
          <w:trHeight w:val="198"/>
        </w:trPr>
        <w:tc>
          <w:tcPr>
            <w:tcW w:w="2980" w:type="dxa"/>
            <w:vAlign w:val="bottom"/>
            <w:tcBorders>
              <w:top w:val="single" w:sz="8" w:color="1C90D3"/>
            </w:tcBorders>
          </w:tcPr>
          <w:p>
            <w:pPr>
              <w:spacing w:after="0"/>
              <w:rPr>
                <w:sz w:val="17"/>
                <w:szCs w:val="17"/>
                <w:color w:val="auto"/>
              </w:rPr>
            </w:pPr>
          </w:p>
        </w:tc>
        <w:tc>
          <w:tcPr>
            <w:tcW w:w="1780" w:type="dxa"/>
            <w:vAlign w:val="bottom"/>
            <w:tcBorders>
              <w:top w:val="single" w:sz="8" w:color="1C90D3"/>
            </w:tcBorders>
          </w:tcPr>
          <w:p>
            <w:pPr>
              <w:jc w:val="right"/>
              <w:ind w:right="139"/>
              <w:spacing w:after="0"/>
              <w:rPr>
                <w:sz w:val="20"/>
                <w:szCs w:val="20"/>
                <w:color w:val="auto"/>
              </w:rPr>
            </w:pPr>
            <w:r>
              <w:rPr>
                <w:rFonts w:ascii="Arial" w:cs="Arial" w:eastAsia="Arial" w:hAnsi="Arial"/>
                <w:sz w:val="16"/>
                <w:szCs w:val="16"/>
                <w:b w:val="1"/>
                <w:bCs w:val="1"/>
                <w:color w:val="1C90D3"/>
              </w:rPr>
              <w:t>M.T. Barra</w:t>
            </w:r>
          </w:p>
        </w:tc>
        <w:tc>
          <w:tcPr>
            <w:tcW w:w="1460" w:type="dxa"/>
            <w:vAlign w:val="bottom"/>
            <w:tcBorders>
              <w:top w:val="single" w:sz="8" w:color="1C90D3"/>
            </w:tcBorders>
          </w:tcPr>
          <w:p>
            <w:pPr>
              <w:jc w:val="right"/>
              <w:ind w:right="179"/>
              <w:spacing w:after="0"/>
              <w:rPr>
                <w:sz w:val="20"/>
                <w:szCs w:val="20"/>
                <w:color w:val="auto"/>
              </w:rPr>
            </w:pPr>
            <w:r>
              <w:rPr>
                <w:rFonts w:ascii="Arial" w:cs="Arial" w:eastAsia="Arial" w:hAnsi="Arial"/>
                <w:sz w:val="16"/>
                <w:szCs w:val="16"/>
                <w:b w:val="1"/>
                <w:bCs w:val="1"/>
                <w:color w:val="1C90D3"/>
              </w:rPr>
              <w:t>C.K. Stevens</w:t>
            </w:r>
          </w:p>
        </w:tc>
        <w:tc>
          <w:tcPr>
            <w:tcW w:w="1460" w:type="dxa"/>
            <w:vAlign w:val="bottom"/>
            <w:tcBorders>
              <w:top w:val="single" w:sz="8" w:color="1C90D3"/>
            </w:tcBorders>
          </w:tcPr>
          <w:p>
            <w:pPr>
              <w:jc w:val="right"/>
              <w:ind w:right="199"/>
              <w:spacing w:after="0"/>
              <w:rPr>
                <w:sz w:val="20"/>
                <w:szCs w:val="20"/>
                <w:color w:val="auto"/>
              </w:rPr>
            </w:pPr>
            <w:r>
              <w:rPr>
                <w:rFonts w:ascii="Arial" w:cs="Arial" w:eastAsia="Arial" w:hAnsi="Arial"/>
                <w:sz w:val="16"/>
                <w:szCs w:val="16"/>
                <w:b w:val="1"/>
                <w:bCs w:val="1"/>
                <w:color w:val="1C90D3"/>
              </w:rPr>
              <w:t>D. Ammann</w:t>
            </w:r>
          </w:p>
        </w:tc>
        <w:tc>
          <w:tcPr>
            <w:tcW w:w="1340" w:type="dxa"/>
            <w:vAlign w:val="bottom"/>
            <w:tcBorders>
              <w:top w:val="single" w:sz="8" w:color="1C90D3"/>
            </w:tcBorders>
          </w:tcPr>
          <w:p>
            <w:pPr>
              <w:jc w:val="right"/>
              <w:ind w:right="119"/>
              <w:spacing w:after="0"/>
              <w:rPr>
                <w:sz w:val="20"/>
                <w:szCs w:val="20"/>
                <w:color w:val="auto"/>
              </w:rPr>
            </w:pPr>
            <w:r>
              <w:rPr>
                <w:rFonts w:ascii="Arial" w:cs="Arial" w:eastAsia="Arial" w:hAnsi="Arial"/>
                <w:sz w:val="16"/>
                <w:szCs w:val="16"/>
                <w:b w:val="1"/>
                <w:bCs w:val="1"/>
                <w:color w:val="1C90D3"/>
              </w:rPr>
              <w:t>M.L. Reuss</w:t>
            </w:r>
          </w:p>
        </w:tc>
        <w:tc>
          <w:tcPr>
            <w:tcW w:w="1240" w:type="dxa"/>
            <w:vAlign w:val="bottom"/>
            <w:tcBorders>
              <w:top w:val="single" w:sz="8" w:color="1C90D3"/>
            </w:tcBorders>
          </w:tcPr>
          <w:p>
            <w:pPr>
              <w:jc w:val="right"/>
              <w:spacing w:after="0"/>
              <w:rPr>
                <w:sz w:val="20"/>
                <w:szCs w:val="20"/>
                <w:color w:val="auto"/>
              </w:rPr>
            </w:pPr>
            <w:r>
              <w:rPr>
                <w:rFonts w:ascii="Arial" w:cs="Arial" w:eastAsia="Arial" w:hAnsi="Arial"/>
                <w:sz w:val="16"/>
                <w:szCs w:val="16"/>
                <w:b w:val="1"/>
                <w:bCs w:val="1"/>
                <w:color w:val="1C90D3"/>
              </w:rPr>
              <w:t>C.B. Glidden</w:t>
            </w:r>
          </w:p>
        </w:tc>
      </w:tr>
      <w:tr>
        <w:trPr>
          <w:trHeight w:val="214"/>
        </w:trPr>
        <w:tc>
          <w:tcPr>
            <w:tcW w:w="2980" w:type="dxa"/>
            <w:vAlign w:val="bottom"/>
            <w:tcBorders>
              <w:bottom w:val="single" w:sz="8" w:color="1C90D3"/>
            </w:tcBorders>
          </w:tcPr>
          <w:p>
            <w:pPr>
              <w:spacing w:after="0"/>
              <w:rPr>
                <w:sz w:val="18"/>
                <w:szCs w:val="18"/>
                <w:color w:val="auto"/>
              </w:rPr>
            </w:pPr>
          </w:p>
        </w:tc>
        <w:tc>
          <w:tcPr>
            <w:tcW w:w="1780" w:type="dxa"/>
            <w:vAlign w:val="bottom"/>
            <w:tcBorders>
              <w:bottom w:val="single" w:sz="8" w:color="1C90D3"/>
            </w:tcBorders>
          </w:tcPr>
          <w:p>
            <w:pPr>
              <w:jc w:val="right"/>
              <w:ind w:right="139"/>
              <w:spacing w:after="0"/>
              <w:rPr>
                <w:sz w:val="20"/>
                <w:szCs w:val="20"/>
                <w:color w:val="auto"/>
              </w:rPr>
            </w:pPr>
            <w:r>
              <w:rPr>
                <w:rFonts w:ascii="Arial" w:cs="Arial" w:eastAsia="Arial" w:hAnsi="Arial"/>
                <w:sz w:val="16"/>
                <w:szCs w:val="16"/>
                <w:b w:val="1"/>
                <w:bCs w:val="1"/>
                <w:color w:val="1C90D3"/>
              </w:rPr>
              <w:t>($)</w:t>
            </w:r>
          </w:p>
        </w:tc>
        <w:tc>
          <w:tcPr>
            <w:tcW w:w="1460" w:type="dxa"/>
            <w:vAlign w:val="bottom"/>
            <w:tcBorders>
              <w:bottom w:val="single" w:sz="8" w:color="1C90D3"/>
            </w:tcBorders>
          </w:tcPr>
          <w:p>
            <w:pPr>
              <w:jc w:val="right"/>
              <w:ind w:right="179"/>
              <w:spacing w:after="0"/>
              <w:rPr>
                <w:sz w:val="20"/>
                <w:szCs w:val="20"/>
                <w:color w:val="auto"/>
              </w:rPr>
            </w:pPr>
            <w:r>
              <w:rPr>
                <w:rFonts w:ascii="Arial" w:cs="Arial" w:eastAsia="Arial" w:hAnsi="Arial"/>
                <w:sz w:val="16"/>
                <w:szCs w:val="16"/>
                <w:b w:val="1"/>
                <w:bCs w:val="1"/>
                <w:color w:val="1C90D3"/>
              </w:rPr>
              <w:t>($)</w:t>
            </w:r>
          </w:p>
        </w:tc>
        <w:tc>
          <w:tcPr>
            <w:tcW w:w="1460" w:type="dxa"/>
            <w:vAlign w:val="bottom"/>
            <w:tcBorders>
              <w:bottom w:val="single" w:sz="8" w:color="1C90D3"/>
            </w:tcBorders>
          </w:tcPr>
          <w:p>
            <w:pPr>
              <w:jc w:val="right"/>
              <w:ind w:right="199"/>
              <w:spacing w:after="0"/>
              <w:rPr>
                <w:sz w:val="20"/>
                <w:szCs w:val="20"/>
                <w:color w:val="auto"/>
              </w:rPr>
            </w:pPr>
            <w:r>
              <w:rPr>
                <w:rFonts w:ascii="Arial" w:cs="Arial" w:eastAsia="Arial" w:hAnsi="Arial"/>
                <w:sz w:val="16"/>
                <w:szCs w:val="16"/>
                <w:b w:val="1"/>
                <w:bCs w:val="1"/>
                <w:color w:val="1C90D3"/>
              </w:rPr>
              <w:t>($)</w:t>
            </w:r>
          </w:p>
        </w:tc>
        <w:tc>
          <w:tcPr>
            <w:tcW w:w="1340" w:type="dxa"/>
            <w:vAlign w:val="bottom"/>
            <w:tcBorders>
              <w:bottom w:val="single" w:sz="8" w:color="1C90D3"/>
            </w:tcBorders>
          </w:tcPr>
          <w:p>
            <w:pPr>
              <w:jc w:val="right"/>
              <w:ind w:right="119"/>
              <w:spacing w:after="0"/>
              <w:rPr>
                <w:sz w:val="20"/>
                <w:szCs w:val="20"/>
                <w:color w:val="auto"/>
              </w:rPr>
            </w:pPr>
            <w:r>
              <w:rPr>
                <w:rFonts w:ascii="Arial" w:cs="Arial" w:eastAsia="Arial" w:hAnsi="Arial"/>
                <w:sz w:val="16"/>
                <w:szCs w:val="16"/>
                <w:b w:val="1"/>
                <w:bCs w:val="1"/>
                <w:color w:val="1C90D3"/>
              </w:rPr>
              <w:t>($)</w:t>
            </w:r>
          </w:p>
        </w:tc>
        <w:tc>
          <w:tcPr>
            <w:tcW w:w="1240" w:type="dxa"/>
            <w:vAlign w:val="bottom"/>
            <w:tcBorders>
              <w:bottom w:val="single" w:sz="8" w:color="1C90D3"/>
            </w:tcBorders>
          </w:tcPr>
          <w:p>
            <w:pPr>
              <w:jc w:val="right"/>
              <w:spacing w:after="0"/>
              <w:rPr>
                <w:sz w:val="20"/>
                <w:szCs w:val="20"/>
                <w:color w:val="auto"/>
              </w:rPr>
            </w:pPr>
            <w:r>
              <w:rPr>
                <w:rFonts w:ascii="Arial" w:cs="Arial" w:eastAsia="Arial" w:hAnsi="Arial"/>
                <w:sz w:val="16"/>
                <w:szCs w:val="16"/>
                <w:b w:val="1"/>
                <w:bCs w:val="1"/>
                <w:color w:val="1C90D3"/>
              </w:rPr>
              <w:t>($)</w:t>
            </w:r>
          </w:p>
        </w:tc>
      </w:tr>
      <w:tr>
        <w:trPr>
          <w:trHeight w:val="230"/>
        </w:trPr>
        <w:tc>
          <w:tcPr>
            <w:tcW w:w="2980" w:type="dxa"/>
            <w:vAlign w:val="bottom"/>
            <w:tcBorders>
              <w:bottom w:val="single" w:sz="8" w:color="auto"/>
            </w:tcBorders>
          </w:tcPr>
          <w:p>
            <w:pPr>
              <w:ind w:left="40"/>
              <w:spacing w:after="0" w:line="230" w:lineRule="exact"/>
              <w:rPr>
                <w:sz w:val="20"/>
                <w:szCs w:val="20"/>
                <w:color w:val="auto"/>
              </w:rPr>
            </w:pPr>
            <w:r>
              <w:rPr>
                <w:rFonts w:ascii="Arial" w:cs="Arial" w:eastAsia="Arial" w:hAnsi="Arial"/>
                <w:sz w:val="16"/>
                <w:szCs w:val="16"/>
                <w:color w:val="auto"/>
              </w:rPr>
              <w:t>Personal Travel</w:t>
            </w:r>
            <w:r>
              <w:rPr>
                <w:rFonts w:ascii="Arial" w:cs="Arial" w:eastAsia="Arial" w:hAnsi="Arial"/>
                <w:sz w:val="26"/>
                <w:szCs w:val="26"/>
                <w:color w:val="auto"/>
                <w:vertAlign w:val="superscript"/>
              </w:rPr>
              <w:t>(1)</w:t>
            </w:r>
          </w:p>
        </w:tc>
        <w:tc>
          <w:tcPr>
            <w:tcW w:w="17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187,906</w:t>
            </w:r>
          </w:p>
        </w:tc>
        <w:tc>
          <w:tcPr>
            <w:tcW w:w="14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2980" w:type="dxa"/>
            <w:vAlign w:val="bottom"/>
            <w:tcBorders>
              <w:bottom w:val="single" w:sz="8" w:color="auto"/>
            </w:tcBorders>
          </w:tcPr>
          <w:p>
            <w:pPr>
              <w:ind w:left="40"/>
              <w:spacing w:after="0" w:line="223" w:lineRule="exact"/>
              <w:rPr>
                <w:sz w:val="20"/>
                <w:szCs w:val="20"/>
                <w:color w:val="auto"/>
              </w:rPr>
            </w:pPr>
            <w:r>
              <w:rPr>
                <w:rFonts w:ascii="Arial" w:cs="Arial" w:eastAsia="Arial" w:hAnsi="Arial"/>
                <w:sz w:val="15"/>
                <w:szCs w:val="15"/>
                <w:color w:val="auto"/>
              </w:rPr>
              <w:t>Security</w:t>
            </w:r>
            <w:r>
              <w:rPr>
                <w:rFonts w:ascii="Arial" w:cs="Arial" w:eastAsia="Arial" w:hAnsi="Arial"/>
                <w:sz w:val="25"/>
                <w:szCs w:val="25"/>
                <w:color w:val="auto"/>
                <w:vertAlign w:val="superscript"/>
              </w:rPr>
              <w:t>(2)</w:t>
            </w:r>
          </w:p>
        </w:tc>
        <w:tc>
          <w:tcPr>
            <w:tcW w:w="17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47,280</w:t>
            </w:r>
          </w:p>
        </w:tc>
        <w:tc>
          <w:tcPr>
            <w:tcW w:w="14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87,750</w:t>
            </w:r>
          </w:p>
        </w:tc>
        <w:tc>
          <w:tcPr>
            <w:tcW w:w="13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2980" w:type="dxa"/>
            <w:vAlign w:val="bottom"/>
            <w:tcBorders>
              <w:bottom w:val="single" w:sz="8" w:color="auto"/>
            </w:tcBorders>
          </w:tcPr>
          <w:p>
            <w:pPr>
              <w:ind w:left="40"/>
              <w:spacing w:after="0" w:line="223" w:lineRule="exact"/>
              <w:rPr>
                <w:sz w:val="20"/>
                <w:szCs w:val="20"/>
                <w:color w:val="auto"/>
              </w:rPr>
            </w:pPr>
            <w:r>
              <w:rPr>
                <w:rFonts w:ascii="Arial" w:cs="Arial" w:eastAsia="Arial" w:hAnsi="Arial"/>
                <w:sz w:val="15"/>
                <w:szCs w:val="15"/>
                <w:color w:val="auto"/>
              </w:rPr>
              <w:t>Company Vehicle Programs</w:t>
            </w:r>
            <w:r>
              <w:rPr>
                <w:rFonts w:ascii="Arial" w:cs="Arial" w:eastAsia="Arial" w:hAnsi="Arial"/>
                <w:sz w:val="25"/>
                <w:szCs w:val="25"/>
                <w:color w:val="auto"/>
                <w:vertAlign w:val="superscript"/>
              </w:rPr>
              <w:t>(3)</w:t>
            </w:r>
          </w:p>
        </w:tc>
        <w:tc>
          <w:tcPr>
            <w:tcW w:w="17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35,802</w:t>
            </w:r>
          </w:p>
        </w:tc>
        <w:tc>
          <w:tcPr>
            <w:tcW w:w="14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21,856</w:t>
            </w:r>
          </w:p>
        </w:tc>
        <w:tc>
          <w:tcPr>
            <w:tcW w:w="14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28,543</w:t>
            </w:r>
          </w:p>
        </w:tc>
        <w:tc>
          <w:tcPr>
            <w:tcW w:w="13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22,080</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16,938</w:t>
            </w:r>
          </w:p>
        </w:tc>
      </w:tr>
      <w:tr>
        <w:trPr>
          <w:trHeight w:val="223"/>
        </w:trPr>
        <w:tc>
          <w:tcPr>
            <w:tcW w:w="2980" w:type="dxa"/>
            <w:vAlign w:val="bottom"/>
            <w:tcBorders>
              <w:bottom w:val="single" w:sz="8" w:color="auto"/>
            </w:tcBorders>
          </w:tcPr>
          <w:p>
            <w:pPr>
              <w:ind w:left="40"/>
              <w:spacing w:after="0" w:line="223" w:lineRule="exact"/>
              <w:rPr>
                <w:sz w:val="20"/>
                <w:szCs w:val="20"/>
                <w:color w:val="auto"/>
              </w:rPr>
            </w:pPr>
            <w:r>
              <w:rPr>
                <w:rFonts w:ascii="Arial" w:cs="Arial" w:eastAsia="Arial" w:hAnsi="Arial"/>
                <w:sz w:val="15"/>
                <w:szCs w:val="15"/>
                <w:color w:val="auto"/>
              </w:rPr>
              <w:t>Executive Physical</w:t>
            </w:r>
            <w:r>
              <w:rPr>
                <w:rFonts w:ascii="Arial" w:cs="Arial" w:eastAsia="Arial" w:hAnsi="Arial"/>
                <w:sz w:val="25"/>
                <w:szCs w:val="25"/>
                <w:color w:val="auto"/>
                <w:vertAlign w:val="superscript"/>
              </w:rPr>
              <w:t>(4)</w:t>
            </w:r>
          </w:p>
        </w:tc>
        <w:tc>
          <w:tcPr>
            <w:tcW w:w="17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5,500</w:t>
            </w:r>
          </w:p>
        </w:tc>
        <w:tc>
          <w:tcPr>
            <w:tcW w:w="14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5,000</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5,250</w:t>
            </w:r>
          </w:p>
        </w:tc>
      </w:tr>
      <w:tr>
        <w:trPr>
          <w:trHeight w:val="230"/>
        </w:trPr>
        <w:tc>
          <w:tcPr>
            <w:tcW w:w="2980" w:type="dxa"/>
            <w:vAlign w:val="bottom"/>
            <w:tcBorders>
              <w:bottom w:val="single" w:sz="8" w:color="08228B"/>
            </w:tcBorders>
          </w:tcPr>
          <w:p>
            <w:pPr>
              <w:ind w:left="40"/>
              <w:spacing w:after="0" w:line="223" w:lineRule="exact"/>
              <w:rPr>
                <w:sz w:val="20"/>
                <w:szCs w:val="20"/>
                <w:color w:val="auto"/>
              </w:rPr>
            </w:pPr>
            <w:r>
              <w:rPr>
                <w:rFonts w:ascii="Arial" w:cs="Arial" w:eastAsia="Arial" w:hAnsi="Arial"/>
                <w:sz w:val="15"/>
                <w:szCs w:val="15"/>
                <w:color w:val="auto"/>
              </w:rPr>
              <w:t>Financial Counseling</w:t>
            </w:r>
            <w:r>
              <w:rPr>
                <w:rFonts w:ascii="Arial" w:cs="Arial" w:eastAsia="Arial" w:hAnsi="Arial"/>
                <w:sz w:val="25"/>
                <w:szCs w:val="25"/>
                <w:color w:val="auto"/>
                <w:vertAlign w:val="superscript"/>
              </w:rPr>
              <w:t>(5)</w:t>
            </w:r>
          </w:p>
        </w:tc>
        <w:tc>
          <w:tcPr>
            <w:tcW w:w="1780" w:type="dxa"/>
            <w:vAlign w:val="bottom"/>
            <w:tcBorders>
              <w:bottom w:val="single" w:sz="8" w:color="08228B"/>
            </w:tcBorders>
          </w:tcPr>
          <w:p>
            <w:pPr>
              <w:jc w:val="right"/>
              <w:ind w:right="159"/>
              <w:spacing w:after="0"/>
              <w:rPr>
                <w:sz w:val="20"/>
                <w:szCs w:val="20"/>
                <w:color w:val="auto"/>
              </w:rPr>
            </w:pPr>
            <w:r>
              <w:rPr>
                <w:rFonts w:ascii="Arial" w:cs="Arial" w:eastAsia="Arial" w:hAnsi="Arial"/>
                <w:sz w:val="16"/>
                <w:szCs w:val="16"/>
                <w:color w:val="auto"/>
              </w:rPr>
              <w:t>10,360</w:t>
            </w:r>
          </w:p>
        </w:tc>
        <w:tc>
          <w:tcPr>
            <w:tcW w:w="1460" w:type="dxa"/>
            <w:vAlign w:val="bottom"/>
            <w:tcBorders>
              <w:bottom w:val="single" w:sz="8" w:color="08228B"/>
            </w:tcBorders>
          </w:tcPr>
          <w:p>
            <w:pPr>
              <w:jc w:val="right"/>
              <w:ind w:right="179"/>
              <w:spacing w:after="0"/>
              <w:rPr>
                <w:sz w:val="20"/>
                <w:szCs w:val="20"/>
                <w:color w:val="auto"/>
              </w:rPr>
            </w:pPr>
            <w:r>
              <w:rPr>
                <w:rFonts w:ascii="Arial" w:cs="Arial" w:eastAsia="Arial" w:hAnsi="Arial"/>
                <w:sz w:val="16"/>
                <w:szCs w:val="16"/>
                <w:color w:val="auto"/>
              </w:rPr>
              <w:t>10,360</w:t>
            </w:r>
          </w:p>
        </w:tc>
        <w:tc>
          <w:tcPr>
            <w:tcW w:w="1460" w:type="dxa"/>
            <w:vAlign w:val="bottom"/>
            <w:tcBorders>
              <w:bottom w:val="single" w:sz="8" w:color="08228B"/>
            </w:tcBorders>
          </w:tcPr>
          <w:p>
            <w:pPr>
              <w:jc w:val="right"/>
              <w:ind w:right="199"/>
              <w:spacing w:after="0"/>
              <w:rPr>
                <w:sz w:val="20"/>
                <w:szCs w:val="20"/>
                <w:color w:val="auto"/>
              </w:rPr>
            </w:pPr>
            <w:r>
              <w:rPr>
                <w:rFonts w:ascii="Arial" w:cs="Arial" w:eastAsia="Arial" w:hAnsi="Arial"/>
                <w:sz w:val="16"/>
                <w:szCs w:val="16"/>
                <w:color w:val="auto"/>
              </w:rPr>
              <w:t>10,857</w:t>
            </w:r>
          </w:p>
        </w:tc>
        <w:tc>
          <w:tcPr>
            <w:tcW w:w="1340" w:type="dxa"/>
            <w:vAlign w:val="bottom"/>
            <w:tcBorders>
              <w:bottom w:val="single" w:sz="8" w:color="08228B"/>
            </w:tcBorders>
          </w:tcPr>
          <w:p>
            <w:pPr>
              <w:jc w:val="right"/>
              <w:ind w:right="119"/>
              <w:spacing w:after="0"/>
              <w:rPr>
                <w:sz w:val="20"/>
                <w:szCs w:val="20"/>
                <w:color w:val="auto"/>
              </w:rPr>
            </w:pPr>
            <w:r>
              <w:rPr>
                <w:rFonts w:ascii="Arial" w:cs="Arial" w:eastAsia="Arial" w:hAnsi="Arial"/>
                <w:sz w:val="16"/>
                <w:szCs w:val="16"/>
                <w:color w:val="auto"/>
              </w:rPr>
              <w:t>10,360</w:t>
            </w:r>
          </w:p>
        </w:tc>
        <w:tc>
          <w:tcPr>
            <w:tcW w:w="1240" w:type="dxa"/>
            <w:vAlign w:val="bottom"/>
            <w:tcBorders>
              <w:bottom w:val="single" w:sz="8" w:color="08228B"/>
            </w:tcBorders>
          </w:tcPr>
          <w:p>
            <w:pPr>
              <w:jc w:val="right"/>
              <w:spacing w:after="0"/>
              <w:rPr>
                <w:sz w:val="20"/>
                <w:szCs w:val="20"/>
                <w:color w:val="auto"/>
              </w:rPr>
            </w:pPr>
            <w:r>
              <w:rPr>
                <w:rFonts w:ascii="Arial" w:cs="Arial" w:eastAsia="Arial" w:hAnsi="Arial"/>
                <w:sz w:val="16"/>
                <w:szCs w:val="16"/>
                <w:color w:val="auto"/>
              </w:rPr>
              <w:t>8,870</w:t>
            </w:r>
          </w:p>
        </w:tc>
      </w:tr>
      <w:tr>
        <w:trPr>
          <w:trHeight w:val="196"/>
        </w:trPr>
        <w:tc>
          <w:tcPr>
            <w:tcW w:w="2980" w:type="dxa"/>
            <w:vAlign w:val="bottom"/>
            <w:tcBorders>
              <w:bottom w:val="single" w:sz="8" w:color="08228B"/>
            </w:tcBorders>
          </w:tcPr>
          <w:p>
            <w:pPr>
              <w:ind w:left="40"/>
              <w:spacing w:after="0"/>
              <w:rPr>
                <w:sz w:val="20"/>
                <w:szCs w:val="20"/>
                <w:color w:val="auto"/>
              </w:rPr>
            </w:pPr>
            <w:r>
              <w:rPr>
                <w:rFonts w:ascii="Arial" w:cs="Arial" w:eastAsia="Arial" w:hAnsi="Arial"/>
                <w:sz w:val="16"/>
                <w:szCs w:val="16"/>
                <w:b w:val="1"/>
                <w:bCs w:val="1"/>
                <w:color w:val="08228B"/>
              </w:rPr>
              <w:t>TOTAL</w:t>
            </w:r>
          </w:p>
        </w:tc>
        <w:tc>
          <w:tcPr>
            <w:tcW w:w="1780" w:type="dxa"/>
            <w:vAlign w:val="bottom"/>
            <w:tcBorders>
              <w:bottom w:val="single" w:sz="8" w:color="08228B"/>
            </w:tcBorders>
          </w:tcPr>
          <w:p>
            <w:pPr>
              <w:jc w:val="right"/>
              <w:ind w:right="159"/>
              <w:spacing w:after="0"/>
              <w:rPr>
                <w:sz w:val="20"/>
                <w:szCs w:val="20"/>
                <w:color w:val="auto"/>
              </w:rPr>
            </w:pPr>
            <w:r>
              <w:rPr>
                <w:rFonts w:ascii="Arial" w:cs="Arial" w:eastAsia="Arial" w:hAnsi="Arial"/>
                <w:sz w:val="16"/>
                <w:szCs w:val="16"/>
                <w:color w:val="auto"/>
              </w:rPr>
              <w:t>286,848</w:t>
            </w:r>
          </w:p>
        </w:tc>
        <w:tc>
          <w:tcPr>
            <w:tcW w:w="1460" w:type="dxa"/>
            <w:vAlign w:val="bottom"/>
            <w:tcBorders>
              <w:bottom w:val="single" w:sz="8" w:color="08228B"/>
            </w:tcBorders>
          </w:tcPr>
          <w:p>
            <w:pPr>
              <w:jc w:val="right"/>
              <w:ind w:right="179"/>
              <w:spacing w:after="0"/>
              <w:rPr>
                <w:sz w:val="20"/>
                <w:szCs w:val="20"/>
                <w:color w:val="auto"/>
              </w:rPr>
            </w:pPr>
            <w:r>
              <w:rPr>
                <w:rFonts w:ascii="Arial" w:cs="Arial" w:eastAsia="Arial" w:hAnsi="Arial"/>
                <w:sz w:val="16"/>
                <w:szCs w:val="16"/>
                <w:color w:val="auto"/>
              </w:rPr>
              <w:t>32,216</w:t>
            </w:r>
          </w:p>
        </w:tc>
        <w:tc>
          <w:tcPr>
            <w:tcW w:w="1460" w:type="dxa"/>
            <w:vAlign w:val="bottom"/>
            <w:tcBorders>
              <w:bottom w:val="single" w:sz="8" w:color="08228B"/>
            </w:tcBorders>
          </w:tcPr>
          <w:p>
            <w:pPr>
              <w:jc w:val="right"/>
              <w:ind w:right="199"/>
              <w:spacing w:after="0"/>
              <w:rPr>
                <w:sz w:val="20"/>
                <w:szCs w:val="20"/>
                <w:color w:val="auto"/>
              </w:rPr>
            </w:pPr>
            <w:r>
              <w:rPr>
                <w:rFonts w:ascii="Arial" w:cs="Arial" w:eastAsia="Arial" w:hAnsi="Arial"/>
                <w:sz w:val="16"/>
                <w:szCs w:val="16"/>
                <w:color w:val="auto"/>
              </w:rPr>
              <w:t>127,150</w:t>
            </w:r>
          </w:p>
        </w:tc>
        <w:tc>
          <w:tcPr>
            <w:tcW w:w="1340" w:type="dxa"/>
            <w:vAlign w:val="bottom"/>
            <w:tcBorders>
              <w:bottom w:val="single" w:sz="8" w:color="08228B"/>
            </w:tcBorders>
          </w:tcPr>
          <w:p>
            <w:pPr>
              <w:jc w:val="right"/>
              <w:ind w:right="119"/>
              <w:spacing w:after="0"/>
              <w:rPr>
                <w:sz w:val="20"/>
                <w:szCs w:val="20"/>
                <w:color w:val="auto"/>
              </w:rPr>
            </w:pPr>
            <w:r>
              <w:rPr>
                <w:rFonts w:ascii="Arial" w:cs="Arial" w:eastAsia="Arial" w:hAnsi="Arial"/>
                <w:sz w:val="16"/>
                <w:szCs w:val="16"/>
                <w:color w:val="auto"/>
              </w:rPr>
              <w:t>37,440</w:t>
            </w:r>
          </w:p>
        </w:tc>
        <w:tc>
          <w:tcPr>
            <w:tcW w:w="1240" w:type="dxa"/>
            <w:vAlign w:val="bottom"/>
            <w:tcBorders>
              <w:bottom w:val="single" w:sz="8" w:color="08228B"/>
            </w:tcBorders>
          </w:tcPr>
          <w:p>
            <w:pPr>
              <w:jc w:val="right"/>
              <w:spacing w:after="0"/>
              <w:rPr>
                <w:sz w:val="20"/>
                <w:szCs w:val="20"/>
                <w:color w:val="auto"/>
              </w:rPr>
            </w:pPr>
            <w:r>
              <w:rPr>
                <w:rFonts w:ascii="Arial" w:cs="Arial" w:eastAsia="Arial" w:hAnsi="Arial"/>
                <w:sz w:val="16"/>
                <w:szCs w:val="16"/>
                <w:color w:val="auto"/>
              </w:rPr>
              <w:t>31,058</w:t>
            </w:r>
          </w:p>
        </w:tc>
      </w:tr>
    </w:tbl>
    <w:p>
      <w:pPr>
        <w:spacing w:after="0" w:line="58" w:lineRule="exact"/>
        <w:rPr>
          <w:sz w:val="20"/>
          <w:szCs w:val="20"/>
          <w:color w:val="auto"/>
        </w:rPr>
      </w:pPr>
    </w:p>
    <w:p>
      <w:pPr>
        <w:ind w:left="660" w:right="120" w:hanging="328"/>
        <w:spacing w:after="0" w:line="279" w:lineRule="auto"/>
        <w:tabs>
          <w:tab w:leader="none" w:pos="660" w:val="left"/>
        </w:tabs>
        <w:numPr>
          <w:ilvl w:val="0"/>
          <w:numId w:val="96"/>
        </w:numPr>
        <w:rPr>
          <w:rFonts w:ascii="Arial" w:cs="Arial" w:eastAsia="Arial" w:hAnsi="Arial"/>
          <w:sz w:val="14"/>
          <w:szCs w:val="14"/>
          <w:i w:val="1"/>
          <w:iCs w:val="1"/>
          <w:color w:val="auto"/>
        </w:rPr>
      </w:pPr>
      <w:r>
        <w:rPr>
          <w:rFonts w:ascii="Arial" w:cs="Arial" w:eastAsia="Arial" w:hAnsi="Arial"/>
          <w:sz w:val="14"/>
          <w:szCs w:val="14"/>
          <w:i w:val="1"/>
          <w:iCs w:val="1"/>
          <w:color w:val="auto"/>
        </w:rPr>
        <w:t>Personal travel pursuant to Company policy as discussed on page 41. Includes both the full cost of chartered aircraft and the incremental cost when using Company-owned aircraft. Incremental costs include fuel, flight crew expenses, landing fees, ground transportation fees, and other miscellaneous variable expenses.</w:t>
      </w:r>
    </w:p>
    <w:p>
      <w:pPr>
        <w:spacing w:after="0" w:line="3" w:lineRule="exact"/>
        <w:rPr>
          <w:rFonts w:ascii="Arial" w:cs="Arial" w:eastAsia="Arial" w:hAnsi="Arial"/>
          <w:sz w:val="14"/>
          <w:szCs w:val="14"/>
          <w:i w:val="1"/>
          <w:iCs w:val="1"/>
          <w:color w:val="auto"/>
        </w:rPr>
      </w:pPr>
    </w:p>
    <w:p>
      <w:pPr>
        <w:jc w:val="both"/>
        <w:ind w:left="660" w:right="120" w:hanging="328"/>
        <w:spacing w:after="0" w:line="260" w:lineRule="auto"/>
        <w:tabs>
          <w:tab w:leader="none" w:pos="660" w:val="left"/>
        </w:tabs>
        <w:numPr>
          <w:ilvl w:val="0"/>
          <w:numId w:val="96"/>
        </w:numPr>
        <w:rPr>
          <w:rFonts w:ascii="Arial" w:cs="Arial" w:eastAsia="Arial" w:hAnsi="Arial"/>
          <w:sz w:val="14"/>
          <w:szCs w:val="14"/>
          <w:i w:val="1"/>
          <w:iCs w:val="1"/>
          <w:color w:val="auto"/>
        </w:rPr>
      </w:pPr>
      <w:r>
        <w:rPr>
          <w:rFonts w:ascii="Arial" w:cs="Arial" w:eastAsia="Arial" w:hAnsi="Arial"/>
          <w:sz w:val="14"/>
          <w:szCs w:val="14"/>
          <w:i w:val="1"/>
          <w:iCs w:val="1"/>
          <w:color w:val="auto"/>
        </w:rPr>
        <w:t>Amounts include the actual costs of residential security system upgrades for Ms. Barra as recommended by independent security consultants. Mr. Ammann relocated to Detroit, Michigan in 2014 and purchased a home in 2015. Amounts for Mr. Ammann include the costs of residential security system upgrades and installations as recommended by independent security consultants.</w:t>
      </w:r>
    </w:p>
    <w:p>
      <w:pPr>
        <w:spacing w:after="0" w:line="16" w:lineRule="exact"/>
        <w:rPr>
          <w:rFonts w:ascii="Arial" w:cs="Arial" w:eastAsia="Arial" w:hAnsi="Arial"/>
          <w:sz w:val="14"/>
          <w:szCs w:val="14"/>
          <w:i w:val="1"/>
          <w:iCs w:val="1"/>
          <w:color w:val="auto"/>
        </w:rPr>
      </w:pPr>
    </w:p>
    <w:p>
      <w:pPr>
        <w:jc w:val="both"/>
        <w:ind w:left="660" w:right="140" w:hanging="328"/>
        <w:spacing w:after="0" w:line="260" w:lineRule="auto"/>
        <w:tabs>
          <w:tab w:leader="none" w:pos="660" w:val="left"/>
        </w:tabs>
        <w:numPr>
          <w:ilvl w:val="0"/>
          <w:numId w:val="96"/>
        </w:numPr>
        <w:rPr>
          <w:rFonts w:ascii="Arial" w:cs="Arial" w:eastAsia="Arial" w:hAnsi="Arial"/>
          <w:sz w:val="14"/>
          <w:szCs w:val="14"/>
          <w:i w:val="1"/>
          <w:iCs w:val="1"/>
          <w:color w:val="auto"/>
        </w:rPr>
      </w:pPr>
      <w:r>
        <w:rPr>
          <w:rFonts w:ascii="Arial" w:cs="Arial" w:eastAsia="Arial" w:hAnsi="Arial"/>
          <w:sz w:val="14"/>
          <w:szCs w:val="14"/>
          <w:i w:val="1"/>
          <w:iCs w:val="1"/>
          <w:color w:val="auto"/>
        </w:rPr>
        <w:t>Company vehicle programs include the incremental cost of cars and drivers provided by the Company for various events and incremental costs to maintain the Executive Company Vehicle Program fleet. Participants in the program evaluate the vehicles they drive and provide feedback. Participants are charged imputed income based on the value of the vehicles they choose to drive. Taxes assessed on imputed income are the responsibility of the participant.</w:t>
      </w:r>
    </w:p>
    <w:p>
      <w:pPr>
        <w:spacing w:after="0" w:line="16" w:lineRule="exact"/>
        <w:rPr>
          <w:rFonts w:ascii="Arial" w:cs="Arial" w:eastAsia="Arial" w:hAnsi="Arial"/>
          <w:sz w:val="14"/>
          <w:szCs w:val="14"/>
          <w:i w:val="1"/>
          <w:iCs w:val="1"/>
          <w:color w:val="auto"/>
        </w:rPr>
      </w:pPr>
    </w:p>
    <w:p>
      <w:pPr>
        <w:ind w:left="660" w:hanging="328"/>
        <w:spacing w:after="0"/>
        <w:tabs>
          <w:tab w:leader="none" w:pos="660" w:val="left"/>
        </w:tabs>
        <w:numPr>
          <w:ilvl w:val="0"/>
          <w:numId w:val="96"/>
        </w:numPr>
        <w:rPr>
          <w:rFonts w:ascii="Arial" w:cs="Arial" w:eastAsia="Arial" w:hAnsi="Arial"/>
          <w:sz w:val="14"/>
          <w:szCs w:val="14"/>
          <w:i w:val="1"/>
          <w:iCs w:val="1"/>
          <w:color w:val="auto"/>
        </w:rPr>
      </w:pPr>
      <w:r>
        <w:rPr>
          <w:rFonts w:ascii="Arial" w:cs="Arial" w:eastAsia="Arial" w:hAnsi="Arial"/>
          <w:sz w:val="14"/>
          <w:szCs w:val="14"/>
          <w:i w:val="1"/>
          <w:iCs w:val="1"/>
          <w:color w:val="auto"/>
        </w:rPr>
        <w:t>Costs associated with executive physicals for each executive with approved providers.</w:t>
      </w:r>
    </w:p>
    <w:p>
      <w:pPr>
        <w:spacing w:after="0" w:line="55" w:lineRule="exact"/>
        <w:rPr>
          <w:rFonts w:ascii="Arial" w:cs="Arial" w:eastAsia="Arial" w:hAnsi="Arial"/>
          <w:sz w:val="14"/>
          <w:szCs w:val="14"/>
          <w:i w:val="1"/>
          <w:iCs w:val="1"/>
          <w:color w:val="auto"/>
        </w:rPr>
      </w:pPr>
    </w:p>
    <w:p>
      <w:pPr>
        <w:ind w:left="660" w:hanging="328"/>
        <w:spacing w:after="0"/>
        <w:tabs>
          <w:tab w:leader="none" w:pos="660" w:val="left"/>
        </w:tabs>
        <w:numPr>
          <w:ilvl w:val="0"/>
          <w:numId w:val="96"/>
        </w:numPr>
        <w:rPr>
          <w:rFonts w:ascii="Arial" w:cs="Arial" w:eastAsia="Arial" w:hAnsi="Arial"/>
          <w:sz w:val="14"/>
          <w:szCs w:val="14"/>
          <w:i w:val="1"/>
          <w:iCs w:val="1"/>
          <w:color w:val="auto"/>
        </w:rPr>
      </w:pPr>
      <w:r>
        <w:rPr>
          <w:rFonts w:ascii="Arial" w:cs="Arial" w:eastAsia="Arial" w:hAnsi="Arial"/>
          <w:sz w:val="14"/>
          <w:szCs w:val="14"/>
          <w:i w:val="1"/>
          <w:iCs w:val="1"/>
          <w:color w:val="auto"/>
        </w:rPr>
        <w:t>Costs associated with financial counseling and estate planning services with approved providers.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13"/>
        </w:trPr>
        <w:tc>
          <w:tcPr>
            <w:tcW w:w="4340" w:type="dxa"/>
            <w:vAlign w:val="bottom"/>
            <w:tcBorders>
              <w:bottom w:val="single" w:sz="8" w:color="08228B"/>
            </w:tcBorders>
          </w:tcPr>
          <w:p>
            <w:pPr>
              <w:spacing w:after="0"/>
              <w:rPr>
                <w:sz w:val="9"/>
                <w:szCs w:val="9"/>
                <w:color w:val="auto"/>
              </w:rPr>
            </w:pPr>
          </w:p>
        </w:tc>
        <w:tc>
          <w:tcPr>
            <w:tcW w:w="2060" w:type="dxa"/>
            <w:vAlign w:val="bottom"/>
            <w:vMerge w:val="restart"/>
          </w:tcPr>
          <w:p>
            <w:pPr>
              <w:ind w:left="60"/>
              <w:spacing w:after="0"/>
              <w:rPr>
                <w:sz w:val="20"/>
                <w:szCs w:val="20"/>
                <w:color w:val="auto"/>
              </w:rPr>
            </w:pPr>
            <w:r>
              <w:rPr>
                <w:rFonts w:ascii="Arial" w:cs="Arial" w:eastAsia="Arial" w:hAnsi="Arial"/>
                <w:sz w:val="16"/>
                <w:szCs w:val="16"/>
                <w:b w:val="1"/>
                <w:bCs w:val="1"/>
                <w:color w:val="1C90D3"/>
              </w:rPr>
              <w:t xml:space="preserve">2016 </w:t>
            </w:r>
            <w:r>
              <w:rPr>
                <w:rFonts w:ascii="Arial" w:cs="Arial" w:eastAsia="Arial" w:hAnsi="Arial"/>
                <w:sz w:val="16"/>
                <w:szCs w:val="16"/>
                <w:color w:val="08228B"/>
              </w:rPr>
              <w:t>PROXY STATEMENT</w:t>
            </w:r>
          </w:p>
        </w:tc>
        <w:tc>
          <w:tcPr>
            <w:tcW w:w="2400" w:type="dxa"/>
            <w:vAlign w:val="bottom"/>
            <w:tcBorders>
              <w:bottom w:val="single" w:sz="8" w:color="08228B"/>
            </w:tcBorders>
          </w:tcPr>
          <w:p>
            <w:pPr>
              <w:spacing w:after="0"/>
              <w:rPr>
                <w:sz w:val="9"/>
                <w:szCs w:val="9"/>
                <w:color w:val="auto"/>
              </w:rPr>
            </w:pPr>
          </w:p>
        </w:tc>
        <w:tc>
          <w:tcPr>
            <w:tcW w:w="2620" w:type="dxa"/>
            <w:vAlign w:val="bottom"/>
            <w:vMerge w:val="restart"/>
          </w:tcPr>
          <w:p>
            <w:pPr>
              <w:jc w:val="right"/>
              <w:ind w:right="39"/>
              <w:spacing w:after="0"/>
              <w:rPr>
                <w:sz w:val="20"/>
                <w:szCs w:val="20"/>
                <w:color w:val="auto"/>
              </w:rPr>
            </w:pPr>
            <w:r>
              <w:rPr>
                <w:rFonts w:ascii="Arial" w:cs="Arial" w:eastAsia="Arial" w:hAnsi="Arial"/>
                <w:sz w:val="16"/>
                <w:szCs w:val="16"/>
                <w:color w:val="08228B"/>
              </w:rPr>
              <w:t>55</w:t>
            </w:r>
          </w:p>
        </w:tc>
        <w:tc>
          <w:tcPr>
            <w:tcW w:w="0" w:type="dxa"/>
            <w:vAlign w:val="bottom"/>
          </w:tcPr>
          <w:p>
            <w:pPr>
              <w:spacing w:after="0"/>
              <w:rPr>
                <w:sz w:val="1"/>
                <w:szCs w:val="1"/>
                <w:color w:val="auto"/>
              </w:rPr>
            </w:pPr>
          </w:p>
        </w:tc>
      </w:tr>
      <w:tr>
        <w:trPr>
          <w:trHeight w:val="82"/>
        </w:trPr>
        <w:tc>
          <w:tcPr>
            <w:tcW w:w="4340" w:type="dxa"/>
            <w:vAlign w:val="bottom"/>
          </w:tcPr>
          <w:p>
            <w:pPr>
              <w:spacing w:after="0"/>
              <w:rPr>
                <w:sz w:val="7"/>
                <w:szCs w:val="7"/>
                <w:color w:val="auto"/>
              </w:rPr>
            </w:pPr>
          </w:p>
        </w:tc>
        <w:tc>
          <w:tcPr>
            <w:tcW w:w="2060" w:type="dxa"/>
            <w:vAlign w:val="bottom"/>
            <w:vMerge w:val="continue"/>
          </w:tcPr>
          <w:p>
            <w:pPr>
              <w:spacing w:after="0"/>
              <w:rPr>
                <w:sz w:val="7"/>
                <w:szCs w:val="7"/>
                <w:color w:val="auto"/>
              </w:rPr>
            </w:pPr>
          </w:p>
        </w:tc>
        <w:tc>
          <w:tcPr>
            <w:tcW w:w="2400" w:type="dxa"/>
            <w:vAlign w:val="bottom"/>
          </w:tcPr>
          <w:p>
            <w:pPr>
              <w:spacing w:after="0"/>
              <w:rPr>
                <w:sz w:val="7"/>
                <w:szCs w:val="7"/>
                <w:color w:val="auto"/>
              </w:rPr>
            </w:pPr>
          </w:p>
        </w:tc>
        <w:tc>
          <w:tcPr>
            <w:tcW w:w="2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7"/>
        </w:trPr>
        <w:tc>
          <w:tcPr>
            <w:tcW w:w="4340" w:type="dxa"/>
            <w:vAlign w:val="bottom"/>
            <w:tcBorders>
              <w:bottom w:val="single" w:sz="8" w:color="C0C0C0"/>
            </w:tcBorders>
          </w:tcPr>
          <w:p>
            <w:pPr>
              <w:spacing w:after="0"/>
              <w:rPr>
                <w:sz w:val="24"/>
                <w:szCs w:val="24"/>
                <w:color w:val="auto"/>
              </w:rPr>
            </w:pPr>
          </w:p>
        </w:tc>
        <w:tc>
          <w:tcPr>
            <w:tcW w:w="2060" w:type="dxa"/>
            <w:vAlign w:val="bottom"/>
            <w:tcBorders>
              <w:bottom w:val="single" w:sz="8" w:color="C0C0C0"/>
            </w:tcBorders>
          </w:tcPr>
          <w:p>
            <w:pPr>
              <w:spacing w:after="0"/>
              <w:rPr>
                <w:sz w:val="24"/>
                <w:szCs w:val="24"/>
                <w:color w:val="auto"/>
              </w:rPr>
            </w:pPr>
          </w:p>
        </w:tc>
        <w:tc>
          <w:tcPr>
            <w:tcW w:w="2400" w:type="dxa"/>
            <w:vAlign w:val="bottom"/>
            <w:tcBorders>
              <w:bottom w:val="single" w:sz="8" w:color="C0C0C0"/>
            </w:tcBorders>
          </w:tcPr>
          <w:p>
            <w:pPr>
              <w:spacing w:after="0"/>
              <w:rPr>
                <w:sz w:val="24"/>
                <w:szCs w:val="24"/>
                <w:color w:val="auto"/>
              </w:rPr>
            </w:pPr>
          </w:p>
        </w:tc>
        <w:tc>
          <w:tcPr>
            <w:tcW w:w="262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5613400</wp:posOffset>
            </wp:positionH>
            <wp:positionV relativeFrom="paragraph">
              <wp:posOffset>-334010</wp:posOffset>
            </wp:positionV>
            <wp:extent cx="1286510" cy="8572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1286510" cy="8572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Back to Contents</w:t>
        </w:r>
      </w:hyperlink>
    </w:p>
    <w:p>
      <w:pPr>
        <w:spacing w:after="0" w:line="196" w:lineRule="exact"/>
        <w:rPr>
          <w:sz w:val="20"/>
          <w:szCs w:val="20"/>
          <w:color w:val="auto"/>
        </w:rPr>
      </w:pPr>
    </w:p>
    <w:p>
      <w:pPr>
        <w:ind w:left="500" w:hanging="492"/>
        <w:spacing w:after="0"/>
        <w:tabs>
          <w:tab w:leader="none" w:pos="500" w:val="left"/>
        </w:tabs>
        <w:numPr>
          <w:ilvl w:val="0"/>
          <w:numId w:val="97"/>
        </w:numPr>
        <w:rPr>
          <w:rFonts w:ascii="Arial" w:cs="Arial" w:eastAsia="Arial" w:hAnsi="Arial"/>
          <w:sz w:val="25"/>
          <w:szCs w:val="25"/>
          <w:color w:val="08228B"/>
        </w:rPr>
      </w:pPr>
      <w:r>
        <w:rPr>
          <w:rFonts w:ascii="Arial" w:cs="Arial" w:eastAsia="Arial" w:hAnsi="Arial"/>
          <w:sz w:val="25"/>
          <w:szCs w:val="25"/>
          <w:color w:val="auto"/>
        </w:rPr>
        <w:t>Grants of Plan–Based Awards</w:t>
      </w:r>
    </w:p>
    <w:p>
      <w:pPr>
        <w:spacing w:after="0" w:line="21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Grants were made to each NEO under the 2014 LTIP. Each grant consisted of PSUs and RSUs for each NEO. PSUs, which vest and deliver at the end of the performance period, will be earned at a level between 0 and 200 percent of target. PSUs are based on the achievement of performance conditions relating to ROIC and Global Market Share over a three-year performance period from January 1, 2015 to December 31, 2017. The RSUs will vest ratably over the three-year period.</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On July 28, 2015, the Compensation Committee granted stock options in exchange for executives agreeing to non-compete and non-solicitation terms. On February 15, 2017, 40 percent of the option grant will vest, and the remaining 60 percent will vest on each February 15 in 2018, 2019, and 2020 only if the Company meets the TSR performance conditions as described above on page 45.</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1040" w:type="dxa"/>
            <w:vAlign w:val="bottom"/>
            <w:tcBorders>
              <w:top w:val="single" w:sz="8" w:color="1C90D3"/>
            </w:tcBorders>
          </w:tcPr>
          <w:p>
            <w:pPr>
              <w:spacing w:after="0"/>
              <w:rPr>
                <w:sz w:val="12"/>
                <w:szCs w:val="12"/>
                <w:color w:val="auto"/>
              </w:rPr>
            </w:pPr>
          </w:p>
        </w:tc>
        <w:tc>
          <w:tcPr>
            <w:tcW w:w="700" w:type="dxa"/>
            <w:vAlign w:val="bottom"/>
            <w:tcBorders>
              <w:top w:val="single" w:sz="8" w:color="1C90D3"/>
            </w:tcBorders>
          </w:tcPr>
          <w:p>
            <w:pPr>
              <w:spacing w:after="0"/>
              <w:rPr>
                <w:sz w:val="12"/>
                <w:szCs w:val="12"/>
                <w:color w:val="auto"/>
              </w:rPr>
            </w:pPr>
          </w:p>
        </w:tc>
        <w:tc>
          <w:tcPr>
            <w:tcW w:w="880" w:type="dxa"/>
            <w:vAlign w:val="bottom"/>
            <w:tcBorders>
              <w:top w:val="single" w:sz="8" w:color="1C90D3"/>
            </w:tcBorders>
          </w:tcPr>
          <w:p>
            <w:pPr>
              <w:spacing w:after="0"/>
              <w:rPr>
                <w:sz w:val="12"/>
                <w:szCs w:val="12"/>
                <w:color w:val="auto"/>
              </w:rPr>
            </w:pPr>
          </w:p>
        </w:tc>
        <w:tc>
          <w:tcPr>
            <w:tcW w:w="900" w:type="dxa"/>
            <w:vAlign w:val="bottom"/>
            <w:tcBorders>
              <w:top w:val="single" w:sz="8" w:color="1C90D3"/>
            </w:tcBorders>
          </w:tcPr>
          <w:p>
            <w:pPr>
              <w:spacing w:after="0"/>
              <w:rPr>
                <w:sz w:val="12"/>
                <w:szCs w:val="12"/>
                <w:color w:val="auto"/>
              </w:rPr>
            </w:pPr>
          </w:p>
        </w:tc>
        <w:tc>
          <w:tcPr>
            <w:tcW w:w="700" w:type="dxa"/>
            <w:vAlign w:val="bottom"/>
            <w:tcBorders>
              <w:top w:val="single" w:sz="8" w:color="1C90D3"/>
            </w:tcBorders>
          </w:tcPr>
          <w:p>
            <w:pPr>
              <w:spacing w:after="0"/>
              <w:rPr>
                <w:sz w:val="12"/>
                <w:szCs w:val="12"/>
                <w:color w:val="auto"/>
              </w:rPr>
            </w:pPr>
          </w:p>
        </w:tc>
        <w:tc>
          <w:tcPr>
            <w:tcW w:w="680" w:type="dxa"/>
            <w:vAlign w:val="bottom"/>
            <w:tcBorders>
              <w:top w:val="single" w:sz="8" w:color="1C90D3"/>
            </w:tcBorders>
          </w:tcPr>
          <w:p>
            <w:pPr>
              <w:spacing w:after="0"/>
              <w:rPr>
                <w:sz w:val="12"/>
                <w:szCs w:val="12"/>
                <w:color w:val="auto"/>
              </w:rPr>
            </w:pPr>
          </w:p>
        </w:tc>
        <w:tc>
          <w:tcPr>
            <w:tcW w:w="600" w:type="dxa"/>
            <w:vAlign w:val="bottom"/>
            <w:tcBorders>
              <w:top w:val="single" w:sz="8" w:color="1C90D3"/>
            </w:tcBorders>
          </w:tcPr>
          <w:p>
            <w:pPr>
              <w:spacing w:after="0"/>
              <w:rPr>
                <w:sz w:val="12"/>
                <w:szCs w:val="12"/>
                <w:color w:val="auto"/>
              </w:rPr>
            </w:pPr>
          </w:p>
        </w:tc>
        <w:tc>
          <w:tcPr>
            <w:tcW w:w="160" w:type="dxa"/>
            <w:vAlign w:val="bottom"/>
            <w:tcBorders>
              <w:top w:val="single" w:sz="8" w:color="1C90D3"/>
            </w:tcBorders>
          </w:tcPr>
          <w:p>
            <w:pPr>
              <w:spacing w:after="0"/>
              <w:rPr>
                <w:sz w:val="12"/>
                <w:szCs w:val="12"/>
                <w:color w:val="auto"/>
              </w:rPr>
            </w:pPr>
          </w:p>
        </w:tc>
        <w:tc>
          <w:tcPr>
            <w:tcW w:w="680" w:type="dxa"/>
            <w:vAlign w:val="bottom"/>
            <w:tcBorders>
              <w:top w:val="single" w:sz="8" w:color="1C90D3"/>
            </w:tcBorders>
          </w:tcPr>
          <w:p>
            <w:pPr>
              <w:spacing w:after="0"/>
              <w:rPr>
                <w:sz w:val="12"/>
                <w:szCs w:val="12"/>
                <w:color w:val="auto"/>
              </w:rPr>
            </w:pPr>
          </w:p>
        </w:tc>
        <w:tc>
          <w:tcPr>
            <w:tcW w:w="680" w:type="dxa"/>
            <w:vAlign w:val="bottom"/>
            <w:tcBorders>
              <w:top w:val="single" w:sz="8" w:color="1C90D3"/>
            </w:tcBorders>
          </w:tcPr>
          <w:p>
            <w:pPr>
              <w:spacing w:after="0"/>
              <w:rPr>
                <w:sz w:val="12"/>
                <w:szCs w:val="12"/>
                <w:color w:val="auto"/>
              </w:rPr>
            </w:pPr>
          </w:p>
        </w:tc>
        <w:tc>
          <w:tcPr>
            <w:tcW w:w="60" w:type="dxa"/>
            <w:vAlign w:val="bottom"/>
            <w:tcBorders>
              <w:top w:val="single" w:sz="8" w:color="1C90D3"/>
            </w:tcBorders>
          </w:tcPr>
          <w:p>
            <w:pPr>
              <w:spacing w:after="0"/>
              <w:rPr>
                <w:sz w:val="12"/>
                <w:szCs w:val="12"/>
                <w:color w:val="auto"/>
              </w:rPr>
            </w:pPr>
          </w:p>
        </w:tc>
        <w:tc>
          <w:tcPr>
            <w:tcW w:w="600" w:type="dxa"/>
            <w:vAlign w:val="bottom"/>
            <w:tcBorders>
              <w:top w:val="single" w:sz="8" w:color="1C90D3"/>
            </w:tcBorders>
          </w:tcPr>
          <w:p>
            <w:pPr>
              <w:spacing w:after="0"/>
              <w:rPr>
                <w:sz w:val="12"/>
                <w:szCs w:val="12"/>
                <w:color w:val="auto"/>
              </w:rPr>
            </w:pPr>
          </w:p>
        </w:tc>
        <w:tc>
          <w:tcPr>
            <w:tcW w:w="180" w:type="dxa"/>
            <w:vAlign w:val="bottom"/>
            <w:tcBorders>
              <w:top w:val="single" w:sz="8" w:color="1C90D3"/>
            </w:tcBorders>
          </w:tcPr>
          <w:p>
            <w:pPr>
              <w:spacing w:after="0"/>
              <w:rPr>
                <w:sz w:val="12"/>
                <w:szCs w:val="12"/>
                <w:color w:val="auto"/>
              </w:rPr>
            </w:pPr>
          </w:p>
        </w:tc>
        <w:tc>
          <w:tcPr>
            <w:tcW w:w="980" w:type="dxa"/>
            <w:vAlign w:val="bottom"/>
            <w:tcBorders>
              <w:top w:val="single" w:sz="8" w:color="1C90D3"/>
            </w:tcBorders>
          </w:tcPr>
          <w:p>
            <w:pPr>
              <w:jc w:val="right"/>
              <w:ind w:right="93"/>
              <w:spacing w:after="0" w:line="140" w:lineRule="exact"/>
              <w:rPr>
                <w:sz w:val="20"/>
                <w:szCs w:val="20"/>
                <w:color w:val="auto"/>
              </w:rPr>
            </w:pPr>
            <w:r>
              <w:rPr>
                <w:rFonts w:ascii="Arial" w:cs="Arial" w:eastAsia="Arial" w:hAnsi="Arial"/>
                <w:sz w:val="13"/>
                <w:szCs w:val="13"/>
                <w:b w:val="1"/>
                <w:bCs w:val="1"/>
                <w:color w:val="1C90D3"/>
              </w:rPr>
              <w:t>All Other</w:t>
            </w:r>
          </w:p>
        </w:tc>
        <w:tc>
          <w:tcPr>
            <w:tcW w:w="820" w:type="dxa"/>
            <w:vAlign w:val="bottom"/>
            <w:tcBorders>
              <w:top w:val="single" w:sz="8" w:color="1C90D3"/>
            </w:tcBorders>
          </w:tcPr>
          <w:p>
            <w:pPr>
              <w:jc w:val="right"/>
              <w:ind w:right="73"/>
              <w:spacing w:after="0" w:line="140" w:lineRule="exact"/>
              <w:rPr>
                <w:sz w:val="20"/>
                <w:szCs w:val="20"/>
                <w:color w:val="auto"/>
              </w:rPr>
            </w:pPr>
            <w:r>
              <w:rPr>
                <w:rFonts w:ascii="Arial" w:cs="Arial" w:eastAsia="Arial" w:hAnsi="Arial"/>
                <w:sz w:val="13"/>
                <w:szCs w:val="13"/>
                <w:b w:val="1"/>
                <w:bCs w:val="1"/>
                <w:color w:val="1C90D3"/>
              </w:rPr>
              <w:t>All Other</w:t>
            </w:r>
          </w:p>
        </w:tc>
        <w:tc>
          <w:tcPr>
            <w:tcW w:w="760" w:type="dxa"/>
            <w:vAlign w:val="bottom"/>
            <w:tcBorders>
              <w:top w:val="single" w:sz="8" w:color="1C90D3"/>
            </w:tcBorders>
          </w:tcPr>
          <w:p>
            <w:pPr>
              <w:spacing w:after="0"/>
              <w:rPr>
                <w:sz w:val="12"/>
                <w:szCs w:val="12"/>
                <w:color w:val="auto"/>
              </w:rPr>
            </w:pPr>
          </w:p>
        </w:tc>
        <w:tc>
          <w:tcPr>
            <w:tcW w:w="880" w:type="dxa"/>
            <w:vAlign w:val="bottom"/>
            <w:tcBorders>
              <w:top w:val="single" w:sz="8" w:color="1C90D3"/>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140" w:type="dxa"/>
            <w:vAlign w:val="bottom"/>
            <w:gridSpan w:val="4"/>
            <w:vMerge w:val="restart"/>
          </w:tcPr>
          <w:p>
            <w:pPr>
              <w:jc w:val="center"/>
              <w:ind w:right="160"/>
              <w:spacing w:after="0"/>
              <w:rPr>
                <w:sz w:val="20"/>
                <w:szCs w:val="20"/>
                <w:color w:val="auto"/>
              </w:rPr>
            </w:pPr>
            <w:r>
              <w:rPr>
                <w:rFonts w:ascii="Arial" w:cs="Arial" w:eastAsia="Arial" w:hAnsi="Arial"/>
                <w:sz w:val="13"/>
                <w:szCs w:val="13"/>
                <w:b w:val="1"/>
                <w:bCs w:val="1"/>
                <w:color w:val="1C90D3"/>
                <w:w w:val="96"/>
              </w:rPr>
              <w:t>Estimated Future Payouts</w:t>
            </w:r>
          </w:p>
        </w:tc>
        <w:tc>
          <w:tcPr>
            <w:tcW w:w="2200" w:type="dxa"/>
            <w:vAlign w:val="bottom"/>
            <w:gridSpan w:val="5"/>
            <w:vMerge w:val="restart"/>
          </w:tcPr>
          <w:p>
            <w:pPr>
              <w:jc w:val="center"/>
              <w:ind w:right="160"/>
              <w:spacing w:after="0"/>
              <w:rPr>
                <w:sz w:val="20"/>
                <w:szCs w:val="20"/>
                <w:color w:val="auto"/>
              </w:rPr>
            </w:pPr>
            <w:r>
              <w:rPr>
                <w:rFonts w:ascii="Arial" w:cs="Arial" w:eastAsia="Arial" w:hAnsi="Arial"/>
                <w:sz w:val="13"/>
                <w:szCs w:val="13"/>
                <w:b w:val="1"/>
                <w:bCs w:val="1"/>
                <w:color w:val="1C90D3"/>
                <w:w w:val="97"/>
              </w:rPr>
              <w:t>Estimated Future Payouts</w:t>
            </w:r>
          </w:p>
        </w:tc>
        <w:tc>
          <w:tcPr>
            <w:tcW w:w="980" w:type="dxa"/>
            <w:vAlign w:val="bottom"/>
          </w:tcPr>
          <w:p>
            <w:pPr>
              <w:jc w:val="right"/>
              <w:ind w:right="93"/>
              <w:spacing w:after="0" w:line="135" w:lineRule="exact"/>
              <w:rPr>
                <w:sz w:val="20"/>
                <w:szCs w:val="20"/>
                <w:color w:val="auto"/>
              </w:rPr>
            </w:pPr>
            <w:r>
              <w:rPr>
                <w:rFonts w:ascii="Arial" w:cs="Arial" w:eastAsia="Arial" w:hAnsi="Arial"/>
                <w:sz w:val="13"/>
                <w:szCs w:val="13"/>
                <w:b w:val="1"/>
                <w:bCs w:val="1"/>
                <w:color w:val="1C90D3"/>
              </w:rPr>
              <w:t>Stock</w:t>
            </w:r>
          </w:p>
        </w:tc>
        <w:tc>
          <w:tcPr>
            <w:tcW w:w="820" w:type="dxa"/>
            <w:vAlign w:val="bottom"/>
          </w:tcPr>
          <w:p>
            <w:pPr>
              <w:jc w:val="right"/>
              <w:ind w:right="73"/>
              <w:spacing w:after="0" w:line="135" w:lineRule="exact"/>
              <w:rPr>
                <w:sz w:val="20"/>
                <w:szCs w:val="20"/>
                <w:color w:val="auto"/>
              </w:rPr>
            </w:pPr>
            <w:r>
              <w:rPr>
                <w:rFonts w:ascii="Arial" w:cs="Arial" w:eastAsia="Arial" w:hAnsi="Arial"/>
                <w:sz w:val="13"/>
                <w:szCs w:val="13"/>
                <w:b w:val="1"/>
                <w:bCs w:val="1"/>
                <w:color w:val="1C90D3"/>
              </w:rPr>
              <w:t>Option</w:t>
            </w:r>
          </w:p>
        </w:tc>
        <w:tc>
          <w:tcPr>
            <w:tcW w:w="760" w:type="dxa"/>
            <w:vAlign w:val="bottom"/>
          </w:tcPr>
          <w:p>
            <w:pPr>
              <w:jc w:val="right"/>
              <w:ind w:right="33"/>
              <w:spacing w:after="0" w:line="135" w:lineRule="exact"/>
              <w:rPr>
                <w:sz w:val="20"/>
                <w:szCs w:val="20"/>
                <w:color w:val="auto"/>
              </w:rPr>
            </w:pPr>
            <w:r>
              <w:rPr>
                <w:rFonts w:ascii="Arial" w:cs="Arial" w:eastAsia="Arial" w:hAnsi="Arial"/>
                <w:sz w:val="13"/>
                <w:szCs w:val="13"/>
                <w:b w:val="1"/>
                <w:bCs w:val="1"/>
                <w:color w:val="1C90D3"/>
              </w:rPr>
              <w:t>Exercise</w:t>
            </w: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0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140" w:type="dxa"/>
            <w:vAlign w:val="bottom"/>
            <w:gridSpan w:val="4"/>
            <w:vMerge w:val="continue"/>
          </w:tcPr>
          <w:p>
            <w:pPr>
              <w:spacing w:after="0"/>
              <w:rPr>
                <w:sz w:val="11"/>
                <w:szCs w:val="11"/>
                <w:color w:val="auto"/>
              </w:rPr>
            </w:pPr>
          </w:p>
        </w:tc>
        <w:tc>
          <w:tcPr>
            <w:tcW w:w="2200" w:type="dxa"/>
            <w:vAlign w:val="bottom"/>
            <w:gridSpan w:val="5"/>
            <w:vMerge w:val="continue"/>
          </w:tcPr>
          <w:p>
            <w:pPr>
              <w:spacing w:after="0"/>
              <w:rPr>
                <w:sz w:val="11"/>
                <w:szCs w:val="11"/>
                <w:color w:val="auto"/>
              </w:rPr>
            </w:pPr>
          </w:p>
        </w:tc>
        <w:tc>
          <w:tcPr>
            <w:tcW w:w="980" w:type="dxa"/>
            <w:vAlign w:val="bottom"/>
          </w:tcPr>
          <w:p>
            <w:pPr>
              <w:jc w:val="right"/>
              <w:ind w:right="93"/>
              <w:spacing w:after="0" w:line="130" w:lineRule="exact"/>
              <w:rPr>
                <w:sz w:val="20"/>
                <w:szCs w:val="20"/>
                <w:color w:val="auto"/>
              </w:rPr>
            </w:pPr>
            <w:r>
              <w:rPr>
                <w:rFonts w:ascii="Arial" w:cs="Arial" w:eastAsia="Arial" w:hAnsi="Arial"/>
                <w:sz w:val="13"/>
                <w:szCs w:val="13"/>
                <w:b w:val="1"/>
                <w:bCs w:val="1"/>
                <w:color w:val="1C90D3"/>
              </w:rPr>
              <w:t>Awards:</w:t>
            </w:r>
          </w:p>
        </w:tc>
        <w:tc>
          <w:tcPr>
            <w:tcW w:w="820" w:type="dxa"/>
            <w:vAlign w:val="bottom"/>
          </w:tcPr>
          <w:p>
            <w:pPr>
              <w:jc w:val="right"/>
              <w:ind w:right="73"/>
              <w:spacing w:after="0" w:line="130" w:lineRule="exact"/>
              <w:rPr>
                <w:sz w:val="20"/>
                <w:szCs w:val="20"/>
                <w:color w:val="auto"/>
              </w:rPr>
            </w:pPr>
            <w:r>
              <w:rPr>
                <w:rFonts w:ascii="Arial" w:cs="Arial" w:eastAsia="Arial" w:hAnsi="Arial"/>
                <w:sz w:val="13"/>
                <w:szCs w:val="13"/>
                <w:b w:val="1"/>
                <w:bCs w:val="1"/>
                <w:color w:val="1C90D3"/>
              </w:rPr>
              <w:t>Awards:</w:t>
            </w:r>
          </w:p>
        </w:tc>
        <w:tc>
          <w:tcPr>
            <w:tcW w:w="760" w:type="dxa"/>
            <w:vAlign w:val="bottom"/>
          </w:tcPr>
          <w:p>
            <w:pPr>
              <w:jc w:val="right"/>
              <w:ind w:right="33"/>
              <w:spacing w:after="0" w:line="130" w:lineRule="exact"/>
              <w:rPr>
                <w:sz w:val="20"/>
                <w:szCs w:val="20"/>
                <w:color w:val="auto"/>
              </w:rPr>
            </w:pPr>
            <w:r>
              <w:rPr>
                <w:rFonts w:ascii="Arial" w:cs="Arial" w:eastAsia="Arial" w:hAnsi="Arial"/>
                <w:sz w:val="13"/>
                <w:szCs w:val="13"/>
                <w:b w:val="1"/>
                <w:bCs w:val="1"/>
                <w:color w:val="1C90D3"/>
              </w:rPr>
              <w:t>or Base</w:t>
            </w:r>
          </w:p>
        </w:tc>
        <w:tc>
          <w:tcPr>
            <w:tcW w:w="880" w:type="dxa"/>
            <w:vAlign w:val="bottom"/>
          </w:tcPr>
          <w:p>
            <w:pPr>
              <w:jc w:val="right"/>
              <w:spacing w:after="0" w:line="130" w:lineRule="exact"/>
              <w:rPr>
                <w:sz w:val="20"/>
                <w:szCs w:val="20"/>
                <w:color w:val="auto"/>
              </w:rPr>
            </w:pPr>
            <w:r>
              <w:rPr>
                <w:rFonts w:ascii="Arial" w:cs="Arial" w:eastAsia="Arial" w:hAnsi="Arial"/>
                <w:sz w:val="13"/>
                <w:szCs w:val="13"/>
                <w:b w:val="1"/>
                <w:bCs w:val="1"/>
                <w:color w:val="1C90D3"/>
              </w:rPr>
              <w:t>Grant Date</w:t>
            </w: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140" w:type="dxa"/>
            <w:vAlign w:val="bottom"/>
            <w:gridSpan w:val="4"/>
          </w:tcPr>
          <w:p>
            <w:pPr>
              <w:jc w:val="center"/>
              <w:ind w:right="160"/>
              <w:spacing w:after="0" w:line="135" w:lineRule="exact"/>
              <w:rPr>
                <w:sz w:val="20"/>
                <w:szCs w:val="20"/>
                <w:color w:val="auto"/>
              </w:rPr>
            </w:pPr>
            <w:r>
              <w:rPr>
                <w:rFonts w:ascii="Arial" w:cs="Arial" w:eastAsia="Arial" w:hAnsi="Arial"/>
                <w:sz w:val="13"/>
                <w:szCs w:val="13"/>
                <w:b w:val="1"/>
                <w:bCs w:val="1"/>
                <w:color w:val="1C90D3"/>
                <w:w w:val="97"/>
              </w:rPr>
              <w:t>Under Non-Equity Incentive</w:t>
            </w:r>
          </w:p>
        </w:tc>
        <w:tc>
          <w:tcPr>
            <w:tcW w:w="2200" w:type="dxa"/>
            <w:vAlign w:val="bottom"/>
            <w:gridSpan w:val="5"/>
          </w:tcPr>
          <w:p>
            <w:pPr>
              <w:jc w:val="center"/>
              <w:ind w:right="160"/>
              <w:spacing w:after="0" w:line="135" w:lineRule="exact"/>
              <w:rPr>
                <w:sz w:val="20"/>
                <w:szCs w:val="20"/>
                <w:color w:val="auto"/>
              </w:rPr>
            </w:pPr>
            <w:r>
              <w:rPr>
                <w:rFonts w:ascii="Arial" w:cs="Arial" w:eastAsia="Arial" w:hAnsi="Arial"/>
                <w:sz w:val="13"/>
                <w:szCs w:val="13"/>
                <w:b w:val="1"/>
                <w:bCs w:val="1"/>
                <w:color w:val="1C90D3"/>
                <w:w w:val="96"/>
              </w:rPr>
              <w:t>Under Equity Incentive</w:t>
            </w:r>
          </w:p>
        </w:tc>
        <w:tc>
          <w:tcPr>
            <w:tcW w:w="980" w:type="dxa"/>
            <w:vAlign w:val="bottom"/>
          </w:tcPr>
          <w:p>
            <w:pPr>
              <w:jc w:val="right"/>
              <w:ind w:right="93"/>
              <w:spacing w:after="0" w:line="135" w:lineRule="exact"/>
              <w:rPr>
                <w:sz w:val="20"/>
                <w:szCs w:val="20"/>
                <w:color w:val="auto"/>
              </w:rPr>
            </w:pPr>
            <w:r>
              <w:rPr>
                <w:rFonts w:ascii="Arial" w:cs="Arial" w:eastAsia="Arial" w:hAnsi="Arial"/>
                <w:sz w:val="13"/>
                <w:szCs w:val="13"/>
                <w:b w:val="1"/>
                <w:bCs w:val="1"/>
                <w:color w:val="1C90D3"/>
              </w:rPr>
              <w:t>Number of</w:t>
            </w:r>
          </w:p>
        </w:tc>
        <w:tc>
          <w:tcPr>
            <w:tcW w:w="820" w:type="dxa"/>
            <w:vAlign w:val="bottom"/>
          </w:tcPr>
          <w:p>
            <w:pPr>
              <w:jc w:val="right"/>
              <w:ind w:right="73"/>
              <w:spacing w:after="0" w:line="135" w:lineRule="exact"/>
              <w:rPr>
                <w:sz w:val="20"/>
                <w:szCs w:val="20"/>
                <w:color w:val="auto"/>
              </w:rPr>
            </w:pPr>
            <w:r>
              <w:rPr>
                <w:rFonts w:ascii="Arial" w:cs="Arial" w:eastAsia="Arial" w:hAnsi="Arial"/>
                <w:sz w:val="13"/>
                <w:szCs w:val="13"/>
                <w:b w:val="1"/>
                <w:bCs w:val="1"/>
                <w:color w:val="1C90D3"/>
              </w:rPr>
              <w:t>Number of</w:t>
            </w:r>
          </w:p>
        </w:tc>
        <w:tc>
          <w:tcPr>
            <w:tcW w:w="760" w:type="dxa"/>
            <w:vAlign w:val="bottom"/>
          </w:tcPr>
          <w:p>
            <w:pPr>
              <w:jc w:val="right"/>
              <w:ind w:right="33"/>
              <w:spacing w:after="0" w:line="135" w:lineRule="exact"/>
              <w:rPr>
                <w:sz w:val="20"/>
                <w:szCs w:val="20"/>
                <w:color w:val="auto"/>
              </w:rPr>
            </w:pPr>
            <w:r>
              <w:rPr>
                <w:rFonts w:ascii="Arial" w:cs="Arial" w:eastAsia="Arial" w:hAnsi="Arial"/>
                <w:sz w:val="13"/>
                <w:szCs w:val="13"/>
                <w:b w:val="1"/>
                <w:bCs w:val="1"/>
                <w:color w:val="1C90D3"/>
              </w:rPr>
              <w:t>Price of</w:t>
            </w:r>
          </w:p>
        </w:tc>
        <w:tc>
          <w:tcPr>
            <w:tcW w:w="880" w:type="dxa"/>
            <w:vAlign w:val="bottom"/>
          </w:tcPr>
          <w:p>
            <w:pPr>
              <w:jc w:val="right"/>
              <w:spacing w:after="0" w:line="135" w:lineRule="exact"/>
              <w:rPr>
                <w:sz w:val="20"/>
                <w:szCs w:val="20"/>
                <w:color w:val="auto"/>
              </w:rPr>
            </w:pPr>
            <w:r>
              <w:rPr>
                <w:rFonts w:ascii="Arial" w:cs="Arial" w:eastAsia="Arial" w:hAnsi="Arial"/>
                <w:sz w:val="13"/>
                <w:szCs w:val="13"/>
                <w:b w:val="1"/>
                <w:bCs w:val="1"/>
                <w:color w:val="1C90D3"/>
              </w:rPr>
              <w:t>Fair Value</w:t>
            </w: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80" w:type="dxa"/>
            <w:vAlign w:val="bottom"/>
            <w:tcBorders>
              <w:bottom w:val="single" w:sz="8" w:color="1C90D3"/>
            </w:tcBorders>
            <w:gridSpan w:val="2"/>
          </w:tcPr>
          <w:p>
            <w:pPr>
              <w:jc w:val="center"/>
              <w:ind w:left="533"/>
              <w:spacing w:after="0"/>
              <w:rPr>
                <w:sz w:val="20"/>
                <w:szCs w:val="20"/>
                <w:color w:val="auto"/>
              </w:rPr>
            </w:pPr>
            <w:r>
              <w:rPr>
                <w:rFonts w:ascii="Arial" w:cs="Arial" w:eastAsia="Arial" w:hAnsi="Arial"/>
                <w:sz w:val="13"/>
                <w:szCs w:val="13"/>
                <w:b w:val="1"/>
                <w:bCs w:val="1"/>
                <w:color w:val="1C90D3"/>
                <w:w w:val="94"/>
              </w:rPr>
              <w:t>Plan Awards</w:t>
            </w:r>
          </w:p>
        </w:tc>
        <w:tc>
          <w:tcPr>
            <w:tcW w:w="600" w:type="dxa"/>
            <w:vAlign w:val="bottom"/>
            <w:tcBorders>
              <w:bottom w:val="single" w:sz="8" w:color="1C90D3"/>
            </w:tcBorders>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tcBorders>
              <w:bottom w:val="single" w:sz="8" w:color="1C90D3"/>
            </w:tcBorders>
            <w:gridSpan w:val="3"/>
          </w:tcPr>
          <w:p>
            <w:pPr>
              <w:jc w:val="center"/>
              <w:ind w:left="531"/>
              <w:spacing w:after="0"/>
              <w:rPr>
                <w:sz w:val="20"/>
                <w:szCs w:val="20"/>
                <w:color w:val="auto"/>
              </w:rPr>
            </w:pPr>
            <w:r>
              <w:rPr>
                <w:rFonts w:ascii="Arial" w:cs="Arial" w:eastAsia="Arial" w:hAnsi="Arial"/>
                <w:sz w:val="13"/>
                <w:szCs w:val="13"/>
                <w:b w:val="1"/>
                <w:bCs w:val="1"/>
                <w:color w:val="1C90D3"/>
                <w:w w:val="94"/>
              </w:rPr>
              <w:t>Plan Awards</w:t>
            </w:r>
          </w:p>
        </w:tc>
        <w:tc>
          <w:tcPr>
            <w:tcW w:w="600" w:type="dxa"/>
            <w:vAlign w:val="bottom"/>
            <w:tcBorders>
              <w:bottom w:val="single" w:sz="8" w:color="1C90D3"/>
            </w:tcBorders>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right"/>
              <w:ind w:right="93"/>
              <w:spacing w:after="0"/>
              <w:rPr>
                <w:sz w:val="20"/>
                <w:szCs w:val="20"/>
                <w:color w:val="auto"/>
              </w:rPr>
            </w:pPr>
            <w:r>
              <w:rPr>
                <w:rFonts w:ascii="Arial" w:cs="Arial" w:eastAsia="Arial" w:hAnsi="Arial"/>
                <w:sz w:val="13"/>
                <w:szCs w:val="13"/>
                <w:b w:val="1"/>
                <w:bCs w:val="1"/>
                <w:color w:val="1C90D3"/>
              </w:rPr>
              <w:t>Shares of</w:t>
            </w:r>
          </w:p>
        </w:tc>
        <w:tc>
          <w:tcPr>
            <w:tcW w:w="820" w:type="dxa"/>
            <w:vAlign w:val="bottom"/>
          </w:tcPr>
          <w:p>
            <w:pPr>
              <w:jc w:val="right"/>
              <w:ind w:right="73"/>
              <w:spacing w:after="0"/>
              <w:rPr>
                <w:sz w:val="20"/>
                <w:szCs w:val="20"/>
                <w:color w:val="auto"/>
              </w:rPr>
            </w:pPr>
            <w:r>
              <w:rPr>
                <w:rFonts w:ascii="Arial" w:cs="Arial" w:eastAsia="Arial" w:hAnsi="Arial"/>
                <w:sz w:val="13"/>
                <w:szCs w:val="13"/>
                <w:b w:val="1"/>
                <w:bCs w:val="1"/>
                <w:color w:val="1C90D3"/>
              </w:rPr>
              <w:t>Securities</w:t>
            </w:r>
          </w:p>
        </w:tc>
        <w:tc>
          <w:tcPr>
            <w:tcW w:w="760" w:type="dxa"/>
            <w:vAlign w:val="bottom"/>
          </w:tcPr>
          <w:p>
            <w:pPr>
              <w:jc w:val="right"/>
              <w:ind w:right="33"/>
              <w:spacing w:after="0"/>
              <w:rPr>
                <w:sz w:val="20"/>
                <w:szCs w:val="20"/>
                <w:color w:val="auto"/>
              </w:rPr>
            </w:pPr>
            <w:r>
              <w:rPr>
                <w:rFonts w:ascii="Arial" w:cs="Arial" w:eastAsia="Arial" w:hAnsi="Arial"/>
                <w:sz w:val="13"/>
                <w:szCs w:val="13"/>
                <w:b w:val="1"/>
                <w:bCs w:val="1"/>
                <w:color w:val="1C90D3"/>
              </w:rPr>
              <w:t>Option</w:t>
            </w:r>
          </w:p>
        </w:tc>
        <w:tc>
          <w:tcPr>
            <w:tcW w:w="880" w:type="dxa"/>
            <w:vAlign w:val="bottom"/>
          </w:tcPr>
          <w:p>
            <w:pPr>
              <w:jc w:val="right"/>
              <w:spacing w:after="0"/>
              <w:rPr>
                <w:sz w:val="20"/>
                <w:szCs w:val="20"/>
                <w:color w:val="auto"/>
              </w:rPr>
            </w:pPr>
            <w:r>
              <w:rPr>
                <w:rFonts w:ascii="Arial" w:cs="Arial" w:eastAsia="Arial" w:hAnsi="Arial"/>
                <w:sz w:val="13"/>
                <w:szCs w:val="13"/>
                <w:b w:val="1"/>
                <w:bCs w:val="1"/>
                <w:color w:val="1C90D3"/>
              </w:rPr>
              <w:t>of Stock</w:t>
            </w: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3"/>
                <w:szCs w:val="13"/>
                <w:b w:val="1"/>
                <w:bCs w:val="1"/>
                <w:color w:val="1C90D3"/>
              </w:rPr>
              <w:t>Award</w:t>
            </w:r>
          </w:p>
        </w:tc>
        <w:tc>
          <w:tcPr>
            <w:tcW w:w="880" w:type="dxa"/>
            <w:vAlign w:val="bottom"/>
          </w:tcPr>
          <w:p>
            <w:pPr>
              <w:spacing w:after="0"/>
              <w:rPr>
                <w:sz w:val="11"/>
                <w:szCs w:val="11"/>
                <w:color w:val="auto"/>
              </w:rPr>
            </w:pPr>
          </w:p>
        </w:tc>
        <w:tc>
          <w:tcPr>
            <w:tcW w:w="900" w:type="dxa"/>
            <w:vAlign w:val="bottom"/>
          </w:tcPr>
          <w:p>
            <w:pPr>
              <w:jc w:val="right"/>
              <w:ind w:right="89"/>
              <w:spacing w:after="0" w:line="135" w:lineRule="exact"/>
              <w:rPr>
                <w:sz w:val="20"/>
                <w:szCs w:val="20"/>
                <w:color w:val="auto"/>
              </w:rPr>
            </w:pPr>
            <w:r>
              <w:rPr>
                <w:rFonts w:ascii="Arial" w:cs="Arial" w:eastAsia="Arial" w:hAnsi="Arial"/>
                <w:sz w:val="13"/>
                <w:szCs w:val="13"/>
                <w:b w:val="1"/>
                <w:bCs w:val="1"/>
                <w:color w:val="1C90D3"/>
              </w:rPr>
              <w:t>Approval</w:t>
            </w:r>
          </w:p>
        </w:tc>
        <w:tc>
          <w:tcPr>
            <w:tcW w:w="700" w:type="dxa"/>
            <w:vAlign w:val="bottom"/>
          </w:tcPr>
          <w:p>
            <w:pPr>
              <w:jc w:val="right"/>
              <w:ind w:right="13"/>
              <w:spacing w:after="0" w:line="135" w:lineRule="exact"/>
              <w:rPr>
                <w:sz w:val="20"/>
                <w:szCs w:val="20"/>
                <w:color w:val="auto"/>
              </w:rPr>
            </w:pPr>
            <w:r>
              <w:rPr>
                <w:rFonts w:ascii="Arial" w:cs="Arial" w:eastAsia="Arial" w:hAnsi="Arial"/>
                <w:sz w:val="13"/>
                <w:szCs w:val="13"/>
                <w:b w:val="1"/>
                <w:bCs w:val="1"/>
                <w:color w:val="1C90D3"/>
                <w:w w:val="95"/>
              </w:rPr>
              <w:t>Threshold</w:t>
            </w:r>
          </w:p>
        </w:tc>
        <w:tc>
          <w:tcPr>
            <w:tcW w:w="680" w:type="dxa"/>
            <w:vAlign w:val="bottom"/>
          </w:tcPr>
          <w:p>
            <w:pPr>
              <w:jc w:val="right"/>
              <w:ind w:right="14"/>
              <w:spacing w:after="0" w:line="135" w:lineRule="exact"/>
              <w:rPr>
                <w:sz w:val="20"/>
                <w:szCs w:val="20"/>
                <w:color w:val="auto"/>
              </w:rPr>
            </w:pPr>
            <w:r>
              <w:rPr>
                <w:rFonts w:ascii="Arial" w:cs="Arial" w:eastAsia="Arial" w:hAnsi="Arial"/>
                <w:sz w:val="13"/>
                <w:szCs w:val="13"/>
                <w:b w:val="1"/>
                <w:bCs w:val="1"/>
                <w:color w:val="1C90D3"/>
              </w:rPr>
              <w:t>Target</w:t>
            </w:r>
          </w:p>
        </w:tc>
        <w:tc>
          <w:tcPr>
            <w:tcW w:w="760" w:type="dxa"/>
            <w:vAlign w:val="bottom"/>
            <w:gridSpan w:val="2"/>
          </w:tcPr>
          <w:p>
            <w:pPr>
              <w:jc w:val="right"/>
              <w:ind w:right="160"/>
              <w:spacing w:after="0" w:line="135" w:lineRule="exact"/>
              <w:rPr>
                <w:sz w:val="20"/>
                <w:szCs w:val="20"/>
                <w:color w:val="auto"/>
              </w:rPr>
            </w:pPr>
            <w:r>
              <w:rPr>
                <w:rFonts w:ascii="Arial" w:cs="Arial" w:eastAsia="Arial" w:hAnsi="Arial"/>
                <w:sz w:val="13"/>
                <w:szCs w:val="13"/>
                <w:b w:val="1"/>
                <w:bCs w:val="1"/>
                <w:color w:val="1C90D3"/>
                <w:w w:val="96"/>
              </w:rPr>
              <w:t>Maximum</w:t>
            </w:r>
          </w:p>
        </w:tc>
        <w:tc>
          <w:tcPr>
            <w:tcW w:w="680" w:type="dxa"/>
            <w:vAlign w:val="bottom"/>
          </w:tcPr>
          <w:p>
            <w:pPr>
              <w:jc w:val="right"/>
              <w:spacing w:after="0" w:line="135" w:lineRule="exact"/>
              <w:rPr>
                <w:sz w:val="20"/>
                <w:szCs w:val="20"/>
                <w:color w:val="auto"/>
              </w:rPr>
            </w:pPr>
            <w:r>
              <w:rPr>
                <w:rFonts w:ascii="Arial" w:cs="Arial" w:eastAsia="Arial" w:hAnsi="Arial"/>
                <w:sz w:val="13"/>
                <w:szCs w:val="13"/>
                <w:b w:val="1"/>
                <w:bCs w:val="1"/>
                <w:color w:val="1C90D3"/>
              </w:rPr>
              <w:t>Threshold</w:t>
            </w:r>
          </w:p>
        </w:tc>
        <w:tc>
          <w:tcPr>
            <w:tcW w:w="680" w:type="dxa"/>
            <w:vAlign w:val="bottom"/>
          </w:tcPr>
          <w:p>
            <w:pPr>
              <w:jc w:val="right"/>
              <w:spacing w:after="0" w:line="135" w:lineRule="exact"/>
              <w:rPr>
                <w:sz w:val="20"/>
                <w:szCs w:val="20"/>
                <w:color w:val="auto"/>
              </w:rPr>
            </w:pPr>
            <w:r>
              <w:rPr>
                <w:rFonts w:ascii="Arial" w:cs="Arial" w:eastAsia="Arial" w:hAnsi="Arial"/>
                <w:sz w:val="13"/>
                <w:szCs w:val="13"/>
                <w:b w:val="1"/>
                <w:bCs w:val="1"/>
                <w:color w:val="1C90D3"/>
              </w:rPr>
              <w:t>Target</w:t>
            </w:r>
          </w:p>
        </w:tc>
        <w:tc>
          <w:tcPr>
            <w:tcW w:w="6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1C90D3"/>
              </w:rPr>
              <w:t>Maximum</w:t>
            </w:r>
          </w:p>
        </w:tc>
        <w:tc>
          <w:tcPr>
            <w:tcW w:w="980" w:type="dxa"/>
            <w:vAlign w:val="bottom"/>
          </w:tcPr>
          <w:p>
            <w:pPr>
              <w:jc w:val="right"/>
              <w:ind w:right="93"/>
              <w:spacing w:after="0" w:line="135" w:lineRule="exact"/>
              <w:rPr>
                <w:sz w:val="20"/>
                <w:szCs w:val="20"/>
                <w:color w:val="auto"/>
              </w:rPr>
            </w:pPr>
            <w:r>
              <w:rPr>
                <w:rFonts w:ascii="Arial" w:cs="Arial" w:eastAsia="Arial" w:hAnsi="Arial"/>
                <w:sz w:val="13"/>
                <w:szCs w:val="13"/>
                <w:b w:val="1"/>
                <w:bCs w:val="1"/>
                <w:color w:val="1C90D3"/>
              </w:rPr>
              <w:t>Stock or</w:t>
            </w:r>
          </w:p>
        </w:tc>
        <w:tc>
          <w:tcPr>
            <w:tcW w:w="820" w:type="dxa"/>
            <w:vAlign w:val="bottom"/>
          </w:tcPr>
          <w:p>
            <w:pPr>
              <w:jc w:val="right"/>
              <w:ind w:right="73"/>
              <w:spacing w:after="0" w:line="135" w:lineRule="exact"/>
              <w:rPr>
                <w:sz w:val="20"/>
                <w:szCs w:val="20"/>
                <w:color w:val="auto"/>
              </w:rPr>
            </w:pPr>
            <w:r>
              <w:rPr>
                <w:rFonts w:ascii="Arial" w:cs="Arial" w:eastAsia="Arial" w:hAnsi="Arial"/>
                <w:sz w:val="13"/>
                <w:szCs w:val="13"/>
                <w:b w:val="1"/>
                <w:bCs w:val="1"/>
                <w:color w:val="1C90D3"/>
                <w:w w:val="97"/>
              </w:rPr>
              <w:t>Underlying</w:t>
            </w:r>
          </w:p>
        </w:tc>
        <w:tc>
          <w:tcPr>
            <w:tcW w:w="760" w:type="dxa"/>
            <w:vAlign w:val="bottom"/>
          </w:tcPr>
          <w:p>
            <w:pPr>
              <w:jc w:val="right"/>
              <w:ind w:right="33"/>
              <w:spacing w:after="0" w:line="135" w:lineRule="exact"/>
              <w:rPr>
                <w:sz w:val="20"/>
                <w:szCs w:val="20"/>
                <w:color w:val="auto"/>
              </w:rPr>
            </w:pPr>
            <w:r>
              <w:rPr>
                <w:rFonts w:ascii="Arial" w:cs="Arial" w:eastAsia="Arial" w:hAnsi="Arial"/>
                <w:sz w:val="13"/>
                <w:szCs w:val="13"/>
                <w:b w:val="1"/>
                <w:bCs w:val="1"/>
                <w:color w:val="1C90D3"/>
              </w:rPr>
              <w:t>Awards</w:t>
            </w:r>
          </w:p>
        </w:tc>
        <w:tc>
          <w:tcPr>
            <w:tcW w:w="880" w:type="dxa"/>
            <w:vAlign w:val="bottom"/>
          </w:tcPr>
          <w:p>
            <w:pPr>
              <w:jc w:val="right"/>
              <w:spacing w:after="0" w:line="135" w:lineRule="exact"/>
              <w:rPr>
                <w:sz w:val="20"/>
                <w:szCs w:val="20"/>
                <w:color w:val="auto"/>
              </w:rPr>
            </w:pPr>
            <w:r>
              <w:rPr>
                <w:rFonts w:ascii="Arial" w:cs="Arial" w:eastAsia="Arial" w:hAnsi="Arial"/>
                <w:sz w:val="13"/>
                <w:szCs w:val="13"/>
                <w:b w:val="1"/>
                <w:bCs w:val="1"/>
                <w:color w:val="1C90D3"/>
              </w:rPr>
              <w:t>and Options</w:t>
            </w:r>
          </w:p>
        </w:tc>
        <w:tc>
          <w:tcPr>
            <w:tcW w:w="0" w:type="dxa"/>
            <w:vAlign w:val="bottom"/>
          </w:tcPr>
          <w:p>
            <w:pPr>
              <w:spacing w:after="0"/>
              <w:rPr>
                <w:sz w:val="1"/>
                <w:szCs w:val="1"/>
                <w:color w:val="auto"/>
              </w:rPr>
            </w:pPr>
          </w:p>
        </w:tc>
      </w:tr>
      <w:tr>
        <w:trPr>
          <w:trHeight w:val="169"/>
        </w:trPr>
        <w:tc>
          <w:tcPr>
            <w:tcW w:w="1040" w:type="dxa"/>
            <w:vAlign w:val="bottom"/>
            <w:tcBorders>
              <w:bottom w:val="single" w:sz="8" w:color="1C90D3"/>
            </w:tcBorders>
          </w:tcPr>
          <w:p>
            <w:pPr>
              <w:ind w:left="60"/>
              <w:spacing w:after="0"/>
              <w:rPr>
                <w:sz w:val="20"/>
                <w:szCs w:val="20"/>
                <w:color w:val="auto"/>
              </w:rPr>
            </w:pPr>
            <w:r>
              <w:rPr>
                <w:rFonts w:ascii="Arial" w:cs="Arial" w:eastAsia="Arial" w:hAnsi="Arial"/>
                <w:sz w:val="13"/>
                <w:szCs w:val="13"/>
                <w:b w:val="1"/>
                <w:bCs w:val="1"/>
                <w:color w:val="1C90D3"/>
              </w:rPr>
              <w:t>Name</w:t>
            </w:r>
          </w:p>
        </w:tc>
        <w:tc>
          <w:tcPr>
            <w:tcW w:w="700" w:type="dxa"/>
            <w:vAlign w:val="bottom"/>
            <w:tcBorders>
              <w:bottom w:val="single" w:sz="8" w:color="1C90D3"/>
            </w:tcBorders>
          </w:tcPr>
          <w:p>
            <w:pPr>
              <w:spacing w:after="0"/>
              <w:rPr>
                <w:sz w:val="20"/>
                <w:szCs w:val="20"/>
                <w:color w:val="auto"/>
              </w:rPr>
            </w:pPr>
            <w:r>
              <w:rPr>
                <w:rFonts w:ascii="Arial" w:cs="Arial" w:eastAsia="Arial" w:hAnsi="Arial"/>
                <w:sz w:val="13"/>
                <w:szCs w:val="13"/>
                <w:b w:val="1"/>
                <w:bCs w:val="1"/>
                <w:color w:val="1C90D3"/>
              </w:rPr>
              <w:t>Type</w:t>
            </w:r>
          </w:p>
        </w:tc>
        <w:tc>
          <w:tcPr>
            <w:tcW w:w="880" w:type="dxa"/>
            <w:vAlign w:val="bottom"/>
            <w:tcBorders>
              <w:bottom w:val="single" w:sz="8" w:color="1C90D3"/>
            </w:tcBorders>
          </w:tcPr>
          <w:p>
            <w:pPr>
              <w:jc w:val="right"/>
              <w:ind w:right="108"/>
              <w:spacing w:after="0"/>
              <w:rPr>
                <w:sz w:val="20"/>
                <w:szCs w:val="20"/>
                <w:color w:val="auto"/>
              </w:rPr>
            </w:pPr>
            <w:r>
              <w:rPr>
                <w:rFonts w:ascii="Arial" w:cs="Arial" w:eastAsia="Arial" w:hAnsi="Arial"/>
                <w:sz w:val="13"/>
                <w:szCs w:val="13"/>
                <w:b w:val="1"/>
                <w:bCs w:val="1"/>
                <w:color w:val="1C90D3"/>
              </w:rPr>
              <w:t>Grant Date</w:t>
            </w:r>
          </w:p>
        </w:tc>
        <w:tc>
          <w:tcPr>
            <w:tcW w:w="900" w:type="dxa"/>
            <w:vAlign w:val="bottom"/>
            <w:tcBorders>
              <w:bottom w:val="single" w:sz="8" w:color="1C90D3"/>
            </w:tcBorders>
          </w:tcPr>
          <w:p>
            <w:pPr>
              <w:jc w:val="right"/>
              <w:ind w:right="89"/>
              <w:spacing w:after="0"/>
              <w:rPr>
                <w:sz w:val="20"/>
                <w:szCs w:val="20"/>
                <w:color w:val="auto"/>
              </w:rPr>
            </w:pPr>
            <w:r>
              <w:rPr>
                <w:rFonts w:ascii="Arial" w:cs="Arial" w:eastAsia="Arial" w:hAnsi="Arial"/>
                <w:sz w:val="13"/>
                <w:szCs w:val="13"/>
                <w:b w:val="1"/>
                <w:bCs w:val="1"/>
                <w:color w:val="1C90D3"/>
              </w:rPr>
              <w:t>Date</w:t>
            </w:r>
          </w:p>
        </w:tc>
        <w:tc>
          <w:tcPr>
            <w:tcW w:w="700" w:type="dxa"/>
            <w:vAlign w:val="bottom"/>
            <w:tcBorders>
              <w:bottom w:val="single" w:sz="8" w:color="1C90D3"/>
            </w:tcBorders>
          </w:tcPr>
          <w:p>
            <w:pPr>
              <w:jc w:val="right"/>
              <w:ind w:right="13"/>
              <w:spacing w:after="0"/>
              <w:rPr>
                <w:sz w:val="20"/>
                <w:szCs w:val="20"/>
                <w:color w:val="auto"/>
              </w:rPr>
            </w:pPr>
            <w:r>
              <w:rPr>
                <w:rFonts w:ascii="Arial" w:cs="Arial" w:eastAsia="Arial" w:hAnsi="Arial"/>
                <w:sz w:val="13"/>
                <w:szCs w:val="13"/>
                <w:b w:val="1"/>
                <w:bCs w:val="1"/>
                <w:color w:val="1C90D3"/>
              </w:rPr>
              <w:t>($)</w:t>
            </w:r>
          </w:p>
        </w:tc>
        <w:tc>
          <w:tcPr>
            <w:tcW w:w="680" w:type="dxa"/>
            <w:vAlign w:val="bottom"/>
            <w:tcBorders>
              <w:bottom w:val="single" w:sz="8" w:color="1C90D3"/>
            </w:tcBorders>
          </w:tcPr>
          <w:p>
            <w:pPr>
              <w:jc w:val="right"/>
              <w:ind w:right="14"/>
              <w:spacing w:after="0"/>
              <w:rPr>
                <w:sz w:val="20"/>
                <w:szCs w:val="20"/>
                <w:color w:val="auto"/>
              </w:rPr>
            </w:pPr>
            <w:r>
              <w:rPr>
                <w:rFonts w:ascii="Arial" w:cs="Arial" w:eastAsia="Arial" w:hAnsi="Arial"/>
                <w:sz w:val="13"/>
                <w:szCs w:val="13"/>
                <w:b w:val="1"/>
                <w:bCs w:val="1"/>
                <w:color w:val="1C90D3"/>
              </w:rPr>
              <w:t>($)</w:t>
            </w:r>
          </w:p>
        </w:tc>
        <w:tc>
          <w:tcPr>
            <w:tcW w:w="760" w:type="dxa"/>
            <w:vAlign w:val="bottom"/>
            <w:tcBorders>
              <w:bottom w:val="single" w:sz="8" w:color="1C90D3"/>
            </w:tcBorders>
            <w:gridSpan w:val="2"/>
          </w:tcPr>
          <w:p>
            <w:pPr>
              <w:jc w:val="right"/>
              <w:ind w:right="160"/>
              <w:spacing w:after="0"/>
              <w:rPr>
                <w:sz w:val="20"/>
                <w:szCs w:val="20"/>
                <w:color w:val="auto"/>
              </w:rPr>
            </w:pPr>
            <w:r>
              <w:rPr>
                <w:rFonts w:ascii="Arial" w:cs="Arial" w:eastAsia="Arial" w:hAnsi="Arial"/>
                <w:sz w:val="13"/>
                <w:szCs w:val="13"/>
                <w:b w:val="1"/>
                <w:bCs w:val="1"/>
                <w:color w:val="1C90D3"/>
              </w:rPr>
              <w:t>($)</w:t>
            </w:r>
          </w:p>
        </w:tc>
        <w:tc>
          <w:tcPr>
            <w:tcW w:w="680" w:type="dxa"/>
            <w:vAlign w:val="bottom"/>
            <w:tcBorders>
              <w:bottom w:val="single" w:sz="8" w:color="1C90D3"/>
            </w:tcBorders>
          </w:tcPr>
          <w:p>
            <w:pPr>
              <w:jc w:val="right"/>
              <w:spacing w:after="0"/>
              <w:rPr>
                <w:sz w:val="20"/>
                <w:szCs w:val="20"/>
                <w:color w:val="auto"/>
              </w:rPr>
            </w:pPr>
            <w:r>
              <w:rPr>
                <w:rFonts w:ascii="Arial" w:cs="Arial" w:eastAsia="Arial" w:hAnsi="Arial"/>
                <w:sz w:val="13"/>
                <w:szCs w:val="13"/>
                <w:b w:val="1"/>
                <w:bCs w:val="1"/>
                <w:color w:val="1C90D3"/>
              </w:rPr>
              <w:t>(#)</w:t>
            </w:r>
          </w:p>
        </w:tc>
        <w:tc>
          <w:tcPr>
            <w:tcW w:w="680" w:type="dxa"/>
            <w:vAlign w:val="bottom"/>
            <w:tcBorders>
              <w:bottom w:val="single" w:sz="8" w:color="1C90D3"/>
            </w:tcBorders>
          </w:tcPr>
          <w:p>
            <w:pPr>
              <w:jc w:val="right"/>
              <w:spacing w:after="0"/>
              <w:rPr>
                <w:sz w:val="20"/>
                <w:szCs w:val="20"/>
                <w:color w:val="auto"/>
              </w:rPr>
            </w:pPr>
            <w:r>
              <w:rPr>
                <w:rFonts w:ascii="Arial" w:cs="Arial" w:eastAsia="Arial" w:hAnsi="Arial"/>
                <w:sz w:val="13"/>
                <w:szCs w:val="13"/>
                <w:b w:val="1"/>
                <w:bCs w:val="1"/>
                <w:color w:val="1C90D3"/>
              </w:rPr>
              <w:t>(#)</w:t>
            </w:r>
          </w:p>
        </w:tc>
        <w:tc>
          <w:tcPr>
            <w:tcW w:w="60" w:type="dxa"/>
            <w:vAlign w:val="bottom"/>
            <w:tcBorders>
              <w:bottom w:val="single" w:sz="8" w:color="1C90D3"/>
            </w:tcBorders>
          </w:tcPr>
          <w:p>
            <w:pPr>
              <w:spacing w:after="0"/>
              <w:rPr>
                <w:sz w:val="14"/>
                <w:szCs w:val="14"/>
                <w:color w:val="auto"/>
              </w:rPr>
            </w:pPr>
          </w:p>
        </w:tc>
        <w:tc>
          <w:tcPr>
            <w:tcW w:w="780" w:type="dxa"/>
            <w:vAlign w:val="bottom"/>
            <w:tcBorders>
              <w:bottom w:val="single" w:sz="8" w:color="1C90D3"/>
            </w:tcBorders>
            <w:gridSpan w:val="2"/>
          </w:tcPr>
          <w:p>
            <w:pPr>
              <w:jc w:val="right"/>
              <w:ind w:right="180"/>
              <w:spacing w:after="0"/>
              <w:rPr>
                <w:sz w:val="20"/>
                <w:szCs w:val="20"/>
                <w:color w:val="auto"/>
              </w:rPr>
            </w:pPr>
            <w:r>
              <w:rPr>
                <w:rFonts w:ascii="Arial" w:cs="Arial" w:eastAsia="Arial" w:hAnsi="Arial"/>
                <w:sz w:val="13"/>
                <w:szCs w:val="13"/>
                <w:b w:val="1"/>
                <w:bCs w:val="1"/>
                <w:color w:val="1C90D3"/>
              </w:rPr>
              <w:t>(#)</w:t>
            </w:r>
          </w:p>
        </w:tc>
        <w:tc>
          <w:tcPr>
            <w:tcW w:w="980" w:type="dxa"/>
            <w:vAlign w:val="bottom"/>
            <w:tcBorders>
              <w:bottom w:val="single" w:sz="8" w:color="1C90D3"/>
            </w:tcBorders>
          </w:tcPr>
          <w:p>
            <w:pPr>
              <w:jc w:val="right"/>
              <w:ind w:right="93"/>
              <w:spacing w:after="0"/>
              <w:rPr>
                <w:sz w:val="20"/>
                <w:szCs w:val="20"/>
                <w:color w:val="auto"/>
              </w:rPr>
            </w:pPr>
            <w:r>
              <w:rPr>
                <w:rFonts w:ascii="Arial" w:cs="Arial" w:eastAsia="Arial" w:hAnsi="Arial"/>
                <w:sz w:val="13"/>
                <w:szCs w:val="13"/>
                <w:b w:val="1"/>
                <w:bCs w:val="1"/>
                <w:color w:val="1C90D3"/>
              </w:rPr>
              <w:t>Units (#)</w:t>
            </w:r>
          </w:p>
        </w:tc>
        <w:tc>
          <w:tcPr>
            <w:tcW w:w="820" w:type="dxa"/>
            <w:vAlign w:val="bottom"/>
            <w:tcBorders>
              <w:bottom w:val="single" w:sz="8" w:color="1C90D3"/>
            </w:tcBorders>
          </w:tcPr>
          <w:p>
            <w:pPr>
              <w:jc w:val="right"/>
              <w:ind w:right="73"/>
              <w:spacing w:after="0"/>
              <w:rPr>
                <w:sz w:val="20"/>
                <w:szCs w:val="20"/>
                <w:color w:val="auto"/>
              </w:rPr>
            </w:pPr>
            <w:r>
              <w:rPr>
                <w:rFonts w:ascii="Arial" w:cs="Arial" w:eastAsia="Arial" w:hAnsi="Arial"/>
                <w:sz w:val="13"/>
                <w:szCs w:val="13"/>
                <w:b w:val="1"/>
                <w:bCs w:val="1"/>
                <w:color w:val="1C90D3"/>
                <w:w w:val="96"/>
              </w:rPr>
              <w:t>Options (#)</w:t>
            </w:r>
          </w:p>
        </w:tc>
        <w:tc>
          <w:tcPr>
            <w:tcW w:w="760" w:type="dxa"/>
            <w:vAlign w:val="bottom"/>
            <w:tcBorders>
              <w:bottom w:val="single" w:sz="8" w:color="1C90D3"/>
            </w:tcBorders>
          </w:tcPr>
          <w:p>
            <w:pPr>
              <w:jc w:val="right"/>
              <w:ind w:right="33"/>
              <w:spacing w:after="0"/>
              <w:rPr>
                <w:sz w:val="20"/>
                <w:szCs w:val="20"/>
                <w:color w:val="auto"/>
              </w:rPr>
            </w:pPr>
            <w:r>
              <w:rPr>
                <w:rFonts w:ascii="Arial" w:cs="Arial" w:eastAsia="Arial" w:hAnsi="Arial"/>
                <w:sz w:val="13"/>
                <w:szCs w:val="13"/>
                <w:b w:val="1"/>
                <w:bCs w:val="1"/>
                <w:color w:val="1C90D3"/>
              </w:rPr>
              <w:t>($/share)</w:t>
            </w:r>
          </w:p>
        </w:tc>
        <w:tc>
          <w:tcPr>
            <w:tcW w:w="880" w:type="dxa"/>
            <w:vAlign w:val="bottom"/>
            <w:tcBorders>
              <w:bottom w:val="single" w:sz="8" w:color="1C90D3"/>
            </w:tcBorders>
          </w:tcPr>
          <w:p>
            <w:pPr>
              <w:jc w:val="right"/>
              <w:spacing w:after="0" w:line="162" w:lineRule="exact"/>
              <w:rPr>
                <w:sz w:val="20"/>
                <w:szCs w:val="20"/>
                <w:color w:val="auto"/>
              </w:rPr>
            </w:pPr>
            <w:r>
              <w:rPr>
                <w:rFonts w:ascii="Arial" w:cs="Arial" w:eastAsia="Arial" w:hAnsi="Arial"/>
                <w:sz w:val="12"/>
                <w:szCs w:val="12"/>
                <w:b w:val="1"/>
                <w:bCs w:val="1"/>
                <w:color w:val="1C90D3"/>
              </w:rPr>
              <w:t>Awards($)</w:t>
            </w:r>
            <w:r>
              <w:rPr>
                <w:rFonts w:ascii="Arial" w:cs="Arial" w:eastAsia="Arial" w:hAnsi="Arial"/>
                <w:sz w:val="18"/>
                <w:szCs w:val="18"/>
                <w:b w:val="1"/>
                <w:bCs w:val="1"/>
                <w:color w:val="1C90D3"/>
                <w:vertAlign w:val="superscript"/>
              </w:rPr>
              <w:t>(1)</w:t>
            </w:r>
          </w:p>
        </w:tc>
        <w:tc>
          <w:tcPr>
            <w:tcW w:w="0" w:type="dxa"/>
            <w:vAlign w:val="bottom"/>
          </w:tcPr>
          <w:p>
            <w:pPr>
              <w:spacing w:after="0"/>
              <w:rPr>
                <w:sz w:val="1"/>
                <w:szCs w:val="1"/>
                <w:color w:val="auto"/>
              </w:rPr>
            </w:pPr>
          </w:p>
        </w:tc>
      </w:tr>
      <w:tr>
        <w:trPr>
          <w:trHeight w:val="176"/>
        </w:trPr>
        <w:tc>
          <w:tcPr>
            <w:tcW w:w="1040" w:type="dxa"/>
            <w:vAlign w:val="bottom"/>
          </w:tcPr>
          <w:p>
            <w:pPr>
              <w:ind w:left="60"/>
              <w:spacing w:after="0"/>
              <w:rPr>
                <w:sz w:val="20"/>
                <w:szCs w:val="20"/>
                <w:color w:val="auto"/>
              </w:rPr>
            </w:pPr>
            <w:r>
              <w:rPr>
                <w:rFonts w:ascii="Arial" w:cs="Arial" w:eastAsia="Arial" w:hAnsi="Arial"/>
                <w:sz w:val="14"/>
                <w:szCs w:val="14"/>
                <w:color w:val="auto"/>
              </w:rPr>
              <w:t>Mary T. Barra</w:t>
            </w: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STIP</w:t>
            </w: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1/20/2015</w:t>
            </w:r>
          </w:p>
        </w:tc>
        <w:tc>
          <w:tcPr>
            <w:tcW w:w="90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1/20/2015</w:t>
            </w:r>
          </w:p>
        </w:tc>
        <w:tc>
          <w:tcPr>
            <w:tcW w:w="1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382,813 3,062,500 6,125,000</w:t>
            </w: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7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RSU</w:t>
            </w:r>
          </w:p>
        </w:tc>
        <w:tc>
          <w:tcPr>
            <w:tcW w:w="88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2/11/2015</w:t>
            </w:r>
          </w:p>
        </w:tc>
        <w:tc>
          <w:tcPr>
            <w:tcW w:w="900" w:type="dxa"/>
            <w:vAlign w:val="bottom"/>
            <w:tcBorders>
              <w:bottom w:val="single" w:sz="8" w:color="auto"/>
            </w:tcBorders>
          </w:tcPr>
          <w:p>
            <w:pPr>
              <w:jc w:val="right"/>
              <w:ind w:right="89"/>
              <w:spacing w:after="0" w:line="155" w:lineRule="exact"/>
              <w:rPr>
                <w:sz w:val="20"/>
                <w:szCs w:val="20"/>
                <w:color w:val="auto"/>
              </w:rPr>
            </w:pPr>
            <w:r>
              <w:rPr>
                <w:rFonts w:ascii="Arial" w:cs="Arial" w:eastAsia="Arial" w:hAnsi="Arial"/>
                <w:sz w:val="14"/>
                <w:szCs w:val="14"/>
                <w:color w:val="auto"/>
              </w:rPr>
              <w:t>1/20/2015</w:t>
            </w:r>
          </w:p>
        </w:tc>
        <w:tc>
          <w:tcPr>
            <w:tcW w:w="7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ind w:left="380"/>
              <w:spacing w:after="0" w:line="155" w:lineRule="exact"/>
              <w:rPr>
                <w:sz w:val="20"/>
                <w:szCs w:val="20"/>
                <w:color w:val="auto"/>
              </w:rPr>
            </w:pPr>
            <w:r>
              <w:rPr>
                <w:rFonts w:ascii="Arial" w:cs="Arial" w:eastAsia="Arial" w:hAnsi="Arial"/>
                <w:sz w:val="14"/>
                <w:szCs w:val="14"/>
                <w:color w:val="auto"/>
              </w:rPr>
              <w:t>79,639</w:t>
            </w:r>
          </w:p>
        </w:tc>
        <w:tc>
          <w:tcPr>
            <w:tcW w:w="8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3,000,001</w:t>
            </w: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7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PSU</w:t>
            </w:r>
          </w:p>
        </w:tc>
        <w:tc>
          <w:tcPr>
            <w:tcW w:w="88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2/11/2015</w:t>
            </w:r>
          </w:p>
        </w:tc>
        <w:tc>
          <w:tcPr>
            <w:tcW w:w="900" w:type="dxa"/>
            <w:vAlign w:val="bottom"/>
            <w:tcBorders>
              <w:bottom w:val="single" w:sz="8" w:color="auto"/>
            </w:tcBorders>
          </w:tcPr>
          <w:p>
            <w:pPr>
              <w:jc w:val="right"/>
              <w:ind w:right="89"/>
              <w:spacing w:after="0" w:line="155" w:lineRule="exact"/>
              <w:rPr>
                <w:sz w:val="20"/>
                <w:szCs w:val="20"/>
                <w:color w:val="auto"/>
              </w:rPr>
            </w:pPr>
            <w:r>
              <w:rPr>
                <w:rFonts w:ascii="Arial" w:cs="Arial" w:eastAsia="Arial" w:hAnsi="Arial"/>
                <w:sz w:val="14"/>
                <w:szCs w:val="14"/>
                <w:color w:val="auto"/>
              </w:rPr>
              <w:t>1/20/2015</w:t>
            </w:r>
          </w:p>
        </w:tc>
        <w:tc>
          <w:tcPr>
            <w:tcW w:w="7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59,730</w:t>
            </w: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238,917</w:t>
            </w:r>
          </w:p>
        </w:tc>
        <w:tc>
          <w:tcPr>
            <w:tcW w:w="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477,834</w:t>
            </w:r>
          </w:p>
        </w:tc>
        <w:tc>
          <w:tcPr>
            <w:tcW w:w="1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9,000,003</w:t>
            </w: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700" w:type="dxa"/>
            <w:vAlign w:val="bottom"/>
          </w:tcPr>
          <w:p>
            <w:pPr>
              <w:spacing w:after="0" w:line="155" w:lineRule="exact"/>
              <w:rPr>
                <w:sz w:val="20"/>
                <w:szCs w:val="20"/>
                <w:color w:val="auto"/>
              </w:rPr>
            </w:pPr>
            <w:r>
              <w:rPr>
                <w:rFonts w:ascii="Arial" w:cs="Arial" w:eastAsia="Arial" w:hAnsi="Arial"/>
                <w:sz w:val="14"/>
                <w:szCs w:val="14"/>
                <w:color w:val="auto"/>
              </w:rPr>
              <w:t>DSV</w:t>
            </w:r>
          </w:p>
        </w:tc>
        <w:tc>
          <w:tcPr>
            <w:tcW w:w="880" w:type="dxa"/>
            <w:vAlign w:val="bottom"/>
          </w:tcPr>
          <w:p>
            <w:pPr>
              <w:jc w:val="right"/>
              <w:ind w:right="28"/>
              <w:spacing w:after="0" w:line="155" w:lineRule="exact"/>
              <w:rPr>
                <w:sz w:val="20"/>
                <w:szCs w:val="20"/>
                <w:color w:val="auto"/>
              </w:rPr>
            </w:pPr>
            <w:r>
              <w:rPr>
                <w:rFonts w:ascii="Arial" w:cs="Arial" w:eastAsia="Arial" w:hAnsi="Arial"/>
                <w:sz w:val="14"/>
                <w:szCs w:val="14"/>
                <w:color w:val="auto"/>
              </w:rPr>
              <w:t>7/28/2015</w:t>
            </w:r>
          </w:p>
        </w:tc>
        <w:tc>
          <w:tcPr>
            <w:tcW w:w="900" w:type="dxa"/>
            <w:vAlign w:val="bottom"/>
          </w:tcPr>
          <w:p>
            <w:pPr>
              <w:jc w:val="right"/>
              <w:ind w:right="89"/>
              <w:spacing w:after="0" w:line="155" w:lineRule="exact"/>
              <w:rPr>
                <w:sz w:val="20"/>
                <w:szCs w:val="20"/>
                <w:color w:val="auto"/>
              </w:rPr>
            </w:pPr>
            <w:r>
              <w:rPr>
                <w:rFonts w:ascii="Arial" w:cs="Arial" w:eastAsia="Arial" w:hAnsi="Arial"/>
                <w:sz w:val="14"/>
                <w:szCs w:val="14"/>
                <w:color w:val="auto"/>
              </w:rPr>
              <w:t>7/28/2015</w:t>
            </w: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1,561,822</w:t>
            </w: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1,561,822</w:t>
            </w:r>
          </w:p>
        </w:tc>
        <w:tc>
          <w:tcPr>
            <w:tcW w:w="6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1,561,822</w:t>
            </w: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20" w:type="dxa"/>
            <w:vAlign w:val="bottom"/>
          </w:tcPr>
          <w:p>
            <w:pPr>
              <w:jc w:val="right"/>
              <w:ind w:right="73"/>
              <w:spacing w:after="0" w:line="155" w:lineRule="exact"/>
              <w:rPr>
                <w:sz w:val="20"/>
                <w:szCs w:val="20"/>
                <w:color w:val="auto"/>
              </w:rPr>
            </w:pPr>
            <w:r>
              <w:rPr>
                <w:rFonts w:ascii="Arial" w:cs="Arial" w:eastAsia="Arial" w:hAnsi="Arial"/>
                <w:sz w:val="14"/>
                <w:szCs w:val="14"/>
                <w:color w:val="auto"/>
              </w:rPr>
              <w:t>1,041,215</w:t>
            </w:r>
          </w:p>
        </w:tc>
        <w:tc>
          <w:tcPr>
            <w:tcW w:w="760" w:type="dxa"/>
            <w:vAlign w:val="bottom"/>
          </w:tcPr>
          <w:p>
            <w:pPr>
              <w:jc w:val="right"/>
              <w:ind w:right="33"/>
              <w:spacing w:after="0" w:line="155" w:lineRule="exact"/>
              <w:rPr>
                <w:sz w:val="20"/>
                <w:szCs w:val="20"/>
                <w:color w:val="auto"/>
              </w:rPr>
            </w:pPr>
            <w:r>
              <w:rPr>
                <w:rFonts w:ascii="Arial" w:cs="Arial" w:eastAsia="Arial" w:hAnsi="Arial"/>
                <w:sz w:val="14"/>
                <w:szCs w:val="14"/>
                <w:color w:val="auto"/>
              </w:rPr>
              <w:t>31.32</w:t>
            </w: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11,167,029</w:t>
            </w:r>
          </w:p>
        </w:tc>
        <w:tc>
          <w:tcPr>
            <w:tcW w:w="0" w:type="dxa"/>
            <w:vAlign w:val="bottom"/>
          </w:tcPr>
          <w:p>
            <w:pPr>
              <w:spacing w:after="0"/>
              <w:rPr>
                <w:sz w:val="1"/>
                <w:szCs w:val="1"/>
                <w:color w:val="auto"/>
              </w:rPr>
            </w:pPr>
          </w:p>
        </w:tc>
      </w:tr>
      <w:tr>
        <w:trPr>
          <w:trHeight w:val="190"/>
        </w:trPr>
        <w:tc>
          <w:tcPr>
            <w:tcW w:w="10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line="190" w:lineRule="exact"/>
              <w:rPr>
                <w:sz w:val="20"/>
                <w:szCs w:val="20"/>
                <w:color w:val="auto"/>
              </w:rPr>
            </w:pPr>
            <w:r>
              <w:rPr>
                <w:rFonts w:ascii="Arial" w:cs="Arial" w:eastAsia="Arial" w:hAnsi="Arial"/>
                <w:sz w:val="13"/>
                <w:szCs w:val="13"/>
                <w:color w:val="auto"/>
              </w:rPr>
              <w:t>Options</w:t>
            </w:r>
            <w:r>
              <w:rPr>
                <w:rFonts w:ascii="Arial" w:cs="Arial" w:eastAsia="Arial" w:hAnsi="Arial"/>
                <w:sz w:val="21"/>
                <w:szCs w:val="21"/>
                <w:color w:val="auto"/>
                <w:vertAlign w:val="superscript"/>
              </w:rPr>
              <w:t>(2)</w:t>
            </w:r>
          </w:p>
        </w:tc>
        <w:tc>
          <w:tcPr>
            <w:tcW w:w="8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040" w:type="dxa"/>
            <w:vAlign w:val="bottom"/>
          </w:tcPr>
          <w:p>
            <w:pPr>
              <w:ind w:left="60"/>
              <w:spacing w:after="0"/>
              <w:rPr>
                <w:sz w:val="20"/>
                <w:szCs w:val="20"/>
                <w:color w:val="auto"/>
              </w:rPr>
            </w:pPr>
            <w:r>
              <w:rPr>
                <w:rFonts w:ascii="Arial" w:cs="Arial" w:eastAsia="Arial" w:hAnsi="Arial"/>
                <w:sz w:val="14"/>
                <w:szCs w:val="14"/>
                <w:color w:val="auto"/>
              </w:rPr>
              <w:t>Charles K.</w:t>
            </w: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STIP</w:t>
            </w: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1/20/2015</w:t>
            </w:r>
          </w:p>
        </w:tc>
        <w:tc>
          <w:tcPr>
            <w:tcW w:w="90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1/20/2015</w:t>
            </w:r>
          </w:p>
        </w:tc>
        <w:tc>
          <w:tcPr>
            <w:tcW w:w="1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156,250 1,250,000 2,500,000</w:t>
            </w: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040" w:type="dxa"/>
            <w:vAlign w:val="bottom"/>
          </w:tcPr>
          <w:p>
            <w:pPr>
              <w:ind w:left="60"/>
              <w:spacing w:after="0" w:line="155" w:lineRule="exact"/>
              <w:rPr>
                <w:sz w:val="20"/>
                <w:szCs w:val="20"/>
                <w:color w:val="auto"/>
              </w:rPr>
            </w:pPr>
            <w:r>
              <w:rPr>
                <w:rFonts w:ascii="Arial" w:cs="Arial" w:eastAsia="Arial" w:hAnsi="Arial"/>
                <w:sz w:val="14"/>
                <w:szCs w:val="14"/>
                <w:color w:val="auto"/>
              </w:rPr>
              <w:t>Stevens, III</w:t>
            </w:r>
          </w:p>
        </w:tc>
        <w:tc>
          <w:tcPr>
            <w:tcW w:w="7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RSU</w:t>
            </w:r>
          </w:p>
        </w:tc>
        <w:tc>
          <w:tcPr>
            <w:tcW w:w="88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2/11/2015</w:t>
            </w:r>
          </w:p>
        </w:tc>
        <w:tc>
          <w:tcPr>
            <w:tcW w:w="900" w:type="dxa"/>
            <w:vAlign w:val="bottom"/>
            <w:tcBorders>
              <w:bottom w:val="single" w:sz="8" w:color="auto"/>
            </w:tcBorders>
          </w:tcPr>
          <w:p>
            <w:pPr>
              <w:jc w:val="right"/>
              <w:ind w:right="89"/>
              <w:spacing w:after="0" w:line="155" w:lineRule="exact"/>
              <w:rPr>
                <w:sz w:val="20"/>
                <w:szCs w:val="20"/>
                <w:color w:val="auto"/>
              </w:rPr>
            </w:pPr>
            <w:r>
              <w:rPr>
                <w:rFonts w:ascii="Arial" w:cs="Arial" w:eastAsia="Arial" w:hAnsi="Arial"/>
                <w:sz w:val="14"/>
                <w:szCs w:val="14"/>
                <w:color w:val="auto"/>
              </w:rPr>
              <w:t>1/20/2015</w:t>
            </w:r>
          </w:p>
        </w:tc>
        <w:tc>
          <w:tcPr>
            <w:tcW w:w="7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ind w:left="380"/>
              <w:spacing w:after="0" w:line="155" w:lineRule="exact"/>
              <w:rPr>
                <w:sz w:val="20"/>
                <w:szCs w:val="20"/>
                <w:color w:val="auto"/>
              </w:rPr>
            </w:pPr>
            <w:r>
              <w:rPr>
                <w:rFonts w:ascii="Arial" w:cs="Arial" w:eastAsia="Arial" w:hAnsi="Arial"/>
                <w:sz w:val="14"/>
                <w:szCs w:val="14"/>
                <w:color w:val="auto"/>
              </w:rPr>
              <w:t>19,081</w:t>
            </w:r>
          </w:p>
        </w:tc>
        <w:tc>
          <w:tcPr>
            <w:tcW w:w="8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718, 781</w:t>
            </w: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7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PSU</w:t>
            </w:r>
          </w:p>
        </w:tc>
        <w:tc>
          <w:tcPr>
            <w:tcW w:w="88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2/11/2015</w:t>
            </w:r>
          </w:p>
        </w:tc>
        <w:tc>
          <w:tcPr>
            <w:tcW w:w="900" w:type="dxa"/>
            <w:vAlign w:val="bottom"/>
            <w:tcBorders>
              <w:bottom w:val="single" w:sz="8" w:color="auto"/>
            </w:tcBorders>
          </w:tcPr>
          <w:p>
            <w:pPr>
              <w:jc w:val="right"/>
              <w:ind w:right="89"/>
              <w:spacing w:after="0" w:line="155" w:lineRule="exact"/>
              <w:rPr>
                <w:sz w:val="20"/>
                <w:szCs w:val="20"/>
                <w:color w:val="auto"/>
              </w:rPr>
            </w:pPr>
            <w:r>
              <w:rPr>
                <w:rFonts w:ascii="Arial" w:cs="Arial" w:eastAsia="Arial" w:hAnsi="Arial"/>
                <w:sz w:val="14"/>
                <w:szCs w:val="14"/>
                <w:color w:val="auto"/>
              </w:rPr>
              <w:t>1/20/2015</w:t>
            </w:r>
          </w:p>
        </w:tc>
        <w:tc>
          <w:tcPr>
            <w:tcW w:w="7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14,311</w:t>
            </w: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57,241</w:t>
            </w:r>
          </w:p>
        </w:tc>
        <w:tc>
          <w:tcPr>
            <w:tcW w:w="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114,482</w:t>
            </w:r>
          </w:p>
        </w:tc>
        <w:tc>
          <w:tcPr>
            <w:tcW w:w="1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2,156,268</w:t>
            </w: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700" w:type="dxa"/>
            <w:vAlign w:val="bottom"/>
          </w:tcPr>
          <w:p>
            <w:pPr>
              <w:spacing w:after="0" w:line="155" w:lineRule="exact"/>
              <w:rPr>
                <w:sz w:val="20"/>
                <w:szCs w:val="20"/>
                <w:color w:val="auto"/>
              </w:rPr>
            </w:pPr>
            <w:r>
              <w:rPr>
                <w:rFonts w:ascii="Arial" w:cs="Arial" w:eastAsia="Arial" w:hAnsi="Arial"/>
                <w:sz w:val="14"/>
                <w:szCs w:val="14"/>
                <w:color w:val="auto"/>
              </w:rPr>
              <w:t>DSV</w:t>
            </w:r>
          </w:p>
        </w:tc>
        <w:tc>
          <w:tcPr>
            <w:tcW w:w="880" w:type="dxa"/>
            <w:vAlign w:val="bottom"/>
          </w:tcPr>
          <w:p>
            <w:pPr>
              <w:jc w:val="right"/>
              <w:ind w:right="28"/>
              <w:spacing w:after="0" w:line="155" w:lineRule="exact"/>
              <w:rPr>
                <w:sz w:val="20"/>
                <w:szCs w:val="20"/>
                <w:color w:val="auto"/>
              </w:rPr>
            </w:pPr>
            <w:r>
              <w:rPr>
                <w:rFonts w:ascii="Arial" w:cs="Arial" w:eastAsia="Arial" w:hAnsi="Arial"/>
                <w:sz w:val="14"/>
                <w:szCs w:val="14"/>
                <w:color w:val="auto"/>
              </w:rPr>
              <w:t>7/28/2015</w:t>
            </w:r>
          </w:p>
        </w:tc>
        <w:tc>
          <w:tcPr>
            <w:tcW w:w="900" w:type="dxa"/>
            <w:vAlign w:val="bottom"/>
          </w:tcPr>
          <w:p>
            <w:pPr>
              <w:jc w:val="right"/>
              <w:ind w:right="89"/>
              <w:spacing w:after="0" w:line="155" w:lineRule="exact"/>
              <w:rPr>
                <w:sz w:val="20"/>
                <w:szCs w:val="20"/>
                <w:color w:val="auto"/>
              </w:rPr>
            </w:pPr>
            <w:r>
              <w:rPr>
                <w:rFonts w:ascii="Arial" w:cs="Arial" w:eastAsia="Arial" w:hAnsi="Arial"/>
                <w:sz w:val="14"/>
                <w:szCs w:val="14"/>
                <w:color w:val="auto"/>
              </w:rPr>
              <w:t>7/28/2015</w:t>
            </w: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374,187</w:t>
            </w: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374,187</w:t>
            </w:r>
          </w:p>
        </w:tc>
        <w:tc>
          <w:tcPr>
            <w:tcW w:w="6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374,187</w:t>
            </w: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20" w:type="dxa"/>
            <w:vAlign w:val="bottom"/>
          </w:tcPr>
          <w:p>
            <w:pPr>
              <w:jc w:val="right"/>
              <w:ind w:right="73"/>
              <w:spacing w:after="0" w:line="155" w:lineRule="exact"/>
              <w:rPr>
                <w:sz w:val="20"/>
                <w:szCs w:val="20"/>
                <w:color w:val="auto"/>
              </w:rPr>
            </w:pPr>
            <w:r>
              <w:rPr>
                <w:rFonts w:ascii="Arial" w:cs="Arial" w:eastAsia="Arial" w:hAnsi="Arial"/>
                <w:sz w:val="14"/>
                <w:szCs w:val="14"/>
                <w:color w:val="auto"/>
              </w:rPr>
              <w:t>249,458</w:t>
            </w:r>
          </w:p>
        </w:tc>
        <w:tc>
          <w:tcPr>
            <w:tcW w:w="760" w:type="dxa"/>
            <w:vAlign w:val="bottom"/>
          </w:tcPr>
          <w:p>
            <w:pPr>
              <w:jc w:val="right"/>
              <w:ind w:right="33"/>
              <w:spacing w:after="0" w:line="155" w:lineRule="exact"/>
              <w:rPr>
                <w:sz w:val="20"/>
                <w:szCs w:val="20"/>
                <w:color w:val="auto"/>
              </w:rPr>
            </w:pPr>
            <w:r>
              <w:rPr>
                <w:rFonts w:ascii="Arial" w:cs="Arial" w:eastAsia="Arial" w:hAnsi="Arial"/>
                <w:sz w:val="14"/>
                <w:szCs w:val="14"/>
                <w:color w:val="auto"/>
              </w:rPr>
              <w:t>31.32</w:t>
            </w: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2,675,437</w:t>
            </w:r>
          </w:p>
        </w:tc>
        <w:tc>
          <w:tcPr>
            <w:tcW w:w="0" w:type="dxa"/>
            <w:vAlign w:val="bottom"/>
          </w:tcPr>
          <w:p>
            <w:pPr>
              <w:spacing w:after="0"/>
              <w:rPr>
                <w:sz w:val="1"/>
                <w:szCs w:val="1"/>
                <w:color w:val="auto"/>
              </w:rPr>
            </w:pPr>
          </w:p>
        </w:tc>
      </w:tr>
      <w:tr>
        <w:trPr>
          <w:trHeight w:val="190"/>
        </w:trPr>
        <w:tc>
          <w:tcPr>
            <w:tcW w:w="10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line="190" w:lineRule="exact"/>
              <w:rPr>
                <w:sz w:val="20"/>
                <w:szCs w:val="20"/>
                <w:color w:val="auto"/>
              </w:rPr>
            </w:pPr>
            <w:r>
              <w:rPr>
                <w:rFonts w:ascii="Arial" w:cs="Arial" w:eastAsia="Arial" w:hAnsi="Arial"/>
                <w:sz w:val="13"/>
                <w:szCs w:val="13"/>
                <w:color w:val="auto"/>
              </w:rPr>
              <w:t>Options</w:t>
            </w:r>
            <w:r>
              <w:rPr>
                <w:rFonts w:ascii="Arial" w:cs="Arial" w:eastAsia="Arial" w:hAnsi="Arial"/>
                <w:sz w:val="21"/>
                <w:szCs w:val="21"/>
                <w:color w:val="auto"/>
                <w:vertAlign w:val="superscript"/>
              </w:rPr>
              <w:t>(2)</w:t>
            </w:r>
          </w:p>
        </w:tc>
        <w:tc>
          <w:tcPr>
            <w:tcW w:w="8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1040" w:type="dxa"/>
            <w:vAlign w:val="bottom"/>
          </w:tcPr>
          <w:p>
            <w:pPr>
              <w:ind w:left="60"/>
              <w:spacing w:after="0"/>
              <w:rPr>
                <w:sz w:val="20"/>
                <w:szCs w:val="20"/>
                <w:color w:val="auto"/>
              </w:rPr>
            </w:pPr>
            <w:r>
              <w:rPr>
                <w:rFonts w:ascii="Arial" w:cs="Arial" w:eastAsia="Arial" w:hAnsi="Arial"/>
                <w:sz w:val="14"/>
                <w:szCs w:val="14"/>
                <w:color w:val="auto"/>
              </w:rPr>
              <w:t>Daniel</w:t>
            </w:r>
          </w:p>
        </w:tc>
        <w:tc>
          <w:tcPr>
            <w:tcW w:w="7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040" w:type="dxa"/>
            <w:vAlign w:val="bottom"/>
          </w:tcPr>
          <w:p>
            <w:pPr>
              <w:ind w:left="60"/>
              <w:spacing w:after="0"/>
              <w:rPr>
                <w:sz w:val="20"/>
                <w:szCs w:val="20"/>
                <w:color w:val="auto"/>
              </w:rPr>
            </w:pPr>
            <w:r>
              <w:rPr>
                <w:rFonts w:ascii="Arial" w:cs="Arial" w:eastAsia="Arial" w:hAnsi="Arial"/>
                <w:sz w:val="14"/>
                <w:szCs w:val="14"/>
                <w:color w:val="auto"/>
              </w:rPr>
              <w:t>Ammann</w:t>
            </w: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STIP</w:t>
            </w: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1/20/2015</w:t>
            </w:r>
          </w:p>
        </w:tc>
        <w:tc>
          <w:tcPr>
            <w:tcW w:w="90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1/20/2015</w:t>
            </w:r>
          </w:p>
        </w:tc>
        <w:tc>
          <w:tcPr>
            <w:tcW w:w="1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187,500 1,500,000 3,000,000</w:t>
            </w: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7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RSU</w:t>
            </w:r>
          </w:p>
        </w:tc>
        <w:tc>
          <w:tcPr>
            <w:tcW w:w="88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2/11/2015</w:t>
            </w:r>
          </w:p>
        </w:tc>
        <w:tc>
          <w:tcPr>
            <w:tcW w:w="900" w:type="dxa"/>
            <w:vAlign w:val="bottom"/>
            <w:tcBorders>
              <w:bottom w:val="single" w:sz="8" w:color="auto"/>
            </w:tcBorders>
          </w:tcPr>
          <w:p>
            <w:pPr>
              <w:jc w:val="right"/>
              <w:ind w:right="89"/>
              <w:spacing w:after="0" w:line="155" w:lineRule="exact"/>
              <w:rPr>
                <w:sz w:val="20"/>
                <w:szCs w:val="20"/>
                <w:color w:val="auto"/>
              </w:rPr>
            </w:pPr>
            <w:r>
              <w:rPr>
                <w:rFonts w:ascii="Arial" w:cs="Arial" w:eastAsia="Arial" w:hAnsi="Arial"/>
                <w:sz w:val="14"/>
                <w:szCs w:val="14"/>
                <w:color w:val="auto"/>
              </w:rPr>
              <w:t>1/20/2015</w:t>
            </w:r>
          </w:p>
        </w:tc>
        <w:tc>
          <w:tcPr>
            <w:tcW w:w="7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ind w:left="380"/>
              <w:spacing w:after="0" w:line="155" w:lineRule="exact"/>
              <w:rPr>
                <w:sz w:val="20"/>
                <w:szCs w:val="20"/>
                <w:color w:val="auto"/>
              </w:rPr>
            </w:pPr>
            <w:r>
              <w:rPr>
                <w:rFonts w:ascii="Arial" w:cs="Arial" w:eastAsia="Arial" w:hAnsi="Arial"/>
                <w:sz w:val="14"/>
                <w:szCs w:val="14"/>
                <w:color w:val="auto"/>
              </w:rPr>
              <w:t>29,865</w:t>
            </w:r>
          </w:p>
        </w:tc>
        <w:tc>
          <w:tcPr>
            <w:tcW w:w="8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1,125,015</w:t>
            </w: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7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PSU</w:t>
            </w:r>
          </w:p>
        </w:tc>
        <w:tc>
          <w:tcPr>
            <w:tcW w:w="88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2/11/2015</w:t>
            </w:r>
          </w:p>
        </w:tc>
        <w:tc>
          <w:tcPr>
            <w:tcW w:w="900" w:type="dxa"/>
            <w:vAlign w:val="bottom"/>
            <w:tcBorders>
              <w:bottom w:val="single" w:sz="8" w:color="auto"/>
            </w:tcBorders>
          </w:tcPr>
          <w:p>
            <w:pPr>
              <w:jc w:val="right"/>
              <w:ind w:right="89"/>
              <w:spacing w:after="0" w:line="155" w:lineRule="exact"/>
              <w:rPr>
                <w:sz w:val="20"/>
                <w:szCs w:val="20"/>
                <w:color w:val="auto"/>
              </w:rPr>
            </w:pPr>
            <w:r>
              <w:rPr>
                <w:rFonts w:ascii="Arial" w:cs="Arial" w:eastAsia="Arial" w:hAnsi="Arial"/>
                <w:sz w:val="14"/>
                <w:szCs w:val="14"/>
                <w:color w:val="auto"/>
              </w:rPr>
              <w:t>1/20/2015</w:t>
            </w:r>
          </w:p>
        </w:tc>
        <w:tc>
          <w:tcPr>
            <w:tcW w:w="7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22,399</w:t>
            </w: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89,594</w:t>
            </w:r>
          </w:p>
        </w:tc>
        <w:tc>
          <w:tcPr>
            <w:tcW w:w="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179,188</w:t>
            </w:r>
          </w:p>
        </w:tc>
        <w:tc>
          <w:tcPr>
            <w:tcW w:w="1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3,375,006</w:t>
            </w: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700" w:type="dxa"/>
            <w:vAlign w:val="bottom"/>
          </w:tcPr>
          <w:p>
            <w:pPr>
              <w:spacing w:after="0" w:line="155" w:lineRule="exact"/>
              <w:rPr>
                <w:sz w:val="20"/>
                <w:szCs w:val="20"/>
                <w:color w:val="auto"/>
              </w:rPr>
            </w:pPr>
            <w:r>
              <w:rPr>
                <w:rFonts w:ascii="Arial" w:cs="Arial" w:eastAsia="Arial" w:hAnsi="Arial"/>
                <w:sz w:val="14"/>
                <w:szCs w:val="14"/>
                <w:color w:val="auto"/>
              </w:rPr>
              <w:t>DSV</w:t>
            </w:r>
          </w:p>
        </w:tc>
        <w:tc>
          <w:tcPr>
            <w:tcW w:w="880" w:type="dxa"/>
            <w:vAlign w:val="bottom"/>
          </w:tcPr>
          <w:p>
            <w:pPr>
              <w:jc w:val="right"/>
              <w:ind w:right="28"/>
              <w:spacing w:after="0" w:line="155" w:lineRule="exact"/>
              <w:rPr>
                <w:sz w:val="20"/>
                <w:szCs w:val="20"/>
                <w:color w:val="auto"/>
              </w:rPr>
            </w:pPr>
            <w:r>
              <w:rPr>
                <w:rFonts w:ascii="Arial" w:cs="Arial" w:eastAsia="Arial" w:hAnsi="Arial"/>
                <w:sz w:val="14"/>
                <w:szCs w:val="14"/>
                <w:color w:val="auto"/>
              </w:rPr>
              <w:t>7/28/2015</w:t>
            </w:r>
          </w:p>
        </w:tc>
        <w:tc>
          <w:tcPr>
            <w:tcW w:w="900" w:type="dxa"/>
            <w:vAlign w:val="bottom"/>
          </w:tcPr>
          <w:p>
            <w:pPr>
              <w:jc w:val="right"/>
              <w:ind w:right="89"/>
              <w:spacing w:after="0" w:line="155" w:lineRule="exact"/>
              <w:rPr>
                <w:sz w:val="20"/>
                <w:szCs w:val="20"/>
                <w:color w:val="auto"/>
              </w:rPr>
            </w:pPr>
            <w:r>
              <w:rPr>
                <w:rFonts w:ascii="Arial" w:cs="Arial" w:eastAsia="Arial" w:hAnsi="Arial"/>
                <w:sz w:val="14"/>
                <w:szCs w:val="14"/>
                <w:color w:val="auto"/>
              </w:rPr>
              <w:t>7/28/2015</w:t>
            </w: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585,683</w:t>
            </w: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585,683</w:t>
            </w:r>
          </w:p>
        </w:tc>
        <w:tc>
          <w:tcPr>
            <w:tcW w:w="6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585,683</w:t>
            </w: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20" w:type="dxa"/>
            <w:vAlign w:val="bottom"/>
          </w:tcPr>
          <w:p>
            <w:pPr>
              <w:jc w:val="right"/>
              <w:ind w:right="73"/>
              <w:spacing w:after="0" w:line="155" w:lineRule="exact"/>
              <w:rPr>
                <w:sz w:val="20"/>
                <w:szCs w:val="20"/>
                <w:color w:val="auto"/>
              </w:rPr>
            </w:pPr>
            <w:r>
              <w:rPr>
                <w:rFonts w:ascii="Arial" w:cs="Arial" w:eastAsia="Arial" w:hAnsi="Arial"/>
                <w:sz w:val="14"/>
                <w:szCs w:val="14"/>
                <w:color w:val="auto"/>
              </w:rPr>
              <w:t>390,456</w:t>
            </w:r>
          </w:p>
        </w:tc>
        <w:tc>
          <w:tcPr>
            <w:tcW w:w="760" w:type="dxa"/>
            <w:vAlign w:val="bottom"/>
          </w:tcPr>
          <w:p>
            <w:pPr>
              <w:jc w:val="right"/>
              <w:ind w:right="33"/>
              <w:spacing w:after="0" w:line="155" w:lineRule="exact"/>
              <w:rPr>
                <w:sz w:val="20"/>
                <w:szCs w:val="20"/>
                <w:color w:val="auto"/>
              </w:rPr>
            </w:pPr>
            <w:r>
              <w:rPr>
                <w:rFonts w:ascii="Arial" w:cs="Arial" w:eastAsia="Arial" w:hAnsi="Arial"/>
                <w:sz w:val="14"/>
                <w:szCs w:val="14"/>
                <w:color w:val="auto"/>
              </w:rPr>
              <w:t>31.32</w:t>
            </w: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4,187,636</w:t>
            </w:r>
          </w:p>
        </w:tc>
        <w:tc>
          <w:tcPr>
            <w:tcW w:w="0" w:type="dxa"/>
            <w:vAlign w:val="bottom"/>
          </w:tcPr>
          <w:p>
            <w:pPr>
              <w:spacing w:after="0"/>
              <w:rPr>
                <w:sz w:val="1"/>
                <w:szCs w:val="1"/>
                <w:color w:val="auto"/>
              </w:rPr>
            </w:pPr>
          </w:p>
        </w:tc>
      </w:tr>
      <w:tr>
        <w:trPr>
          <w:trHeight w:val="190"/>
        </w:trPr>
        <w:tc>
          <w:tcPr>
            <w:tcW w:w="10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line="190" w:lineRule="exact"/>
              <w:rPr>
                <w:sz w:val="20"/>
                <w:szCs w:val="20"/>
                <w:color w:val="auto"/>
              </w:rPr>
            </w:pPr>
            <w:r>
              <w:rPr>
                <w:rFonts w:ascii="Arial" w:cs="Arial" w:eastAsia="Arial" w:hAnsi="Arial"/>
                <w:sz w:val="13"/>
                <w:szCs w:val="13"/>
                <w:color w:val="auto"/>
              </w:rPr>
              <w:t>Options</w:t>
            </w:r>
            <w:r>
              <w:rPr>
                <w:rFonts w:ascii="Arial" w:cs="Arial" w:eastAsia="Arial" w:hAnsi="Arial"/>
                <w:sz w:val="21"/>
                <w:szCs w:val="21"/>
                <w:color w:val="auto"/>
                <w:vertAlign w:val="superscript"/>
              </w:rPr>
              <w:t>(2)</w:t>
            </w:r>
          </w:p>
        </w:tc>
        <w:tc>
          <w:tcPr>
            <w:tcW w:w="8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740" w:type="dxa"/>
            <w:vAlign w:val="bottom"/>
            <w:gridSpan w:val="2"/>
          </w:tcPr>
          <w:p>
            <w:pPr>
              <w:ind w:left="60"/>
              <w:spacing w:after="0"/>
              <w:rPr>
                <w:sz w:val="20"/>
                <w:szCs w:val="20"/>
                <w:color w:val="auto"/>
              </w:rPr>
            </w:pPr>
            <w:r>
              <w:rPr>
                <w:rFonts w:ascii="Arial" w:cs="Arial" w:eastAsia="Arial" w:hAnsi="Arial"/>
                <w:sz w:val="14"/>
                <w:szCs w:val="14"/>
                <w:color w:val="auto"/>
              </w:rPr>
              <w:t>Mark L. Reuss STIP</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1/20/2015</w:t>
            </w:r>
          </w:p>
        </w:tc>
        <w:tc>
          <w:tcPr>
            <w:tcW w:w="900" w:type="dxa"/>
            <w:vAlign w:val="bottom"/>
          </w:tcPr>
          <w:p>
            <w:pPr>
              <w:jc w:val="right"/>
              <w:ind w:right="89"/>
              <w:spacing w:after="0"/>
              <w:rPr>
                <w:sz w:val="20"/>
                <w:szCs w:val="20"/>
                <w:color w:val="auto"/>
              </w:rPr>
            </w:pPr>
            <w:r>
              <w:rPr>
                <w:rFonts w:ascii="Arial" w:cs="Arial" w:eastAsia="Arial" w:hAnsi="Arial"/>
                <w:sz w:val="14"/>
                <w:szCs w:val="14"/>
                <w:color w:val="auto"/>
              </w:rPr>
              <w:t>1/20/2015</w:t>
            </w:r>
          </w:p>
        </w:tc>
        <w:tc>
          <w:tcPr>
            <w:tcW w:w="1980" w:type="dxa"/>
            <w:vAlign w:val="bottom"/>
            <w:gridSpan w:val="3"/>
          </w:tcPr>
          <w:p>
            <w:pPr>
              <w:jc w:val="right"/>
              <w:spacing w:after="0"/>
              <w:rPr>
                <w:sz w:val="20"/>
                <w:szCs w:val="20"/>
                <w:color w:val="auto"/>
              </w:rPr>
            </w:pPr>
            <w:r>
              <w:rPr>
                <w:rFonts w:ascii="Arial" w:cs="Arial" w:eastAsia="Arial" w:hAnsi="Arial"/>
                <w:sz w:val="14"/>
                <w:szCs w:val="14"/>
                <w:color w:val="auto"/>
              </w:rPr>
              <w:t>171,875 1,375,000 2,750,000</w:t>
            </w: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7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RSU</w:t>
            </w:r>
          </w:p>
        </w:tc>
        <w:tc>
          <w:tcPr>
            <w:tcW w:w="88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2/11/2015</w:t>
            </w:r>
          </w:p>
        </w:tc>
        <w:tc>
          <w:tcPr>
            <w:tcW w:w="900" w:type="dxa"/>
            <w:vAlign w:val="bottom"/>
            <w:tcBorders>
              <w:top w:val="single" w:sz="8" w:color="auto"/>
              <w:bottom w:val="single" w:sz="8" w:color="auto"/>
            </w:tcBorders>
          </w:tcPr>
          <w:p>
            <w:pPr>
              <w:jc w:val="right"/>
              <w:ind w:right="89"/>
              <w:spacing w:after="0" w:line="155" w:lineRule="exact"/>
              <w:rPr>
                <w:sz w:val="20"/>
                <w:szCs w:val="20"/>
                <w:color w:val="auto"/>
              </w:rPr>
            </w:pPr>
            <w:r>
              <w:rPr>
                <w:rFonts w:ascii="Arial" w:cs="Arial" w:eastAsia="Arial" w:hAnsi="Arial"/>
                <w:sz w:val="14"/>
                <w:szCs w:val="14"/>
                <w:color w:val="auto"/>
              </w:rPr>
              <w:t>1/20/2015</w:t>
            </w:r>
          </w:p>
        </w:tc>
        <w:tc>
          <w:tcPr>
            <w:tcW w:w="70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ind w:left="380"/>
              <w:spacing w:after="0" w:line="155" w:lineRule="exact"/>
              <w:rPr>
                <w:sz w:val="20"/>
                <w:szCs w:val="20"/>
                <w:color w:val="auto"/>
              </w:rPr>
            </w:pPr>
            <w:r>
              <w:rPr>
                <w:rFonts w:ascii="Arial" w:cs="Arial" w:eastAsia="Arial" w:hAnsi="Arial"/>
                <w:sz w:val="14"/>
                <w:szCs w:val="14"/>
                <w:color w:val="auto"/>
              </w:rPr>
              <w:t>25,385</w:t>
            </w:r>
          </w:p>
        </w:tc>
        <w:tc>
          <w:tcPr>
            <w:tcW w:w="82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956,253</w:t>
            </w: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7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PSU</w:t>
            </w:r>
          </w:p>
        </w:tc>
        <w:tc>
          <w:tcPr>
            <w:tcW w:w="88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2/11/2015</w:t>
            </w:r>
          </w:p>
        </w:tc>
        <w:tc>
          <w:tcPr>
            <w:tcW w:w="900" w:type="dxa"/>
            <w:vAlign w:val="bottom"/>
            <w:tcBorders>
              <w:bottom w:val="single" w:sz="8" w:color="auto"/>
            </w:tcBorders>
          </w:tcPr>
          <w:p>
            <w:pPr>
              <w:jc w:val="right"/>
              <w:ind w:right="89"/>
              <w:spacing w:after="0" w:line="155" w:lineRule="exact"/>
              <w:rPr>
                <w:sz w:val="20"/>
                <w:szCs w:val="20"/>
                <w:color w:val="auto"/>
              </w:rPr>
            </w:pPr>
            <w:r>
              <w:rPr>
                <w:rFonts w:ascii="Arial" w:cs="Arial" w:eastAsia="Arial" w:hAnsi="Arial"/>
                <w:sz w:val="14"/>
                <w:szCs w:val="14"/>
                <w:color w:val="auto"/>
              </w:rPr>
              <w:t>1/20/2015</w:t>
            </w:r>
          </w:p>
        </w:tc>
        <w:tc>
          <w:tcPr>
            <w:tcW w:w="7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19,039</w:t>
            </w: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76,155</w:t>
            </w:r>
          </w:p>
        </w:tc>
        <w:tc>
          <w:tcPr>
            <w:tcW w:w="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152,310</w:t>
            </w:r>
          </w:p>
        </w:tc>
        <w:tc>
          <w:tcPr>
            <w:tcW w:w="1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2,868,759</w:t>
            </w: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700" w:type="dxa"/>
            <w:vAlign w:val="bottom"/>
          </w:tcPr>
          <w:p>
            <w:pPr>
              <w:spacing w:after="0" w:line="155" w:lineRule="exact"/>
              <w:rPr>
                <w:sz w:val="20"/>
                <w:szCs w:val="20"/>
                <w:color w:val="auto"/>
              </w:rPr>
            </w:pPr>
            <w:r>
              <w:rPr>
                <w:rFonts w:ascii="Arial" w:cs="Arial" w:eastAsia="Arial" w:hAnsi="Arial"/>
                <w:sz w:val="14"/>
                <w:szCs w:val="14"/>
                <w:color w:val="auto"/>
              </w:rPr>
              <w:t>DSV</w:t>
            </w:r>
          </w:p>
        </w:tc>
        <w:tc>
          <w:tcPr>
            <w:tcW w:w="880" w:type="dxa"/>
            <w:vAlign w:val="bottom"/>
          </w:tcPr>
          <w:p>
            <w:pPr>
              <w:jc w:val="right"/>
              <w:ind w:right="28"/>
              <w:spacing w:after="0" w:line="155" w:lineRule="exact"/>
              <w:rPr>
                <w:sz w:val="20"/>
                <w:szCs w:val="20"/>
                <w:color w:val="auto"/>
              </w:rPr>
            </w:pPr>
            <w:r>
              <w:rPr>
                <w:rFonts w:ascii="Arial" w:cs="Arial" w:eastAsia="Arial" w:hAnsi="Arial"/>
                <w:sz w:val="14"/>
                <w:szCs w:val="14"/>
                <w:color w:val="auto"/>
              </w:rPr>
              <w:t>7/28/2015</w:t>
            </w:r>
          </w:p>
        </w:tc>
        <w:tc>
          <w:tcPr>
            <w:tcW w:w="900" w:type="dxa"/>
            <w:vAlign w:val="bottom"/>
          </w:tcPr>
          <w:p>
            <w:pPr>
              <w:jc w:val="right"/>
              <w:ind w:right="89"/>
              <w:spacing w:after="0" w:line="155" w:lineRule="exact"/>
              <w:rPr>
                <w:sz w:val="20"/>
                <w:szCs w:val="20"/>
                <w:color w:val="auto"/>
              </w:rPr>
            </w:pPr>
            <w:r>
              <w:rPr>
                <w:rFonts w:ascii="Arial" w:cs="Arial" w:eastAsia="Arial" w:hAnsi="Arial"/>
                <w:sz w:val="14"/>
                <w:szCs w:val="14"/>
                <w:color w:val="auto"/>
              </w:rPr>
              <w:t>7/28/2015</w:t>
            </w: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497,831</w:t>
            </w: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497,831</w:t>
            </w:r>
          </w:p>
        </w:tc>
        <w:tc>
          <w:tcPr>
            <w:tcW w:w="6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497,831</w:t>
            </w: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20" w:type="dxa"/>
            <w:vAlign w:val="bottom"/>
          </w:tcPr>
          <w:p>
            <w:pPr>
              <w:jc w:val="right"/>
              <w:ind w:right="73"/>
              <w:spacing w:after="0" w:line="155" w:lineRule="exact"/>
              <w:rPr>
                <w:sz w:val="20"/>
                <w:szCs w:val="20"/>
                <w:color w:val="auto"/>
              </w:rPr>
            </w:pPr>
            <w:r>
              <w:rPr>
                <w:rFonts w:ascii="Arial" w:cs="Arial" w:eastAsia="Arial" w:hAnsi="Arial"/>
                <w:sz w:val="14"/>
                <w:szCs w:val="14"/>
                <w:color w:val="auto"/>
              </w:rPr>
              <w:t>331,888</w:t>
            </w:r>
          </w:p>
        </w:tc>
        <w:tc>
          <w:tcPr>
            <w:tcW w:w="760" w:type="dxa"/>
            <w:vAlign w:val="bottom"/>
          </w:tcPr>
          <w:p>
            <w:pPr>
              <w:jc w:val="right"/>
              <w:ind w:right="33"/>
              <w:spacing w:after="0" w:line="155" w:lineRule="exact"/>
              <w:rPr>
                <w:sz w:val="20"/>
                <w:szCs w:val="20"/>
                <w:color w:val="auto"/>
              </w:rPr>
            </w:pPr>
            <w:r>
              <w:rPr>
                <w:rFonts w:ascii="Arial" w:cs="Arial" w:eastAsia="Arial" w:hAnsi="Arial"/>
                <w:sz w:val="14"/>
                <w:szCs w:val="14"/>
                <w:color w:val="auto"/>
              </w:rPr>
              <w:t>31.32</w:t>
            </w: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3,559,495</w:t>
            </w:r>
          </w:p>
        </w:tc>
        <w:tc>
          <w:tcPr>
            <w:tcW w:w="0" w:type="dxa"/>
            <w:vAlign w:val="bottom"/>
          </w:tcPr>
          <w:p>
            <w:pPr>
              <w:spacing w:after="0"/>
              <w:rPr>
                <w:sz w:val="1"/>
                <w:szCs w:val="1"/>
                <w:color w:val="auto"/>
              </w:rPr>
            </w:pPr>
          </w:p>
        </w:tc>
      </w:tr>
      <w:tr>
        <w:trPr>
          <w:trHeight w:val="190"/>
        </w:trPr>
        <w:tc>
          <w:tcPr>
            <w:tcW w:w="10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line="190" w:lineRule="exact"/>
              <w:rPr>
                <w:sz w:val="20"/>
                <w:szCs w:val="20"/>
                <w:color w:val="auto"/>
              </w:rPr>
            </w:pPr>
            <w:r>
              <w:rPr>
                <w:rFonts w:ascii="Arial" w:cs="Arial" w:eastAsia="Arial" w:hAnsi="Arial"/>
                <w:sz w:val="13"/>
                <w:szCs w:val="13"/>
                <w:color w:val="auto"/>
              </w:rPr>
              <w:t>Options</w:t>
            </w:r>
            <w:r>
              <w:rPr>
                <w:rFonts w:ascii="Arial" w:cs="Arial" w:eastAsia="Arial" w:hAnsi="Arial"/>
                <w:sz w:val="21"/>
                <w:szCs w:val="21"/>
                <w:color w:val="auto"/>
                <w:vertAlign w:val="superscript"/>
              </w:rPr>
              <w:t>(2)</w:t>
            </w:r>
          </w:p>
        </w:tc>
        <w:tc>
          <w:tcPr>
            <w:tcW w:w="8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1040" w:type="dxa"/>
            <w:vAlign w:val="bottom"/>
          </w:tcPr>
          <w:p>
            <w:pPr>
              <w:ind w:left="60"/>
              <w:spacing w:after="0"/>
              <w:rPr>
                <w:sz w:val="20"/>
                <w:szCs w:val="20"/>
                <w:color w:val="auto"/>
              </w:rPr>
            </w:pPr>
            <w:r>
              <w:rPr>
                <w:rFonts w:ascii="Arial" w:cs="Arial" w:eastAsia="Arial" w:hAnsi="Arial"/>
                <w:sz w:val="14"/>
                <w:szCs w:val="14"/>
                <w:color w:val="auto"/>
              </w:rPr>
              <w:t>Craig B.</w:t>
            </w:r>
          </w:p>
        </w:tc>
        <w:tc>
          <w:tcPr>
            <w:tcW w:w="700" w:type="dxa"/>
            <w:vAlign w:val="bottom"/>
          </w:tcPr>
          <w:p>
            <w:pPr>
              <w:spacing w:after="0"/>
              <w:rPr>
                <w:sz w:val="20"/>
                <w:szCs w:val="20"/>
                <w:color w:val="auto"/>
              </w:rPr>
            </w:pPr>
            <w:r>
              <w:rPr>
                <w:rFonts w:ascii="Arial" w:cs="Arial" w:eastAsia="Arial" w:hAnsi="Arial"/>
                <w:sz w:val="14"/>
                <w:szCs w:val="14"/>
                <w:color w:val="auto"/>
              </w:rPr>
              <w:t>STIP</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1/20/2015</w:t>
            </w:r>
          </w:p>
        </w:tc>
        <w:tc>
          <w:tcPr>
            <w:tcW w:w="900" w:type="dxa"/>
            <w:vAlign w:val="bottom"/>
          </w:tcPr>
          <w:p>
            <w:pPr>
              <w:jc w:val="right"/>
              <w:ind w:right="89"/>
              <w:spacing w:after="0"/>
              <w:rPr>
                <w:sz w:val="20"/>
                <w:szCs w:val="20"/>
                <w:color w:val="auto"/>
              </w:rPr>
            </w:pPr>
            <w:r>
              <w:rPr>
                <w:rFonts w:ascii="Arial" w:cs="Arial" w:eastAsia="Arial" w:hAnsi="Arial"/>
                <w:sz w:val="14"/>
                <w:szCs w:val="14"/>
                <w:color w:val="auto"/>
              </w:rPr>
              <w:t>1/20/2015</w:t>
            </w:r>
          </w:p>
        </w:tc>
        <w:tc>
          <w:tcPr>
            <w:tcW w:w="700" w:type="dxa"/>
            <w:vAlign w:val="bottom"/>
          </w:tcPr>
          <w:p>
            <w:pPr>
              <w:jc w:val="right"/>
              <w:ind w:right="13"/>
              <w:spacing w:after="0"/>
              <w:rPr>
                <w:sz w:val="20"/>
                <w:szCs w:val="20"/>
                <w:color w:val="auto"/>
              </w:rPr>
            </w:pPr>
            <w:r>
              <w:rPr>
                <w:rFonts w:ascii="Arial" w:cs="Arial" w:eastAsia="Arial" w:hAnsi="Arial"/>
                <w:sz w:val="14"/>
                <w:szCs w:val="14"/>
                <w:color w:val="auto"/>
              </w:rPr>
              <w:t>109,375</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875,000 1,750,000</w:t>
            </w: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040" w:type="dxa"/>
            <w:vAlign w:val="bottom"/>
          </w:tcPr>
          <w:p>
            <w:pPr>
              <w:ind w:left="60"/>
              <w:spacing w:after="0"/>
              <w:rPr>
                <w:sz w:val="20"/>
                <w:szCs w:val="20"/>
                <w:color w:val="auto"/>
              </w:rPr>
            </w:pPr>
            <w:r>
              <w:rPr>
                <w:rFonts w:ascii="Arial" w:cs="Arial" w:eastAsia="Arial" w:hAnsi="Arial"/>
                <w:sz w:val="14"/>
                <w:szCs w:val="14"/>
                <w:color w:val="auto"/>
              </w:rPr>
              <w:t>Glidden</w:t>
            </w:r>
          </w:p>
        </w:tc>
        <w:tc>
          <w:tcPr>
            <w:tcW w:w="7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7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RSU</w:t>
            </w:r>
          </w:p>
        </w:tc>
        <w:tc>
          <w:tcPr>
            <w:tcW w:w="88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4/1/2015</w:t>
            </w:r>
          </w:p>
        </w:tc>
        <w:tc>
          <w:tcPr>
            <w:tcW w:w="900" w:type="dxa"/>
            <w:vAlign w:val="bottom"/>
            <w:tcBorders>
              <w:bottom w:val="single" w:sz="8" w:color="auto"/>
            </w:tcBorders>
          </w:tcPr>
          <w:p>
            <w:pPr>
              <w:jc w:val="right"/>
              <w:ind w:right="89"/>
              <w:spacing w:after="0" w:line="155" w:lineRule="exact"/>
              <w:rPr>
                <w:sz w:val="20"/>
                <w:szCs w:val="20"/>
                <w:color w:val="auto"/>
              </w:rPr>
            </w:pPr>
            <w:r>
              <w:rPr>
                <w:rFonts w:ascii="Arial" w:cs="Arial" w:eastAsia="Arial" w:hAnsi="Arial"/>
                <w:sz w:val="14"/>
                <w:szCs w:val="14"/>
                <w:color w:val="auto"/>
              </w:rPr>
              <w:t>1/20/2015</w:t>
            </w:r>
          </w:p>
        </w:tc>
        <w:tc>
          <w:tcPr>
            <w:tcW w:w="7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ind w:left="380"/>
              <w:spacing w:after="0" w:line="155" w:lineRule="exact"/>
              <w:rPr>
                <w:sz w:val="20"/>
                <w:szCs w:val="20"/>
                <w:color w:val="auto"/>
              </w:rPr>
            </w:pPr>
            <w:r>
              <w:rPr>
                <w:rFonts w:ascii="Arial" w:cs="Arial" w:eastAsia="Arial" w:hAnsi="Arial"/>
                <w:sz w:val="14"/>
                <w:szCs w:val="14"/>
                <w:color w:val="auto"/>
              </w:rPr>
              <w:t>13,099</w:t>
            </w:r>
          </w:p>
        </w:tc>
        <w:tc>
          <w:tcPr>
            <w:tcW w:w="8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481,257</w:t>
            </w: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RSU</w:t>
            </w: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4/1/2015</w:t>
            </w:r>
          </w:p>
        </w:tc>
        <w:tc>
          <w:tcPr>
            <w:tcW w:w="90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1/20/2015</w:t>
            </w:r>
          </w:p>
        </w:tc>
        <w:tc>
          <w:tcPr>
            <w:tcW w:w="7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ind w:left="380"/>
              <w:spacing w:after="0" w:line="183" w:lineRule="exact"/>
              <w:rPr>
                <w:sz w:val="20"/>
                <w:szCs w:val="20"/>
                <w:color w:val="auto"/>
              </w:rPr>
            </w:pPr>
            <w:r>
              <w:rPr>
                <w:rFonts w:ascii="Arial" w:cs="Arial" w:eastAsia="Arial" w:hAnsi="Arial"/>
                <w:sz w:val="13"/>
                <w:szCs w:val="13"/>
                <w:color w:val="auto"/>
              </w:rPr>
              <w:t>69,407</w:t>
            </w:r>
            <w:r>
              <w:rPr>
                <w:rFonts w:ascii="Arial" w:cs="Arial" w:eastAsia="Arial" w:hAnsi="Arial"/>
                <w:sz w:val="21"/>
                <w:szCs w:val="21"/>
                <w:color w:val="auto"/>
                <w:vertAlign w:val="superscript"/>
              </w:rPr>
              <w:t>(3)</w:t>
            </w:r>
          </w:p>
        </w:tc>
        <w:tc>
          <w:tcPr>
            <w:tcW w:w="8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2,550,013</w:t>
            </w: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7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PSU</w:t>
            </w:r>
          </w:p>
        </w:tc>
        <w:tc>
          <w:tcPr>
            <w:tcW w:w="88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4/1/2015</w:t>
            </w:r>
          </w:p>
        </w:tc>
        <w:tc>
          <w:tcPr>
            <w:tcW w:w="900" w:type="dxa"/>
            <w:vAlign w:val="bottom"/>
            <w:tcBorders>
              <w:bottom w:val="single" w:sz="8" w:color="auto"/>
            </w:tcBorders>
          </w:tcPr>
          <w:p>
            <w:pPr>
              <w:jc w:val="right"/>
              <w:ind w:right="89"/>
              <w:spacing w:after="0" w:line="155" w:lineRule="exact"/>
              <w:rPr>
                <w:sz w:val="20"/>
                <w:szCs w:val="20"/>
                <w:color w:val="auto"/>
              </w:rPr>
            </w:pPr>
            <w:r>
              <w:rPr>
                <w:rFonts w:ascii="Arial" w:cs="Arial" w:eastAsia="Arial" w:hAnsi="Arial"/>
                <w:sz w:val="14"/>
                <w:szCs w:val="14"/>
                <w:color w:val="auto"/>
              </w:rPr>
              <w:t>1/20/2015</w:t>
            </w:r>
          </w:p>
        </w:tc>
        <w:tc>
          <w:tcPr>
            <w:tcW w:w="7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9,825</w:t>
            </w: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39,297</w:t>
            </w:r>
          </w:p>
        </w:tc>
        <w:tc>
          <w:tcPr>
            <w:tcW w:w="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2"/>
          </w:tcPr>
          <w:p>
            <w:pPr>
              <w:jc w:val="right"/>
              <w:ind w:right="180"/>
              <w:spacing w:after="0" w:line="155" w:lineRule="exact"/>
              <w:rPr>
                <w:sz w:val="20"/>
                <w:szCs w:val="20"/>
                <w:color w:val="auto"/>
              </w:rPr>
            </w:pPr>
            <w:r>
              <w:rPr>
                <w:rFonts w:ascii="Arial" w:cs="Arial" w:eastAsia="Arial" w:hAnsi="Arial"/>
                <w:sz w:val="14"/>
                <w:szCs w:val="14"/>
                <w:color w:val="auto"/>
              </w:rPr>
              <w:t>78,594</w:t>
            </w:r>
          </w:p>
        </w:tc>
        <w:tc>
          <w:tcPr>
            <w:tcW w:w="9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1,443,772</w:t>
            </w: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700" w:type="dxa"/>
            <w:vAlign w:val="bottom"/>
          </w:tcPr>
          <w:p>
            <w:pPr>
              <w:spacing w:after="0" w:line="155" w:lineRule="exact"/>
              <w:rPr>
                <w:sz w:val="20"/>
                <w:szCs w:val="20"/>
                <w:color w:val="auto"/>
              </w:rPr>
            </w:pPr>
            <w:r>
              <w:rPr>
                <w:rFonts w:ascii="Arial" w:cs="Arial" w:eastAsia="Arial" w:hAnsi="Arial"/>
                <w:sz w:val="14"/>
                <w:szCs w:val="14"/>
                <w:color w:val="auto"/>
              </w:rPr>
              <w:t>DSV</w:t>
            </w:r>
          </w:p>
        </w:tc>
        <w:tc>
          <w:tcPr>
            <w:tcW w:w="880" w:type="dxa"/>
            <w:vAlign w:val="bottom"/>
          </w:tcPr>
          <w:p>
            <w:pPr>
              <w:jc w:val="right"/>
              <w:ind w:right="28"/>
              <w:spacing w:after="0" w:line="155" w:lineRule="exact"/>
              <w:rPr>
                <w:sz w:val="20"/>
                <w:szCs w:val="20"/>
                <w:color w:val="auto"/>
              </w:rPr>
            </w:pPr>
            <w:r>
              <w:rPr>
                <w:rFonts w:ascii="Arial" w:cs="Arial" w:eastAsia="Arial" w:hAnsi="Arial"/>
                <w:sz w:val="14"/>
                <w:szCs w:val="14"/>
                <w:color w:val="auto"/>
              </w:rPr>
              <w:t>7/28/2015</w:t>
            </w:r>
          </w:p>
        </w:tc>
        <w:tc>
          <w:tcPr>
            <w:tcW w:w="900" w:type="dxa"/>
            <w:vAlign w:val="bottom"/>
          </w:tcPr>
          <w:p>
            <w:pPr>
              <w:jc w:val="right"/>
              <w:ind w:right="89"/>
              <w:spacing w:after="0" w:line="155" w:lineRule="exact"/>
              <w:rPr>
                <w:sz w:val="20"/>
                <w:szCs w:val="20"/>
                <w:color w:val="auto"/>
              </w:rPr>
            </w:pPr>
            <w:r>
              <w:rPr>
                <w:rFonts w:ascii="Arial" w:cs="Arial" w:eastAsia="Arial" w:hAnsi="Arial"/>
                <w:sz w:val="14"/>
                <w:szCs w:val="14"/>
                <w:color w:val="auto"/>
              </w:rPr>
              <w:t>7/28/2015</w:t>
            </w: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250,542</w:t>
            </w: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250,542</w:t>
            </w:r>
          </w:p>
        </w:tc>
        <w:tc>
          <w:tcPr>
            <w:tcW w:w="6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250,542</w:t>
            </w: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20" w:type="dxa"/>
            <w:vAlign w:val="bottom"/>
          </w:tcPr>
          <w:p>
            <w:pPr>
              <w:jc w:val="right"/>
              <w:ind w:right="73"/>
              <w:spacing w:after="0" w:line="155" w:lineRule="exact"/>
              <w:rPr>
                <w:sz w:val="20"/>
                <w:szCs w:val="20"/>
                <w:color w:val="auto"/>
              </w:rPr>
            </w:pPr>
            <w:r>
              <w:rPr>
                <w:rFonts w:ascii="Arial" w:cs="Arial" w:eastAsia="Arial" w:hAnsi="Arial"/>
                <w:sz w:val="14"/>
                <w:szCs w:val="14"/>
                <w:color w:val="auto"/>
              </w:rPr>
              <w:t>167,029</w:t>
            </w:r>
          </w:p>
        </w:tc>
        <w:tc>
          <w:tcPr>
            <w:tcW w:w="760" w:type="dxa"/>
            <w:vAlign w:val="bottom"/>
          </w:tcPr>
          <w:p>
            <w:pPr>
              <w:jc w:val="right"/>
              <w:ind w:right="33"/>
              <w:spacing w:after="0" w:line="155" w:lineRule="exact"/>
              <w:rPr>
                <w:sz w:val="20"/>
                <w:szCs w:val="20"/>
                <w:color w:val="auto"/>
              </w:rPr>
            </w:pPr>
            <w:r>
              <w:rPr>
                <w:rFonts w:ascii="Arial" w:cs="Arial" w:eastAsia="Arial" w:hAnsi="Arial"/>
                <w:sz w:val="14"/>
                <w:szCs w:val="14"/>
                <w:color w:val="auto"/>
              </w:rPr>
              <w:t>31.32</w:t>
            </w: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1,791,380</w:t>
            </w:r>
          </w:p>
        </w:tc>
        <w:tc>
          <w:tcPr>
            <w:tcW w:w="0" w:type="dxa"/>
            <w:vAlign w:val="bottom"/>
          </w:tcPr>
          <w:p>
            <w:pPr>
              <w:spacing w:after="0"/>
              <w:rPr>
                <w:sz w:val="1"/>
                <w:szCs w:val="1"/>
                <w:color w:val="auto"/>
              </w:rPr>
            </w:pPr>
          </w:p>
        </w:tc>
      </w:tr>
      <w:tr>
        <w:trPr>
          <w:trHeight w:val="197"/>
        </w:trPr>
        <w:tc>
          <w:tcPr>
            <w:tcW w:w="1040" w:type="dxa"/>
            <w:vAlign w:val="bottom"/>
            <w:tcBorders>
              <w:bottom w:val="single" w:sz="8" w:color="08228B"/>
            </w:tcBorders>
          </w:tcPr>
          <w:p>
            <w:pPr>
              <w:spacing w:after="0"/>
              <w:rPr>
                <w:sz w:val="17"/>
                <w:szCs w:val="17"/>
                <w:color w:val="auto"/>
              </w:rPr>
            </w:pPr>
          </w:p>
        </w:tc>
        <w:tc>
          <w:tcPr>
            <w:tcW w:w="700" w:type="dxa"/>
            <w:vAlign w:val="bottom"/>
            <w:tcBorders>
              <w:bottom w:val="single" w:sz="8" w:color="08228B"/>
            </w:tcBorders>
          </w:tcPr>
          <w:p>
            <w:pPr>
              <w:spacing w:after="0" w:line="190" w:lineRule="exact"/>
              <w:rPr>
                <w:sz w:val="20"/>
                <w:szCs w:val="20"/>
                <w:color w:val="auto"/>
              </w:rPr>
            </w:pPr>
            <w:r>
              <w:rPr>
                <w:rFonts w:ascii="Arial" w:cs="Arial" w:eastAsia="Arial" w:hAnsi="Arial"/>
                <w:sz w:val="13"/>
                <w:szCs w:val="13"/>
                <w:color w:val="auto"/>
              </w:rPr>
              <w:t>Options</w:t>
            </w:r>
            <w:r>
              <w:rPr>
                <w:rFonts w:ascii="Arial" w:cs="Arial" w:eastAsia="Arial" w:hAnsi="Arial"/>
                <w:sz w:val="21"/>
                <w:szCs w:val="21"/>
                <w:color w:val="auto"/>
                <w:vertAlign w:val="superscript"/>
              </w:rPr>
              <w:t>(2)</w:t>
            </w:r>
          </w:p>
        </w:tc>
        <w:tc>
          <w:tcPr>
            <w:tcW w:w="880" w:type="dxa"/>
            <w:vAlign w:val="bottom"/>
            <w:tcBorders>
              <w:bottom w:val="single" w:sz="8" w:color="08228B"/>
            </w:tcBorders>
          </w:tcPr>
          <w:p>
            <w:pPr>
              <w:spacing w:after="0"/>
              <w:rPr>
                <w:sz w:val="17"/>
                <w:szCs w:val="17"/>
                <w:color w:val="auto"/>
              </w:rPr>
            </w:pPr>
          </w:p>
        </w:tc>
        <w:tc>
          <w:tcPr>
            <w:tcW w:w="900" w:type="dxa"/>
            <w:vAlign w:val="bottom"/>
            <w:tcBorders>
              <w:bottom w:val="single" w:sz="8" w:color="08228B"/>
            </w:tcBorders>
          </w:tcPr>
          <w:p>
            <w:pPr>
              <w:spacing w:after="0"/>
              <w:rPr>
                <w:sz w:val="17"/>
                <w:szCs w:val="17"/>
                <w:color w:val="auto"/>
              </w:rPr>
            </w:pPr>
          </w:p>
        </w:tc>
        <w:tc>
          <w:tcPr>
            <w:tcW w:w="700" w:type="dxa"/>
            <w:vAlign w:val="bottom"/>
            <w:tcBorders>
              <w:bottom w:val="single" w:sz="8" w:color="08228B"/>
            </w:tcBorders>
          </w:tcPr>
          <w:p>
            <w:pPr>
              <w:spacing w:after="0"/>
              <w:rPr>
                <w:sz w:val="17"/>
                <w:szCs w:val="17"/>
                <w:color w:val="auto"/>
              </w:rPr>
            </w:pPr>
          </w:p>
        </w:tc>
        <w:tc>
          <w:tcPr>
            <w:tcW w:w="680" w:type="dxa"/>
            <w:vAlign w:val="bottom"/>
            <w:tcBorders>
              <w:bottom w:val="single" w:sz="8" w:color="08228B"/>
            </w:tcBorders>
          </w:tcPr>
          <w:p>
            <w:pPr>
              <w:spacing w:after="0"/>
              <w:rPr>
                <w:sz w:val="17"/>
                <w:szCs w:val="17"/>
                <w:color w:val="auto"/>
              </w:rPr>
            </w:pPr>
          </w:p>
        </w:tc>
        <w:tc>
          <w:tcPr>
            <w:tcW w:w="600" w:type="dxa"/>
            <w:vAlign w:val="bottom"/>
            <w:tcBorders>
              <w:bottom w:val="single" w:sz="8" w:color="08228B"/>
            </w:tcBorders>
          </w:tcPr>
          <w:p>
            <w:pPr>
              <w:spacing w:after="0"/>
              <w:rPr>
                <w:sz w:val="17"/>
                <w:szCs w:val="17"/>
                <w:color w:val="auto"/>
              </w:rPr>
            </w:pPr>
          </w:p>
        </w:tc>
        <w:tc>
          <w:tcPr>
            <w:tcW w:w="160" w:type="dxa"/>
            <w:vAlign w:val="bottom"/>
            <w:tcBorders>
              <w:bottom w:val="single" w:sz="8" w:color="08228B"/>
            </w:tcBorders>
          </w:tcPr>
          <w:p>
            <w:pPr>
              <w:spacing w:after="0"/>
              <w:rPr>
                <w:sz w:val="17"/>
                <w:szCs w:val="17"/>
                <w:color w:val="auto"/>
              </w:rPr>
            </w:pPr>
          </w:p>
        </w:tc>
        <w:tc>
          <w:tcPr>
            <w:tcW w:w="680" w:type="dxa"/>
            <w:vAlign w:val="bottom"/>
            <w:tcBorders>
              <w:bottom w:val="single" w:sz="8" w:color="08228B"/>
            </w:tcBorders>
          </w:tcPr>
          <w:p>
            <w:pPr>
              <w:spacing w:after="0"/>
              <w:rPr>
                <w:sz w:val="17"/>
                <w:szCs w:val="17"/>
                <w:color w:val="auto"/>
              </w:rPr>
            </w:pPr>
          </w:p>
        </w:tc>
        <w:tc>
          <w:tcPr>
            <w:tcW w:w="680" w:type="dxa"/>
            <w:vAlign w:val="bottom"/>
            <w:tcBorders>
              <w:bottom w:val="single" w:sz="8" w:color="08228B"/>
            </w:tcBorders>
          </w:tcPr>
          <w:p>
            <w:pPr>
              <w:spacing w:after="0"/>
              <w:rPr>
                <w:sz w:val="17"/>
                <w:szCs w:val="17"/>
                <w:color w:val="auto"/>
              </w:rPr>
            </w:pPr>
          </w:p>
        </w:tc>
        <w:tc>
          <w:tcPr>
            <w:tcW w:w="60" w:type="dxa"/>
            <w:vAlign w:val="bottom"/>
            <w:tcBorders>
              <w:bottom w:val="single" w:sz="8" w:color="08228B"/>
            </w:tcBorders>
          </w:tcPr>
          <w:p>
            <w:pPr>
              <w:spacing w:after="0"/>
              <w:rPr>
                <w:sz w:val="17"/>
                <w:szCs w:val="17"/>
                <w:color w:val="auto"/>
              </w:rPr>
            </w:pPr>
          </w:p>
        </w:tc>
        <w:tc>
          <w:tcPr>
            <w:tcW w:w="600" w:type="dxa"/>
            <w:vAlign w:val="bottom"/>
            <w:tcBorders>
              <w:bottom w:val="single" w:sz="8" w:color="08228B"/>
            </w:tcBorders>
          </w:tcPr>
          <w:p>
            <w:pPr>
              <w:spacing w:after="0"/>
              <w:rPr>
                <w:sz w:val="17"/>
                <w:szCs w:val="17"/>
                <w:color w:val="auto"/>
              </w:rPr>
            </w:pPr>
          </w:p>
        </w:tc>
        <w:tc>
          <w:tcPr>
            <w:tcW w:w="180" w:type="dxa"/>
            <w:vAlign w:val="bottom"/>
            <w:tcBorders>
              <w:bottom w:val="single" w:sz="8" w:color="08228B"/>
            </w:tcBorders>
          </w:tcPr>
          <w:p>
            <w:pPr>
              <w:spacing w:after="0"/>
              <w:rPr>
                <w:sz w:val="17"/>
                <w:szCs w:val="17"/>
                <w:color w:val="auto"/>
              </w:rPr>
            </w:pPr>
          </w:p>
        </w:tc>
        <w:tc>
          <w:tcPr>
            <w:tcW w:w="980" w:type="dxa"/>
            <w:vAlign w:val="bottom"/>
            <w:tcBorders>
              <w:bottom w:val="single" w:sz="8" w:color="08228B"/>
            </w:tcBorders>
          </w:tcPr>
          <w:p>
            <w:pPr>
              <w:spacing w:after="0"/>
              <w:rPr>
                <w:sz w:val="17"/>
                <w:szCs w:val="17"/>
                <w:color w:val="auto"/>
              </w:rPr>
            </w:pPr>
          </w:p>
        </w:tc>
        <w:tc>
          <w:tcPr>
            <w:tcW w:w="820" w:type="dxa"/>
            <w:vAlign w:val="bottom"/>
            <w:tcBorders>
              <w:bottom w:val="single" w:sz="8" w:color="08228B"/>
            </w:tcBorders>
          </w:tcPr>
          <w:p>
            <w:pPr>
              <w:spacing w:after="0"/>
              <w:rPr>
                <w:sz w:val="17"/>
                <w:szCs w:val="17"/>
                <w:color w:val="auto"/>
              </w:rPr>
            </w:pPr>
          </w:p>
        </w:tc>
        <w:tc>
          <w:tcPr>
            <w:tcW w:w="760" w:type="dxa"/>
            <w:vAlign w:val="bottom"/>
            <w:tcBorders>
              <w:bottom w:val="single" w:sz="8" w:color="08228B"/>
            </w:tcBorders>
          </w:tcPr>
          <w:p>
            <w:pPr>
              <w:spacing w:after="0"/>
              <w:rPr>
                <w:sz w:val="17"/>
                <w:szCs w:val="17"/>
                <w:color w:val="auto"/>
              </w:rPr>
            </w:pPr>
          </w:p>
        </w:tc>
        <w:tc>
          <w:tcPr>
            <w:tcW w:w="880" w:type="dxa"/>
            <w:vAlign w:val="bottom"/>
            <w:tcBorders>
              <w:bottom w:val="single" w:sz="8" w:color="08228B"/>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jc w:val="both"/>
        <w:ind w:left="340" w:right="120" w:hanging="332"/>
        <w:spacing w:after="0" w:line="260" w:lineRule="auto"/>
        <w:tabs>
          <w:tab w:leader="none" w:pos="340" w:val="left"/>
        </w:tabs>
        <w:numPr>
          <w:ilvl w:val="0"/>
          <w:numId w:val="98"/>
        </w:numPr>
        <w:rPr>
          <w:rFonts w:ascii="Arial" w:cs="Arial" w:eastAsia="Arial" w:hAnsi="Arial"/>
          <w:sz w:val="14"/>
          <w:szCs w:val="14"/>
          <w:i w:val="1"/>
          <w:iCs w:val="1"/>
          <w:color w:val="auto"/>
        </w:rPr>
      </w:pPr>
      <w:r>
        <w:rPr>
          <w:rFonts w:ascii="Arial" w:cs="Arial" w:eastAsia="Arial" w:hAnsi="Arial"/>
          <w:sz w:val="14"/>
          <w:szCs w:val="14"/>
          <w:i w:val="1"/>
          <w:iCs w:val="1"/>
          <w:color w:val="auto"/>
        </w:rPr>
        <w:t>This column shows the aggregate grant date fair value of PSUs, RSUs, and stock options granted to the NEOs in 2015. The aggregate grant date fair value is the amount that the Company expects to expense in its financial statements over the award’s vesting schedule. All grant date fair values have been computed in accordance with FASB ASC Topic 718.</w:t>
      </w:r>
    </w:p>
    <w:p>
      <w:pPr>
        <w:spacing w:after="0" w:line="14" w:lineRule="exact"/>
        <w:rPr>
          <w:rFonts w:ascii="Arial" w:cs="Arial" w:eastAsia="Arial" w:hAnsi="Arial"/>
          <w:sz w:val="14"/>
          <w:szCs w:val="14"/>
          <w:i w:val="1"/>
          <w:iCs w:val="1"/>
          <w:color w:val="auto"/>
        </w:rPr>
      </w:pPr>
    </w:p>
    <w:p>
      <w:pPr>
        <w:ind w:left="500" w:hanging="168"/>
        <w:spacing w:after="0"/>
        <w:tabs>
          <w:tab w:leader="none" w:pos="500" w:val="left"/>
        </w:tabs>
        <w:numPr>
          <w:ilvl w:val="1"/>
          <w:numId w:val="98"/>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 xml:space="preserve">For RSUs, </w:t>
      </w:r>
      <w:r>
        <w:rPr>
          <w:rFonts w:ascii="Arial" w:cs="Arial" w:eastAsia="Arial" w:hAnsi="Arial"/>
          <w:sz w:val="14"/>
          <w:szCs w:val="14"/>
          <w:i w:val="1"/>
          <w:iCs w:val="1"/>
          <w:color w:val="auto"/>
        </w:rPr>
        <w:t>grant date fair value is calculated based on the closing price of the common stock on the grant date.</w:t>
      </w:r>
    </w:p>
    <w:p>
      <w:pPr>
        <w:spacing w:after="0" w:line="55" w:lineRule="exact"/>
        <w:rPr>
          <w:rFonts w:ascii="Arial" w:cs="Arial" w:eastAsia="Arial" w:hAnsi="Arial"/>
          <w:sz w:val="14"/>
          <w:szCs w:val="14"/>
          <w:b w:val="1"/>
          <w:bCs w:val="1"/>
          <w:i w:val="1"/>
          <w:iCs w:val="1"/>
          <w:color w:val="auto"/>
        </w:rPr>
      </w:pPr>
    </w:p>
    <w:p>
      <w:pPr>
        <w:ind w:left="500" w:hanging="168"/>
        <w:spacing w:after="0"/>
        <w:tabs>
          <w:tab w:leader="none" w:pos="500" w:val="left"/>
        </w:tabs>
        <w:numPr>
          <w:ilvl w:val="1"/>
          <w:numId w:val="98"/>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 xml:space="preserve">For PSUs, </w:t>
      </w:r>
      <w:r>
        <w:rPr>
          <w:rFonts w:ascii="Arial" w:cs="Arial" w:eastAsia="Arial" w:hAnsi="Arial"/>
          <w:sz w:val="14"/>
          <w:szCs w:val="14"/>
          <w:i w:val="1"/>
          <w:iCs w:val="1"/>
          <w:color w:val="auto"/>
        </w:rPr>
        <w:t>grant date fair value is calculated based on the closing price of the common stock on the grant date at target.</w:t>
      </w:r>
    </w:p>
    <w:p>
      <w:pPr>
        <w:spacing w:after="0" w:line="55" w:lineRule="exact"/>
        <w:rPr>
          <w:rFonts w:ascii="Arial" w:cs="Arial" w:eastAsia="Arial" w:hAnsi="Arial"/>
          <w:sz w:val="14"/>
          <w:szCs w:val="14"/>
          <w:b w:val="1"/>
          <w:bCs w:val="1"/>
          <w:i w:val="1"/>
          <w:iCs w:val="1"/>
          <w:color w:val="auto"/>
        </w:rPr>
      </w:pPr>
    </w:p>
    <w:p>
      <w:pPr>
        <w:ind w:left="500" w:hanging="168"/>
        <w:spacing w:after="0"/>
        <w:tabs>
          <w:tab w:leader="none" w:pos="500" w:val="left"/>
        </w:tabs>
        <w:numPr>
          <w:ilvl w:val="1"/>
          <w:numId w:val="98"/>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 xml:space="preserve">For DSV Options, </w:t>
      </w:r>
      <w:r>
        <w:rPr>
          <w:rFonts w:ascii="Arial" w:cs="Arial" w:eastAsia="Arial" w:hAnsi="Arial"/>
          <w:sz w:val="14"/>
          <w:szCs w:val="14"/>
          <w:i w:val="1"/>
          <w:iCs w:val="1"/>
          <w:color w:val="auto"/>
        </w:rPr>
        <w:t>grant date fair value is calculated using option valuation methodologies to value each option on the grant date, resulting in a $4.29 per unit value.</w:t>
      </w:r>
    </w:p>
    <w:p>
      <w:pPr>
        <w:spacing w:after="0" w:line="57" w:lineRule="exact"/>
        <w:rPr>
          <w:rFonts w:ascii="Arial" w:cs="Arial" w:eastAsia="Arial" w:hAnsi="Arial"/>
          <w:sz w:val="14"/>
          <w:szCs w:val="14"/>
          <w:b w:val="1"/>
          <w:bCs w:val="1"/>
          <w:i w:val="1"/>
          <w:iCs w:val="1"/>
          <w:color w:val="auto"/>
        </w:rPr>
      </w:pPr>
    </w:p>
    <w:p>
      <w:pPr>
        <w:jc w:val="both"/>
        <w:ind w:left="340" w:right="120" w:hanging="332"/>
        <w:spacing w:after="0" w:line="260" w:lineRule="auto"/>
        <w:tabs>
          <w:tab w:leader="none" w:pos="340" w:val="left"/>
        </w:tabs>
        <w:numPr>
          <w:ilvl w:val="0"/>
          <w:numId w:val="98"/>
        </w:numPr>
        <w:rPr>
          <w:rFonts w:ascii="Arial" w:cs="Arial" w:eastAsia="Arial" w:hAnsi="Arial"/>
          <w:sz w:val="14"/>
          <w:szCs w:val="14"/>
          <w:i w:val="1"/>
          <w:iCs w:val="1"/>
          <w:color w:val="auto"/>
        </w:rPr>
      </w:pPr>
      <w:r>
        <w:rPr>
          <w:rFonts w:ascii="Arial" w:cs="Arial" w:eastAsia="Arial" w:hAnsi="Arial"/>
          <w:sz w:val="14"/>
          <w:szCs w:val="14"/>
          <w:i w:val="1"/>
          <w:iCs w:val="1"/>
          <w:color w:val="auto"/>
        </w:rPr>
        <w:t>DSV Options displayed under “Estimated Future Payouts Under Equity Incentive Plan Awards” represent 60% of the overall grant featuring performance-based vesting as described on page 45. Amounts displayed under All Other Option Awards represent 40% of the overall grant featuring time-based vesting. The DSV Options are valued in accordance with FASB ASC Topic 718. All options use the grant date closing price of $31.32 as the exercise price for each option granted.</w:t>
      </w:r>
    </w:p>
    <w:p>
      <w:pPr>
        <w:spacing w:after="0" w:line="16" w:lineRule="exact"/>
        <w:rPr>
          <w:rFonts w:ascii="Arial" w:cs="Arial" w:eastAsia="Arial" w:hAnsi="Arial"/>
          <w:sz w:val="14"/>
          <w:szCs w:val="14"/>
          <w:i w:val="1"/>
          <w:iCs w:val="1"/>
          <w:color w:val="auto"/>
        </w:rPr>
      </w:pPr>
    </w:p>
    <w:p>
      <w:pPr>
        <w:ind w:left="340" w:hanging="332"/>
        <w:spacing w:after="0"/>
        <w:tabs>
          <w:tab w:leader="none" w:pos="340" w:val="left"/>
        </w:tabs>
        <w:numPr>
          <w:ilvl w:val="0"/>
          <w:numId w:val="98"/>
        </w:numPr>
        <w:rPr>
          <w:rFonts w:ascii="Arial" w:cs="Arial" w:eastAsia="Arial" w:hAnsi="Arial"/>
          <w:sz w:val="14"/>
          <w:szCs w:val="14"/>
          <w:i w:val="1"/>
          <w:iCs w:val="1"/>
          <w:color w:val="auto"/>
        </w:rPr>
      </w:pPr>
      <w:r>
        <w:rPr>
          <w:rFonts w:ascii="Arial" w:cs="Arial" w:eastAsia="Arial" w:hAnsi="Arial"/>
          <w:sz w:val="14"/>
          <w:szCs w:val="14"/>
          <w:i w:val="1"/>
          <w:iCs w:val="1"/>
          <w:color w:val="auto"/>
        </w:rPr>
        <w:t>The 69,407 RSUs granted to Mr. Glidden was a one-time award to replace equity forfeited at a prior employer.</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13"/>
        </w:trPr>
        <w:tc>
          <w:tcPr>
            <w:tcW w:w="4340" w:type="dxa"/>
            <w:vAlign w:val="bottom"/>
            <w:tcBorders>
              <w:bottom w:val="single" w:sz="8" w:color="08228B"/>
            </w:tcBorders>
          </w:tcPr>
          <w:p>
            <w:pPr>
              <w:spacing w:after="0"/>
              <w:rPr>
                <w:sz w:val="9"/>
                <w:szCs w:val="9"/>
                <w:color w:val="auto"/>
              </w:rPr>
            </w:pPr>
          </w:p>
        </w:tc>
        <w:tc>
          <w:tcPr>
            <w:tcW w:w="2060" w:type="dxa"/>
            <w:vAlign w:val="bottom"/>
            <w:vMerge w:val="restart"/>
          </w:tcPr>
          <w:p>
            <w:pPr>
              <w:ind w:left="60"/>
              <w:spacing w:after="0"/>
              <w:rPr>
                <w:sz w:val="20"/>
                <w:szCs w:val="20"/>
                <w:color w:val="auto"/>
              </w:rPr>
            </w:pPr>
            <w:r>
              <w:rPr>
                <w:rFonts w:ascii="Arial" w:cs="Arial" w:eastAsia="Arial" w:hAnsi="Arial"/>
                <w:sz w:val="16"/>
                <w:szCs w:val="16"/>
                <w:b w:val="1"/>
                <w:bCs w:val="1"/>
                <w:color w:val="1C90D3"/>
              </w:rPr>
              <w:t xml:space="preserve">2016 </w:t>
            </w:r>
            <w:r>
              <w:rPr>
                <w:rFonts w:ascii="Arial" w:cs="Arial" w:eastAsia="Arial" w:hAnsi="Arial"/>
                <w:sz w:val="16"/>
                <w:szCs w:val="16"/>
                <w:color w:val="08228B"/>
              </w:rPr>
              <w:t>PROXY STATEMENT</w:t>
            </w:r>
          </w:p>
        </w:tc>
        <w:tc>
          <w:tcPr>
            <w:tcW w:w="2400" w:type="dxa"/>
            <w:vAlign w:val="bottom"/>
            <w:tcBorders>
              <w:bottom w:val="single" w:sz="8" w:color="08228B"/>
            </w:tcBorders>
          </w:tcPr>
          <w:p>
            <w:pPr>
              <w:spacing w:after="0"/>
              <w:rPr>
                <w:sz w:val="9"/>
                <w:szCs w:val="9"/>
                <w:color w:val="auto"/>
              </w:rPr>
            </w:pPr>
          </w:p>
        </w:tc>
        <w:tc>
          <w:tcPr>
            <w:tcW w:w="2620" w:type="dxa"/>
            <w:vAlign w:val="bottom"/>
            <w:vMerge w:val="restart"/>
          </w:tcPr>
          <w:p>
            <w:pPr>
              <w:jc w:val="right"/>
              <w:ind w:right="39"/>
              <w:spacing w:after="0"/>
              <w:rPr>
                <w:sz w:val="20"/>
                <w:szCs w:val="20"/>
                <w:color w:val="auto"/>
              </w:rPr>
            </w:pPr>
            <w:r>
              <w:rPr>
                <w:rFonts w:ascii="Arial" w:cs="Arial" w:eastAsia="Arial" w:hAnsi="Arial"/>
                <w:sz w:val="16"/>
                <w:szCs w:val="16"/>
                <w:color w:val="08228B"/>
              </w:rPr>
              <w:t>56</w:t>
            </w:r>
          </w:p>
        </w:tc>
        <w:tc>
          <w:tcPr>
            <w:tcW w:w="0" w:type="dxa"/>
            <w:vAlign w:val="bottom"/>
          </w:tcPr>
          <w:p>
            <w:pPr>
              <w:spacing w:after="0"/>
              <w:rPr>
                <w:sz w:val="1"/>
                <w:szCs w:val="1"/>
                <w:color w:val="auto"/>
              </w:rPr>
            </w:pPr>
          </w:p>
        </w:tc>
      </w:tr>
      <w:tr>
        <w:trPr>
          <w:trHeight w:val="82"/>
        </w:trPr>
        <w:tc>
          <w:tcPr>
            <w:tcW w:w="4340" w:type="dxa"/>
            <w:vAlign w:val="bottom"/>
          </w:tcPr>
          <w:p>
            <w:pPr>
              <w:spacing w:after="0"/>
              <w:rPr>
                <w:sz w:val="7"/>
                <w:szCs w:val="7"/>
                <w:color w:val="auto"/>
              </w:rPr>
            </w:pPr>
          </w:p>
        </w:tc>
        <w:tc>
          <w:tcPr>
            <w:tcW w:w="2060" w:type="dxa"/>
            <w:vAlign w:val="bottom"/>
            <w:vMerge w:val="continue"/>
          </w:tcPr>
          <w:p>
            <w:pPr>
              <w:spacing w:after="0"/>
              <w:rPr>
                <w:sz w:val="7"/>
                <w:szCs w:val="7"/>
                <w:color w:val="auto"/>
              </w:rPr>
            </w:pPr>
          </w:p>
        </w:tc>
        <w:tc>
          <w:tcPr>
            <w:tcW w:w="2400" w:type="dxa"/>
            <w:vAlign w:val="bottom"/>
          </w:tcPr>
          <w:p>
            <w:pPr>
              <w:spacing w:after="0"/>
              <w:rPr>
                <w:sz w:val="7"/>
                <w:szCs w:val="7"/>
                <w:color w:val="auto"/>
              </w:rPr>
            </w:pPr>
          </w:p>
        </w:tc>
        <w:tc>
          <w:tcPr>
            <w:tcW w:w="2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7"/>
        </w:trPr>
        <w:tc>
          <w:tcPr>
            <w:tcW w:w="4340" w:type="dxa"/>
            <w:vAlign w:val="bottom"/>
            <w:tcBorders>
              <w:bottom w:val="single" w:sz="8" w:color="C0C0C0"/>
            </w:tcBorders>
          </w:tcPr>
          <w:p>
            <w:pPr>
              <w:spacing w:after="0"/>
              <w:rPr>
                <w:sz w:val="24"/>
                <w:szCs w:val="24"/>
                <w:color w:val="auto"/>
              </w:rPr>
            </w:pPr>
          </w:p>
        </w:tc>
        <w:tc>
          <w:tcPr>
            <w:tcW w:w="2060" w:type="dxa"/>
            <w:vAlign w:val="bottom"/>
            <w:tcBorders>
              <w:bottom w:val="single" w:sz="8" w:color="C0C0C0"/>
            </w:tcBorders>
          </w:tcPr>
          <w:p>
            <w:pPr>
              <w:spacing w:after="0"/>
              <w:rPr>
                <w:sz w:val="24"/>
                <w:szCs w:val="24"/>
                <w:color w:val="auto"/>
              </w:rPr>
            </w:pPr>
          </w:p>
        </w:tc>
        <w:tc>
          <w:tcPr>
            <w:tcW w:w="2400" w:type="dxa"/>
            <w:vAlign w:val="bottom"/>
            <w:tcBorders>
              <w:bottom w:val="single" w:sz="8" w:color="C0C0C0"/>
            </w:tcBorders>
          </w:tcPr>
          <w:p>
            <w:pPr>
              <w:spacing w:after="0"/>
              <w:rPr>
                <w:sz w:val="24"/>
                <w:szCs w:val="24"/>
                <w:color w:val="auto"/>
              </w:rPr>
            </w:pPr>
          </w:p>
        </w:tc>
        <w:tc>
          <w:tcPr>
            <w:tcW w:w="262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5613400</wp:posOffset>
            </wp:positionH>
            <wp:positionV relativeFrom="paragraph">
              <wp:posOffset>-334010</wp:posOffset>
            </wp:positionV>
            <wp:extent cx="1286510" cy="8572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1286510" cy="8572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Back to Contents</w:t>
        </w:r>
      </w:hyperlink>
    </w:p>
    <w:p>
      <w:pPr>
        <w:spacing w:after="0" w:line="196" w:lineRule="exact"/>
        <w:rPr>
          <w:sz w:val="20"/>
          <w:szCs w:val="20"/>
          <w:color w:val="auto"/>
        </w:rPr>
      </w:pPr>
    </w:p>
    <w:p>
      <w:pPr>
        <w:ind w:left="500" w:hanging="492"/>
        <w:spacing w:after="0"/>
        <w:tabs>
          <w:tab w:leader="none" w:pos="500" w:val="left"/>
        </w:tabs>
        <w:numPr>
          <w:ilvl w:val="0"/>
          <w:numId w:val="99"/>
        </w:numPr>
        <w:rPr>
          <w:rFonts w:ascii="Arial" w:cs="Arial" w:eastAsia="Arial" w:hAnsi="Arial"/>
          <w:sz w:val="25"/>
          <w:szCs w:val="25"/>
          <w:color w:val="08228B"/>
        </w:rPr>
      </w:pPr>
      <w:r>
        <w:rPr>
          <w:rFonts w:ascii="Arial" w:cs="Arial" w:eastAsia="Arial" w:hAnsi="Arial"/>
          <w:sz w:val="25"/>
          <w:szCs w:val="25"/>
          <w:color w:val="auto"/>
        </w:rPr>
        <w:t>Outstanding Equity Awards at Fiscal Year-End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800" w:type="dxa"/>
            <w:vAlign w:val="bottom"/>
            <w:tcBorders>
              <w:top w:val="single" w:sz="8" w:color="1C90D3"/>
            </w:tcBorders>
          </w:tcPr>
          <w:p>
            <w:pPr>
              <w:spacing w:after="0"/>
              <w:rPr>
                <w:sz w:val="18"/>
                <w:szCs w:val="18"/>
                <w:color w:val="auto"/>
              </w:rPr>
            </w:pPr>
          </w:p>
        </w:tc>
        <w:tc>
          <w:tcPr>
            <w:tcW w:w="840" w:type="dxa"/>
            <w:vAlign w:val="bottom"/>
            <w:tcBorders>
              <w:top w:val="single" w:sz="8" w:color="1C90D3"/>
              <w:bottom w:val="single" w:sz="8" w:color="1C90D3"/>
            </w:tcBorders>
          </w:tcPr>
          <w:p>
            <w:pPr>
              <w:spacing w:after="0"/>
              <w:rPr>
                <w:sz w:val="18"/>
                <w:szCs w:val="18"/>
                <w:color w:val="auto"/>
              </w:rPr>
            </w:pPr>
          </w:p>
        </w:tc>
        <w:tc>
          <w:tcPr>
            <w:tcW w:w="1000" w:type="dxa"/>
            <w:vAlign w:val="bottom"/>
            <w:tcBorders>
              <w:top w:val="single" w:sz="8" w:color="1C90D3"/>
              <w:bottom w:val="single" w:sz="8" w:color="1C90D3"/>
            </w:tcBorders>
          </w:tcPr>
          <w:p>
            <w:pPr>
              <w:spacing w:after="0"/>
              <w:rPr>
                <w:sz w:val="18"/>
                <w:szCs w:val="18"/>
                <w:color w:val="auto"/>
              </w:rPr>
            </w:pPr>
          </w:p>
        </w:tc>
        <w:tc>
          <w:tcPr>
            <w:tcW w:w="1220" w:type="dxa"/>
            <w:vAlign w:val="bottom"/>
            <w:tcBorders>
              <w:top w:val="single" w:sz="8" w:color="1C90D3"/>
              <w:bottom w:val="single" w:sz="8" w:color="1C90D3"/>
            </w:tcBorders>
          </w:tcPr>
          <w:p>
            <w:pPr>
              <w:jc w:val="right"/>
              <w:ind w:right="196"/>
              <w:spacing w:after="0"/>
              <w:rPr>
                <w:sz w:val="20"/>
                <w:szCs w:val="20"/>
                <w:color w:val="auto"/>
              </w:rPr>
            </w:pPr>
            <w:r>
              <w:rPr>
                <w:rFonts w:ascii="Arial" w:cs="Arial" w:eastAsia="Arial" w:hAnsi="Arial"/>
                <w:sz w:val="13"/>
                <w:szCs w:val="13"/>
                <w:b w:val="1"/>
                <w:bCs w:val="1"/>
                <w:color w:val="1C90D3"/>
              </w:rPr>
              <w:t>Option Awards</w:t>
            </w:r>
          </w:p>
        </w:tc>
        <w:tc>
          <w:tcPr>
            <w:tcW w:w="1040" w:type="dxa"/>
            <w:vAlign w:val="bottom"/>
            <w:tcBorders>
              <w:top w:val="single" w:sz="8" w:color="1C90D3"/>
              <w:bottom w:val="single" w:sz="8" w:color="1C90D3"/>
            </w:tcBorders>
          </w:tcPr>
          <w:p>
            <w:pPr>
              <w:spacing w:after="0"/>
              <w:rPr>
                <w:sz w:val="18"/>
                <w:szCs w:val="18"/>
                <w:color w:val="auto"/>
              </w:rPr>
            </w:pPr>
          </w:p>
        </w:tc>
        <w:tc>
          <w:tcPr>
            <w:tcW w:w="600" w:type="dxa"/>
            <w:vAlign w:val="bottom"/>
            <w:tcBorders>
              <w:top w:val="single" w:sz="8" w:color="1C90D3"/>
              <w:bottom w:val="single" w:sz="8" w:color="1C90D3"/>
            </w:tcBorders>
          </w:tcPr>
          <w:p>
            <w:pPr>
              <w:spacing w:after="0"/>
              <w:rPr>
                <w:sz w:val="18"/>
                <w:szCs w:val="18"/>
                <w:color w:val="auto"/>
              </w:rPr>
            </w:pPr>
          </w:p>
        </w:tc>
        <w:tc>
          <w:tcPr>
            <w:tcW w:w="100" w:type="dxa"/>
            <w:vAlign w:val="bottom"/>
            <w:tcBorders>
              <w:top w:val="single" w:sz="8" w:color="1C90D3"/>
            </w:tcBorders>
          </w:tcPr>
          <w:p>
            <w:pPr>
              <w:spacing w:after="0"/>
              <w:rPr>
                <w:sz w:val="18"/>
                <w:szCs w:val="18"/>
                <w:color w:val="auto"/>
              </w:rPr>
            </w:pPr>
          </w:p>
        </w:tc>
        <w:tc>
          <w:tcPr>
            <w:tcW w:w="800" w:type="dxa"/>
            <w:vAlign w:val="bottom"/>
            <w:tcBorders>
              <w:top w:val="single" w:sz="8" w:color="1C90D3"/>
              <w:bottom w:val="single" w:sz="8" w:color="1C90D3"/>
            </w:tcBorders>
          </w:tcPr>
          <w:p>
            <w:pPr>
              <w:spacing w:after="0"/>
              <w:rPr>
                <w:sz w:val="18"/>
                <w:szCs w:val="18"/>
                <w:color w:val="auto"/>
              </w:rPr>
            </w:pPr>
          </w:p>
        </w:tc>
        <w:tc>
          <w:tcPr>
            <w:tcW w:w="880" w:type="dxa"/>
            <w:vAlign w:val="bottom"/>
            <w:tcBorders>
              <w:top w:val="single" w:sz="8" w:color="1C90D3"/>
              <w:bottom w:val="single" w:sz="8" w:color="1C90D3"/>
            </w:tcBorders>
          </w:tcPr>
          <w:p>
            <w:pPr>
              <w:spacing w:after="0"/>
              <w:rPr>
                <w:sz w:val="18"/>
                <w:szCs w:val="18"/>
                <w:color w:val="auto"/>
              </w:rPr>
            </w:pPr>
          </w:p>
        </w:tc>
        <w:tc>
          <w:tcPr>
            <w:tcW w:w="2020" w:type="dxa"/>
            <w:vAlign w:val="bottom"/>
            <w:tcBorders>
              <w:top w:val="single" w:sz="8" w:color="1C90D3"/>
              <w:bottom w:val="single" w:sz="8" w:color="1C90D3"/>
            </w:tcBorders>
            <w:gridSpan w:val="2"/>
          </w:tcPr>
          <w:p>
            <w:pPr>
              <w:jc w:val="right"/>
              <w:ind w:right="815"/>
              <w:spacing w:after="0" w:line="203" w:lineRule="exact"/>
              <w:rPr>
                <w:sz w:val="20"/>
                <w:szCs w:val="20"/>
                <w:color w:val="auto"/>
              </w:rPr>
            </w:pPr>
            <w:r>
              <w:rPr>
                <w:rFonts w:ascii="Arial" w:cs="Arial" w:eastAsia="Arial" w:hAnsi="Arial"/>
                <w:sz w:val="13"/>
                <w:szCs w:val="13"/>
                <w:b w:val="1"/>
                <w:bCs w:val="1"/>
                <w:color w:val="1C90D3"/>
              </w:rPr>
              <w:t>Stock Awards</w:t>
            </w:r>
            <w:r>
              <w:rPr>
                <w:rFonts w:ascii="Arial" w:cs="Arial" w:eastAsia="Arial" w:hAnsi="Arial"/>
                <w:sz w:val="20"/>
                <w:szCs w:val="20"/>
                <w:b w:val="1"/>
                <w:bCs w:val="1"/>
                <w:color w:val="1C90D3"/>
                <w:vertAlign w:val="superscript"/>
              </w:rPr>
              <w:t>(1)</w:t>
            </w:r>
          </w:p>
        </w:tc>
        <w:tc>
          <w:tcPr>
            <w:tcW w:w="1000" w:type="dxa"/>
            <w:vAlign w:val="bottom"/>
            <w:tcBorders>
              <w:top w:val="single" w:sz="8" w:color="1C90D3"/>
              <w:bottom w:val="single" w:sz="8" w:color="1C90D3"/>
            </w:tcBorders>
          </w:tcPr>
          <w:p>
            <w:pPr>
              <w:spacing w:after="0"/>
              <w:rPr>
                <w:sz w:val="18"/>
                <w:szCs w:val="18"/>
                <w:color w:val="auto"/>
              </w:rPr>
            </w:pPr>
          </w:p>
        </w:tc>
      </w:tr>
      <w:tr>
        <w:trPr>
          <w:trHeight w:val="113"/>
        </w:trPr>
        <w:tc>
          <w:tcPr>
            <w:tcW w:w="18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8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0" w:type="dxa"/>
            <w:vAlign w:val="bottom"/>
          </w:tcPr>
          <w:p>
            <w:pPr>
              <w:jc w:val="right"/>
              <w:spacing w:after="0" w:line="113" w:lineRule="exact"/>
              <w:rPr>
                <w:sz w:val="20"/>
                <w:szCs w:val="20"/>
                <w:color w:val="auto"/>
              </w:rPr>
            </w:pPr>
            <w:r>
              <w:rPr>
                <w:rFonts w:ascii="Arial" w:cs="Arial" w:eastAsia="Arial" w:hAnsi="Arial"/>
                <w:sz w:val="13"/>
                <w:szCs w:val="13"/>
                <w:b w:val="1"/>
                <w:bCs w:val="1"/>
                <w:color w:val="1C90D3"/>
              </w:rPr>
              <w:t>Equity</w:t>
            </w:r>
          </w:p>
        </w:tc>
      </w:tr>
      <w:tr>
        <w:trPr>
          <w:trHeight w:val="135"/>
        </w:trPr>
        <w:tc>
          <w:tcPr>
            <w:tcW w:w="1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00" w:type="dxa"/>
            <w:vAlign w:val="bottom"/>
          </w:tcPr>
          <w:p>
            <w:pPr>
              <w:jc w:val="right"/>
              <w:ind w:right="55"/>
              <w:spacing w:after="0" w:line="135" w:lineRule="exact"/>
              <w:rPr>
                <w:sz w:val="20"/>
                <w:szCs w:val="20"/>
                <w:color w:val="auto"/>
              </w:rPr>
            </w:pPr>
            <w:r>
              <w:rPr>
                <w:rFonts w:ascii="Arial" w:cs="Arial" w:eastAsia="Arial" w:hAnsi="Arial"/>
                <w:sz w:val="13"/>
                <w:szCs w:val="13"/>
                <w:b w:val="1"/>
                <w:bCs w:val="1"/>
                <w:color w:val="1C90D3"/>
              </w:rPr>
              <w:t>Equity</w:t>
            </w:r>
          </w:p>
        </w:tc>
        <w:tc>
          <w:tcPr>
            <w:tcW w:w="1000" w:type="dxa"/>
            <w:vAlign w:val="bottom"/>
          </w:tcPr>
          <w:p>
            <w:pPr>
              <w:jc w:val="right"/>
              <w:spacing w:after="0" w:line="135" w:lineRule="exact"/>
              <w:rPr>
                <w:sz w:val="20"/>
                <w:szCs w:val="20"/>
                <w:color w:val="auto"/>
              </w:rPr>
            </w:pPr>
            <w:r>
              <w:rPr>
                <w:rFonts w:ascii="Arial" w:cs="Arial" w:eastAsia="Arial" w:hAnsi="Arial"/>
                <w:sz w:val="13"/>
                <w:szCs w:val="13"/>
                <w:b w:val="1"/>
                <w:bCs w:val="1"/>
                <w:color w:val="1C90D3"/>
              </w:rPr>
              <w:t>Incentive</w:t>
            </w:r>
          </w:p>
        </w:tc>
      </w:tr>
      <w:tr>
        <w:trPr>
          <w:trHeight w:val="135"/>
        </w:trPr>
        <w:tc>
          <w:tcPr>
            <w:tcW w:w="1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40" w:type="dxa"/>
            <w:vAlign w:val="bottom"/>
          </w:tcPr>
          <w:p>
            <w:pPr>
              <w:jc w:val="right"/>
              <w:ind w:right="16"/>
              <w:spacing w:after="0" w:line="135" w:lineRule="exact"/>
              <w:rPr>
                <w:sz w:val="20"/>
                <w:szCs w:val="20"/>
                <w:color w:val="auto"/>
              </w:rPr>
            </w:pPr>
            <w:r>
              <w:rPr>
                <w:rFonts w:ascii="Arial" w:cs="Arial" w:eastAsia="Arial" w:hAnsi="Arial"/>
                <w:sz w:val="13"/>
                <w:szCs w:val="13"/>
                <w:b w:val="1"/>
                <w:bCs w:val="1"/>
                <w:color w:val="1C90D3"/>
              </w:rPr>
              <w:t>Equity</w:t>
            </w: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00" w:type="dxa"/>
            <w:vAlign w:val="bottom"/>
          </w:tcPr>
          <w:p>
            <w:pPr>
              <w:jc w:val="right"/>
              <w:ind w:right="55"/>
              <w:spacing w:after="0" w:line="135" w:lineRule="exact"/>
              <w:rPr>
                <w:sz w:val="20"/>
                <w:szCs w:val="20"/>
                <w:color w:val="auto"/>
              </w:rPr>
            </w:pPr>
            <w:r>
              <w:rPr>
                <w:rFonts w:ascii="Arial" w:cs="Arial" w:eastAsia="Arial" w:hAnsi="Arial"/>
                <w:sz w:val="13"/>
                <w:szCs w:val="13"/>
                <w:b w:val="1"/>
                <w:bCs w:val="1"/>
                <w:color w:val="1C90D3"/>
              </w:rPr>
              <w:t>Incentive</w:t>
            </w:r>
          </w:p>
        </w:tc>
        <w:tc>
          <w:tcPr>
            <w:tcW w:w="1000" w:type="dxa"/>
            <w:vAlign w:val="bottom"/>
          </w:tcPr>
          <w:p>
            <w:pPr>
              <w:jc w:val="right"/>
              <w:spacing w:after="0" w:line="135" w:lineRule="exact"/>
              <w:rPr>
                <w:sz w:val="20"/>
                <w:szCs w:val="20"/>
                <w:color w:val="auto"/>
              </w:rPr>
            </w:pPr>
            <w:r>
              <w:rPr>
                <w:rFonts w:ascii="Arial" w:cs="Arial" w:eastAsia="Arial" w:hAnsi="Arial"/>
                <w:sz w:val="13"/>
                <w:szCs w:val="13"/>
                <w:b w:val="1"/>
                <w:bCs w:val="1"/>
                <w:color w:val="1C90D3"/>
              </w:rPr>
              <w:t>Plan Awards:</w:t>
            </w:r>
          </w:p>
        </w:tc>
      </w:tr>
      <w:tr>
        <w:trPr>
          <w:trHeight w:val="135"/>
        </w:trPr>
        <w:tc>
          <w:tcPr>
            <w:tcW w:w="1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40" w:type="dxa"/>
            <w:vAlign w:val="bottom"/>
          </w:tcPr>
          <w:p>
            <w:pPr>
              <w:jc w:val="right"/>
              <w:ind w:right="16"/>
              <w:spacing w:after="0" w:line="135" w:lineRule="exact"/>
              <w:rPr>
                <w:sz w:val="20"/>
                <w:szCs w:val="20"/>
                <w:color w:val="auto"/>
              </w:rPr>
            </w:pPr>
            <w:r>
              <w:rPr>
                <w:rFonts w:ascii="Arial" w:cs="Arial" w:eastAsia="Arial" w:hAnsi="Arial"/>
                <w:sz w:val="13"/>
                <w:szCs w:val="13"/>
                <w:b w:val="1"/>
                <w:bCs w:val="1"/>
                <w:color w:val="1C90D3"/>
              </w:rPr>
              <w:t>Incentive</w:t>
            </w: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00" w:type="dxa"/>
            <w:vAlign w:val="bottom"/>
          </w:tcPr>
          <w:p>
            <w:pPr>
              <w:jc w:val="right"/>
              <w:ind w:right="55"/>
              <w:spacing w:after="0" w:line="135" w:lineRule="exact"/>
              <w:rPr>
                <w:sz w:val="20"/>
                <w:szCs w:val="20"/>
                <w:color w:val="auto"/>
              </w:rPr>
            </w:pPr>
            <w:r>
              <w:rPr>
                <w:rFonts w:ascii="Arial" w:cs="Arial" w:eastAsia="Arial" w:hAnsi="Arial"/>
                <w:sz w:val="13"/>
                <w:szCs w:val="13"/>
                <w:b w:val="1"/>
                <w:bCs w:val="1"/>
                <w:color w:val="1C90D3"/>
              </w:rPr>
              <w:t>Plan Awards:</w:t>
            </w:r>
          </w:p>
        </w:tc>
        <w:tc>
          <w:tcPr>
            <w:tcW w:w="1000" w:type="dxa"/>
            <w:vAlign w:val="bottom"/>
          </w:tcPr>
          <w:p>
            <w:pPr>
              <w:jc w:val="right"/>
              <w:spacing w:after="0" w:line="135" w:lineRule="exact"/>
              <w:rPr>
                <w:sz w:val="20"/>
                <w:szCs w:val="20"/>
                <w:color w:val="auto"/>
              </w:rPr>
            </w:pPr>
            <w:r>
              <w:rPr>
                <w:rFonts w:ascii="Arial" w:cs="Arial" w:eastAsia="Arial" w:hAnsi="Arial"/>
                <w:sz w:val="13"/>
                <w:szCs w:val="13"/>
                <w:b w:val="1"/>
                <w:bCs w:val="1"/>
                <w:color w:val="1C90D3"/>
              </w:rPr>
              <w:t>Market or</w:t>
            </w:r>
          </w:p>
        </w:tc>
      </w:tr>
      <w:tr>
        <w:trPr>
          <w:trHeight w:val="135"/>
        </w:trPr>
        <w:tc>
          <w:tcPr>
            <w:tcW w:w="1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Arial" w:cs="Arial" w:eastAsia="Arial" w:hAnsi="Arial"/>
                <w:sz w:val="13"/>
                <w:szCs w:val="13"/>
                <w:b w:val="1"/>
                <w:bCs w:val="1"/>
                <w:color w:val="1C90D3"/>
              </w:rPr>
              <w:t>Number of</w:t>
            </w:r>
          </w:p>
        </w:tc>
        <w:tc>
          <w:tcPr>
            <w:tcW w:w="1220" w:type="dxa"/>
            <w:vAlign w:val="bottom"/>
          </w:tcPr>
          <w:p>
            <w:pPr>
              <w:jc w:val="right"/>
              <w:ind w:right="96"/>
              <w:spacing w:after="0" w:line="135" w:lineRule="exact"/>
              <w:rPr>
                <w:sz w:val="20"/>
                <w:szCs w:val="20"/>
                <w:color w:val="auto"/>
              </w:rPr>
            </w:pPr>
            <w:r>
              <w:rPr>
                <w:rFonts w:ascii="Arial" w:cs="Arial" w:eastAsia="Arial" w:hAnsi="Arial"/>
                <w:sz w:val="13"/>
                <w:szCs w:val="13"/>
                <w:b w:val="1"/>
                <w:bCs w:val="1"/>
                <w:color w:val="1C90D3"/>
              </w:rPr>
              <w:t>Number of</w:t>
            </w:r>
          </w:p>
        </w:tc>
        <w:tc>
          <w:tcPr>
            <w:tcW w:w="1040" w:type="dxa"/>
            <w:vAlign w:val="bottom"/>
          </w:tcPr>
          <w:p>
            <w:pPr>
              <w:jc w:val="right"/>
              <w:ind w:right="16"/>
              <w:spacing w:after="0" w:line="135" w:lineRule="exact"/>
              <w:rPr>
                <w:sz w:val="20"/>
                <w:szCs w:val="20"/>
                <w:color w:val="auto"/>
              </w:rPr>
            </w:pPr>
            <w:r>
              <w:rPr>
                <w:rFonts w:ascii="Arial" w:cs="Arial" w:eastAsia="Arial" w:hAnsi="Arial"/>
                <w:sz w:val="13"/>
                <w:szCs w:val="13"/>
                <w:b w:val="1"/>
                <w:bCs w:val="1"/>
                <w:color w:val="1C90D3"/>
              </w:rPr>
              <w:t>Plan Awards:</w:t>
            </w: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jc w:val="right"/>
              <w:ind w:right="71"/>
              <w:spacing w:after="0" w:line="135" w:lineRule="exact"/>
              <w:rPr>
                <w:sz w:val="20"/>
                <w:szCs w:val="20"/>
                <w:color w:val="auto"/>
              </w:rPr>
            </w:pPr>
            <w:r>
              <w:rPr>
                <w:rFonts w:ascii="Arial" w:cs="Arial" w:eastAsia="Arial" w:hAnsi="Arial"/>
                <w:sz w:val="13"/>
                <w:szCs w:val="13"/>
                <w:b w:val="1"/>
                <w:bCs w:val="1"/>
                <w:color w:val="1C90D3"/>
              </w:rPr>
              <w:t>Market</w:t>
            </w:r>
          </w:p>
        </w:tc>
        <w:tc>
          <w:tcPr>
            <w:tcW w:w="1100" w:type="dxa"/>
            <w:vAlign w:val="bottom"/>
          </w:tcPr>
          <w:p>
            <w:pPr>
              <w:jc w:val="right"/>
              <w:ind w:right="55"/>
              <w:spacing w:after="0" w:line="135" w:lineRule="exact"/>
              <w:rPr>
                <w:sz w:val="20"/>
                <w:szCs w:val="20"/>
                <w:color w:val="auto"/>
              </w:rPr>
            </w:pPr>
            <w:r>
              <w:rPr>
                <w:rFonts w:ascii="Arial" w:cs="Arial" w:eastAsia="Arial" w:hAnsi="Arial"/>
                <w:sz w:val="13"/>
                <w:szCs w:val="13"/>
                <w:b w:val="1"/>
                <w:bCs w:val="1"/>
                <w:color w:val="1C90D3"/>
              </w:rPr>
              <w:t>Number of</w:t>
            </w:r>
          </w:p>
        </w:tc>
        <w:tc>
          <w:tcPr>
            <w:tcW w:w="1000" w:type="dxa"/>
            <w:vAlign w:val="bottom"/>
          </w:tcPr>
          <w:p>
            <w:pPr>
              <w:jc w:val="right"/>
              <w:spacing w:after="0" w:line="135" w:lineRule="exact"/>
              <w:rPr>
                <w:sz w:val="20"/>
                <w:szCs w:val="20"/>
                <w:color w:val="auto"/>
              </w:rPr>
            </w:pPr>
            <w:r>
              <w:rPr>
                <w:rFonts w:ascii="Arial" w:cs="Arial" w:eastAsia="Arial" w:hAnsi="Arial"/>
                <w:sz w:val="13"/>
                <w:szCs w:val="13"/>
                <w:b w:val="1"/>
                <w:bCs w:val="1"/>
                <w:color w:val="1C90D3"/>
              </w:rPr>
              <w:t>Payout Value</w:t>
            </w:r>
          </w:p>
        </w:tc>
      </w:tr>
      <w:tr>
        <w:trPr>
          <w:trHeight w:val="135"/>
        </w:trPr>
        <w:tc>
          <w:tcPr>
            <w:tcW w:w="1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Arial" w:cs="Arial" w:eastAsia="Arial" w:hAnsi="Arial"/>
                <w:sz w:val="13"/>
                <w:szCs w:val="13"/>
                <w:b w:val="1"/>
                <w:bCs w:val="1"/>
                <w:color w:val="1C90D3"/>
              </w:rPr>
              <w:t>Securities</w:t>
            </w:r>
          </w:p>
        </w:tc>
        <w:tc>
          <w:tcPr>
            <w:tcW w:w="1220" w:type="dxa"/>
            <w:vAlign w:val="bottom"/>
          </w:tcPr>
          <w:p>
            <w:pPr>
              <w:jc w:val="right"/>
              <w:ind w:right="96"/>
              <w:spacing w:after="0" w:line="135" w:lineRule="exact"/>
              <w:rPr>
                <w:sz w:val="20"/>
                <w:szCs w:val="20"/>
                <w:color w:val="auto"/>
              </w:rPr>
            </w:pPr>
            <w:r>
              <w:rPr>
                <w:rFonts w:ascii="Arial" w:cs="Arial" w:eastAsia="Arial" w:hAnsi="Arial"/>
                <w:sz w:val="13"/>
                <w:szCs w:val="13"/>
                <w:b w:val="1"/>
                <w:bCs w:val="1"/>
                <w:color w:val="1C90D3"/>
              </w:rPr>
              <w:t>Securities</w:t>
            </w:r>
          </w:p>
        </w:tc>
        <w:tc>
          <w:tcPr>
            <w:tcW w:w="1040" w:type="dxa"/>
            <w:vAlign w:val="bottom"/>
          </w:tcPr>
          <w:p>
            <w:pPr>
              <w:jc w:val="right"/>
              <w:ind w:right="16"/>
              <w:spacing w:after="0" w:line="135" w:lineRule="exact"/>
              <w:rPr>
                <w:sz w:val="20"/>
                <w:szCs w:val="20"/>
                <w:color w:val="auto"/>
              </w:rPr>
            </w:pPr>
            <w:r>
              <w:rPr>
                <w:rFonts w:ascii="Arial" w:cs="Arial" w:eastAsia="Arial" w:hAnsi="Arial"/>
                <w:sz w:val="13"/>
                <w:szCs w:val="13"/>
                <w:b w:val="1"/>
                <w:bCs w:val="1"/>
                <w:color w:val="1C90D3"/>
              </w:rPr>
              <w:t>Number of</w:t>
            </w: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jc w:val="right"/>
              <w:ind w:right="54"/>
              <w:spacing w:after="0" w:line="135" w:lineRule="exact"/>
              <w:rPr>
                <w:sz w:val="20"/>
                <w:szCs w:val="20"/>
                <w:color w:val="auto"/>
              </w:rPr>
            </w:pPr>
            <w:r>
              <w:rPr>
                <w:rFonts w:ascii="Arial" w:cs="Arial" w:eastAsia="Arial" w:hAnsi="Arial"/>
                <w:sz w:val="13"/>
                <w:szCs w:val="13"/>
                <w:b w:val="1"/>
                <w:bCs w:val="1"/>
                <w:color w:val="1C90D3"/>
              </w:rPr>
              <w:t>Number</w:t>
            </w:r>
          </w:p>
        </w:tc>
        <w:tc>
          <w:tcPr>
            <w:tcW w:w="920" w:type="dxa"/>
            <w:vAlign w:val="bottom"/>
          </w:tcPr>
          <w:p>
            <w:pPr>
              <w:jc w:val="right"/>
              <w:ind w:right="71"/>
              <w:spacing w:after="0" w:line="135" w:lineRule="exact"/>
              <w:rPr>
                <w:sz w:val="20"/>
                <w:szCs w:val="20"/>
                <w:color w:val="auto"/>
              </w:rPr>
            </w:pPr>
            <w:r>
              <w:rPr>
                <w:rFonts w:ascii="Arial" w:cs="Arial" w:eastAsia="Arial" w:hAnsi="Arial"/>
                <w:sz w:val="13"/>
                <w:szCs w:val="13"/>
                <w:b w:val="1"/>
                <w:bCs w:val="1"/>
                <w:color w:val="1C90D3"/>
              </w:rPr>
              <w:t>Value of</w:t>
            </w:r>
          </w:p>
        </w:tc>
        <w:tc>
          <w:tcPr>
            <w:tcW w:w="1100" w:type="dxa"/>
            <w:vAlign w:val="bottom"/>
          </w:tcPr>
          <w:p>
            <w:pPr>
              <w:jc w:val="right"/>
              <w:ind w:right="55"/>
              <w:spacing w:after="0" w:line="135" w:lineRule="exact"/>
              <w:rPr>
                <w:sz w:val="20"/>
                <w:szCs w:val="20"/>
                <w:color w:val="auto"/>
              </w:rPr>
            </w:pPr>
            <w:r>
              <w:rPr>
                <w:rFonts w:ascii="Arial" w:cs="Arial" w:eastAsia="Arial" w:hAnsi="Arial"/>
                <w:sz w:val="13"/>
                <w:szCs w:val="13"/>
                <w:b w:val="1"/>
                <w:bCs w:val="1"/>
                <w:color w:val="1C90D3"/>
              </w:rPr>
              <w:t>Unearned</w:t>
            </w:r>
          </w:p>
        </w:tc>
        <w:tc>
          <w:tcPr>
            <w:tcW w:w="1000" w:type="dxa"/>
            <w:vAlign w:val="bottom"/>
          </w:tcPr>
          <w:p>
            <w:pPr>
              <w:jc w:val="right"/>
              <w:spacing w:after="0" w:line="135" w:lineRule="exact"/>
              <w:rPr>
                <w:sz w:val="20"/>
                <w:szCs w:val="20"/>
                <w:color w:val="auto"/>
              </w:rPr>
            </w:pPr>
            <w:r>
              <w:rPr>
                <w:rFonts w:ascii="Arial" w:cs="Arial" w:eastAsia="Arial" w:hAnsi="Arial"/>
                <w:sz w:val="13"/>
                <w:szCs w:val="13"/>
                <w:b w:val="1"/>
                <w:bCs w:val="1"/>
                <w:color w:val="1C90D3"/>
              </w:rPr>
              <w:t>of Unearned</w:t>
            </w:r>
          </w:p>
        </w:tc>
      </w:tr>
      <w:tr>
        <w:trPr>
          <w:trHeight w:val="135"/>
        </w:trPr>
        <w:tc>
          <w:tcPr>
            <w:tcW w:w="1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Arial" w:cs="Arial" w:eastAsia="Arial" w:hAnsi="Arial"/>
                <w:sz w:val="13"/>
                <w:szCs w:val="13"/>
                <w:b w:val="1"/>
                <w:bCs w:val="1"/>
                <w:color w:val="1C90D3"/>
              </w:rPr>
              <w:t>Underlying</w:t>
            </w:r>
          </w:p>
        </w:tc>
        <w:tc>
          <w:tcPr>
            <w:tcW w:w="1220" w:type="dxa"/>
            <w:vAlign w:val="bottom"/>
          </w:tcPr>
          <w:p>
            <w:pPr>
              <w:jc w:val="right"/>
              <w:ind w:right="96"/>
              <w:spacing w:after="0" w:line="135" w:lineRule="exact"/>
              <w:rPr>
                <w:sz w:val="20"/>
                <w:szCs w:val="20"/>
                <w:color w:val="auto"/>
              </w:rPr>
            </w:pPr>
            <w:r>
              <w:rPr>
                <w:rFonts w:ascii="Arial" w:cs="Arial" w:eastAsia="Arial" w:hAnsi="Arial"/>
                <w:sz w:val="13"/>
                <w:szCs w:val="13"/>
                <w:b w:val="1"/>
                <w:bCs w:val="1"/>
                <w:color w:val="1C90D3"/>
              </w:rPr>
              <w:t>Underlying</w:t>
            </w:r>
          </w:p>
        </w:tc>
        <w:tc>
          <w:tcPr>
            <w:tcW w:w="1040" w:type="dxa"/>
            <w:vAlign w:val="bottom"/>
          </w:tcPr>
          <w:p>
            <w:pPr>
              <w:jc w:val="right"/>
              <w:ind w:right="16"/>
              <w:spacing w:after="0" w:line="135" w:lineRule="exact"/>
              <w:rPr>
                <w:sz w:val="20"/>
                <w:szCs w:val="20"/>
                <w:color w:val="auto"/>
              </w:rPr>
            </w:pPr>
            <w:r>
              <w:rPr>
                <w:rFonts w:ascii="Arial" w:cs="Arial" w:eastAsia="Arial" w:hAnsi="Arial"/>
                <w:sz w:val="13"/>
                <w:szCs w:val="13"/>
                <w:b w:val="1"/>
                <w:bCs w:val="1"/>
                <w:color w:val="1C90D3"/>
              </w:rPr>
              <w:t>Securities</w:t>
            </w: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jc w:val="right"/>
              <w:ind w:right="54"/>
              <w:spacing w:after="0" w:line="135" w:lineRule="exact"/>
              <w:rPr>
                <w:sz w:val="20"/>
                <w:szCs w:val="20"/>
                <w:color w:val="auto"/>
              </w:rPr>
            </w:pPr>
            <w:r>
              <w:rPr>
                <w:rFonts w:ascii="Arial" w:cs="Arial" w:eastAsia="Arial" w:hAnsi="Arial"/>
                <w:sz w:val="13"/>
                <w:szCs w:val="13"/>
                <w:b w:val="1"/>
                <w:bCs w:val="1"/>
                <w:color w:val="1C90D3"/>
              </w:rPr>
              <w:t>of Shares</w:t>
            </w:r>
          </w:p>
        </w:tc>
        <w:tc>
          <w:tcPr>
            <w:tcW w:w="920" w:type="dxa"/>
            <w:vAlign w:val="bottom"/>
          </w:tcPr>
          <w:p>
            <w:pPr>
              <w:jc w:val="right"/>
              <w:ind w:right="71"/>
              <w:spacing w:after="0" w:line="135" w:lineRule="exact"/>
              <w:rPr>
                <w:sz w:val="20"/>
                <w:szCs w:val="20"/>
                <w:color w:val="auto"/>
              </w:rPr>
            </w:pPr>
            <w:r>
              <w:rPr>
                <w:rFonts w:ascii="Arial" w:cs="Arial" w:eastAsia="Arial" w:hAnsi="Arial"/>
                <w:sz w:val="13"/>
                <w:szCs w:val="13"/>
                <w:b w:val="1"/>
                <w:bCs w:val="1"/>
                <w:color w:val="1C90D3"/>
              </w:rPr>
              <w:t>Shares or</w:t>
            </w:r>
          </w:p>
        </w:tc>
        <w:tc>
          <w:tcPr>
            <w:tcW w:w="1100" w:type="dxa"/>
            <w:vAlign w:val="bottom"/>
          </w:tcPr>
          <w:p>
            <w:pPr>
              <w:jc w:val="right"/>
              <w:ind w:right="55"/>
              <w:spacing w:after="0" w:line="135" w:lineRule="exact"/>
              <w:rPr>
                <w:sz w:val="20"/>
                <w:szCs w:val="20"/>
                <w:color w:val="auto"/>
              </w:rPr>
            </w:pPr>
            <w:r>
              <w:rPr>
                <w:rFonts w:ascii="Arial" w:cs="Arial" w:eastAsia="Arial" w:hAnsi="Arial"/>
                <w:sz w:val="13"/>
                <w:szCs w:val="13"/>
                <w:b w:val="1"/>
                <w:bCs w:val="1"/>
                <w:color w:val="1C90D3"/>
              </w:rPr>
              <w:t>Shares, Units,</w:t>
            </w:r>
          </w:p>
        </w:tc>
        <w:tc>
          <w:tcPr>
            <w:tcW w:w="1000" w:type="dxa"/>
            <w:vAlign w:val="bottom"/>
          </w:tcPr>
          <w:p>
            <w:pPr>
              <w:jc w:val="right"/>
              <w:spacing w:after="0" w:line="135" w:lineRule="exact"/>
              <w:rPr>
                <w:sz w:val="20"/>
                <w:szCs w:val="20"/>
                <w:color w:val="auto"/>
              </w:rPr>
            </w:pPr>
            <w:r>
              <w:rPr>
                <w:rFonts w:ascii="Arial" w:cs="Arial" w:eastAsia="Arial" w:hAnsi="Arial"/>
                <w:sz w:val="13"/>
                <w:szCs w:val="13"/>
                <w:b w:val="1"/>
                <w:bCs w:val="1"/>
                <w:color w:val="1C90D3"/>
              </w:rPr>
              <w:t>Shares, Units,</w:t>
            </w:r>
          </w:p>
        </w:tc>
      </w:tr>
      <w:tr>
        <w:trPr>
          <w:trHeight w:val="135"/>
        </w:trPr>
        <w:tc>
          <w:tcPr>
            <w:tcW w:w="1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Arial" w:cs="Arial" w:eastAsia="Arial" w:hAnsi="Arial"/>
                <w:sz w:val="13"/>
                <w:szCs w:val="13"/>
                <w:b w:val="1"/>
                <w:bCs w:val="1"/>
                <w:color w:val="1C90D3"/>
              </w:rPr>
              <w:t>Unexercised</w:t>
            </w:r>
          </w:p>
        </w:tc>
        <w:tc>
          <w:tcPr>
            <w:tcW w:w="1220" w:type="dxa"/>
            <w:vAlign w:val="bottom"/>
          </w:tcPr>
          <w:p>
            <w:pPr>
              <w:jc w:val="right"/>
              <w:ind w:right="96"/>
              <w:spacing w:after="0" w:line="135" w:lineRule="exact"/>
              <w:rPr>
                <w:sz w:val="20"/>
                <w:szCs w:val="20"/>
                <w:color w:val="auto"/>
              </w:rPr>
            </w:pPr>
            <w:r>
              <w:rPr>
                <w:rFonts w:ascii="Arial" w:cs="Arial" w:eastAsia="Arial" w:hAnsi="Arial"/>
                <w:sz w:val="13"/>
                <w:szCs w:val="13"/>
                <w:b w:val="1"/>
                <w:bCs w:val="1"/>
                <w:color w:val="1C90D3"/>
              </w:rPr>
              <w:t>Unexercised</w:t>
            </w:r>
          </w:p>
        </w:tc>
        <w:tc>
          <w:tcPr>
            <w:tcW w:w="1040" w:type="dxa"/>
            <w:vAlign w:val="bottom"/>
          </w:tcPr>
          <w:p>
            <w:pPr>
              <w:jc w:val="right"/>
              <w:ind w:right="16"/>
              <w:spacing w:after="0" w:line="135" w:lineRule="exact"/>
              <w:rPr>
                <w:sz w:val="20"/>
                <w:szCs w:val="20"/>
                <w:color w:val="auto"/>
              </w:rPr>
            </w:pPr>
            <w:r>
              <w:rPr>
                <w:rFonts w:ascii="Arial" w:cs="Arial" w:eastAsia="Arial" w:hAnsi="Arial"/>
                <w:sz w:val="13"/>
                <w:szCs w:val="13"/>
                <w:b w:val="1"/>
                <w:bCs w:val="1"/>
                <w:color w:val="1C90D3"/>
              </w:rPr>
              <w:t>Underlying</w:t>
            </w: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jc w:val="right"/>
              <w:ind w:right="54"/>
              <w:spacing w:after="0" w:line="135" w:lineRule="exact"/>
              <w:rPr>
                <w:sz w:val="20"/>
                <w:szCs w:val="20"/>
                <w:color w:val="auto"/>
              </w:rPr>
            </w:pPr>
            <w:r>
              <w:rPr>
                <w:rFonts w:ascii="Arial" w:cs="Arial" w:eastAsia="Arial" w:hAnsi="Arial"/>
                <w:sz w:val="13"/>
                <w:szCs w:val="13"/>
                <w:b w:val="1"/>
                <w:bCs w:val="1"/>
                <w:color w:val="1C90D3"/>
              </w:rPr>
              <w:t>of Units or</w:t>
            </w:r>
          </w:p>
        </w:tc>
        <w:tc>
          <w:tcPr>
            <w:tcW w:w="920" w:type="dxa"/>
            <w:vAlign w:val="bottom"/>
          </w:tcPr>
          <w:p>
            <w:pPr>
              <w:jc w:val="right"/>
              <w:ind w:right="71"/>
              <w:spacing w:after="0" w:line="135" w:lineRule="exact"/>
              <w:rPr>
                <w:sz w:val="20"/>
                <w:szCs w:val="20"/>
                <w:color w:val="auto"/>
              </w:rPr>
            </w:pPr>
            <w:r>
              <w:rPr>
                <w:rFonts w:ascii="Arial" w:cs="Arial" w:eastAsia="Arial" w:hAnsi="Arial"/>
                <w:sz w:val="13"/>
                <w:szCs w:val="13"/>
                <w:b w:val="1"/>
                <w:bCs w:val="1"/>
                <w:color w:val="1C90D3"/>
              </w:rPr>
              <w:t>Units of</w:t>
            </w:r>
          </w:p>
        </w:tc>
        <w:tc>
          <w:tcPr>
            <w:tcW w:w="1100" w:type="dxa"/>
            <w:vAlign w:val="bottom"/>
          </w:tcPr>
          <w:p>
            <w:pPr>
              <w:jc w:val="right"/>
              <w:ind w:right="55"/>
              <w:spacing w:after="0" w:line="135" w:lineRule="exact"/>
              <w:rPr>
                <w:sz w:val="20"/>
                <w:szCs w:val="20"/>
                <w:color w:val="auto"/>
              </w:rPr>
            </w:pPr>
            <w:r>
              <w:rPr>
                <w:rFonts w:ascii="Arial" w:cs="Arial" w:eastAsia="Arial" w:hAnsi="Arial"/>
                <w:sz w:val="13"/>
                <w:szCs w:val="13"/>
                <w:b w:val="1"/>
                <w:bCs w:val="1"/>
                <w:color w:val="1C90D3"/>
              </w:rPr>
              <w:t>or Other</w:t>
            </w:r>
          </w:p>
        </w:tc>
        <w:tc>
          <w:tcPr>
            <w:tcW w:w="1000" w:type="dxa"/>
            <w:vAlign w:val="bottom"/>
          </w:tcPr>
          <w:p>
            <w:pPr>
              <w:jc w:val="right"/>
              <w:spacing w:after="0" w:line="135" w:lineRule="exact"/>
              <w:rPr>
                <w:sz w:val="20"/>
                <w:szCs w:val="20"/>
                <w:color w:val="auto"/>
              </w:rPr>
            </w:pPr>
            <w:r>
              <w:rPr>
                <w:rFonts w:ascii="Arial" w:cs="Arial" w:eastAsia="Arial" w:hAnsi="Arial"/>
                <w:sz w:val="13"/>
                <w:szCs w:val="13"/>
                <w:b w:val="1"/>
                <w:bCs w:val="1"/>
                <w:color w:val="1C90D3"/>
              </w:rPr>
              <w:t>or Other</w:t>
            </w:r>
          </w:p>
        </w:tc>
      </w:tr>
      <w:tr>
        <w:trPr>
          <w:trHeight w:val="135"/>
        </w:trPr>
        <w:tc>
          <w:tcPr>
            <w:tcW w:w="1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Arial" w:cs="Arial" w:eastAsia="Arial" w:hAnsi="Arial"/>
                <w:sz w:val="13"/>
                <w:szCs w:val="13"/>
                <w:b w:val="1"/>
                <w:bCs w:val="1"/>
                <w:color w:val="1C90D3"/>
              </w:rPr>
              <w:t>Options</w:t>
            </w:r>
          </w:p>
        </w:tc>
        <w:tc>
          <w:tcPr>
            <w:tcW w:w="1220" w:type="dxa"/>
            <w:vAlign w:val="bottom"/>
          </w:tcPr>
          <w:p>
            <w:pPr>
              <w:jc w:val="right"/>
              <w:ind w:right="96"/>
              <w:spacing w:after="0" w:line="135" w:lineRule="exact"/>
              <w:rPr>
                <w:sz w:val="20"/>
                <w:szCs w:val="20"/>
                <w:color w:val="auto"/>
              </w:rPr>
            </w:pPr>
            <w:r>
              <w:rPr>
                <w:rFonts w:ascii="Arial" w:cs="Arial" w:eastAsia="Arial" w:hAnsi="Arial"/>
                <w:sz w:val="13"/>
                <w:szCs w:val="13"/>
                <w:b w:val="1"/>
                <w:bCs w:val="1"/>
                <w:color w:val="1C90D3"/>
              </w:rPr>
              <w:t>Options</w:t>
            </w:r>
          </w:p>
        </w:tc>
        <w:tc>
          <w:tcPr>
            <w:tcW w:w="1040" w:type="dxa"/>
            <w:vAlign w:val="bottom"/>
          </w:tcPr>
          <w:p>
            <w:pPr>
              <w:jc w:val="right"/>
              <w:ind w:right="16"/>
              <w:spacing w:after="0" w:line="135" w:lineRule="exact"/>
              <w:rPr>
                <w:sz w:val="20"/>
                <w:szCs w:val="20"/>
                <w:color w:val="auto"/>
              </w:rPr>
            </w:pPr>
            <w:r>
              <w:rPr>
                <w:rFonts w:ascii="Arial" w:cs="Arial" w:eastAsia="Arial" w:hAnsi="Arial"/>
                <w:sz w:val="13"/>
                <w:szCs w:val="13"/>
                <w:b w:val="1"/>
                <w:bCs w:val="1"/>
                <w:color w:val="1C90D3"/>
              </w:rPr>
              <w:t>Unexercised</w:t>
            </w:r>
          </w:p>
        </w:tc>
        <w:tc>
          <w:tcPr>
            <w:tcW w:w="700" w:type="dxa"/>
            <w:vAlign w:val="bottom"/>
            <w:gridSpan w:val="2"/>
          </w:tcPr>
          <w:p>
            <w:pPr>
              <w:jc w:val="right"/>
              <w:ind w:right="100"/>
              <w:spacing w:after="0" w:line="135" w:lineRule="exact"/>
              <w:rPr>
                <w:sz w:val="20"/>
                <w:szCs w:val="20"/>
                <w:color w:val="auto"/>
              </w:rPr>
            </w:pPr>
            <w:r>
              <w:rPr>
                <w:rFonts w:ascii="Arial" w:cs="Arial" w:eastAsia="Arial" w:hAnsi="Arial"/>
                <w:sz w:val="13"/>
                <w:szCs w:val="13"/>
                <w:b w:val="1"/>
                <w:bCs w:val="1"/>
                <w:color w:val="1C90D3"/>
              </w:rPr>
              <w:t>Option</w:t>
            </w:r>
          </w:p>
        </w:tc>
        <w:tc>
          <w:tcPr>
            <w:tcW w:w="800" w:type="dxa"/>
            <w:vAlign w:val="bottom"/>
          </w:tcPr>
          <w:p>
            <w:pPr>
              <w:jc w:val="right"/>
              <w:ind w:right="51"/>
              <w:spacing w:after="0" w:line="135" w:lineRule="exact"/>
              <w:rPr>
                <w:sz w:val="20"/>
                <w:szCs w:val="20"/>
                <w:color w:val="auto"/>
              </w:rPr>
            </w:pPr>
            <w:r>
              <w:rPr>
                <w:rFonts w:ascii="Arial" w:cs="Arial" w:eastAsia="Arial" w:hAnsi="Arial"/>
                <w:sz w:val="13"/>
                <w:szCs w:val="13"/>
                <w:b w:val="1"/>
                <w:bCs w:val="1"/>
                <w:color w:val="1C90D3"/>
              </w:rPr>
              <w:t>Option</w:t>
            </w:r>
          </w:p>
        </w:tc>
        <w:tc>
          <w:tcPr>
            <w:tcW w:w="880" w:type="dxa"/>
            <w:vAlign w:val="bottom"/>
          </w:tcPr>
          <w:p>
            <w:pPr>
              <w:jc w:val="right"/>
              <w:ind w:right="54"/>
              <w:spacing w:after="0" w:line="135" w:lineRule="exact"/>
              <w:rPr>
                <w:sz w:val="20"/>
                <w:szCs w:val="20"/>
                <w:color w:val="auto"/>
              </w:rPr>
            </w:pPr>
            <w:r>
              <w:rPr>
                <w:rFonts w:ascii="Arial" w:cs="Arial" w:eastAsia="Arial" w:hAnsi="Arial"/>
                <w:sz w:val="13"/>
                <w:szCs w:val="13"/>
                <w:b w:val="1"/>
                <w:bCs w:val="1"/>
                <w:color w:val="1C90D3"/>
              </w:rPr>
              <w:t>Stock That</w:t>
            </w:r>
          </w:p>
        </w:tc>
        <w:tc>
          <w:tcPr>
            <w:tcW w:w="920" w:type="dxa"/>
            <w:vAlign w:val="bottom"/>
          </w:tcPr>
          <w:p>
            <w:pPr>
              <w:jc w:val="right"/>
              <w:ind w:right="71"/>
              <w:spacing w:after="0" w:line="135" w:lineRule="exact"/>
              <w:rPr>
                <w:sz w:val="20"/>
                <w:szCs w:val="20"/>
                <w:color w:val="auto"/>
              </w:rPr>
            </w:pPr>
            <w:r>
              <w:rPr>
                <w:rFonts w:ascii="Arial" w:cs="Arial" w:eastAsia="Arial" w:hAnsi="Arial"/>
                <w:sz w:val="13"/>
                <w:szCs w:val="13"/>
                <w:b w:val="1"/>
                <w:bCs w:val="1"/>
                <w:color w:val="1C90D3"/>
              </w:rPr>
              <w:t>Stock That</w:t>
            </w:r>
          </w:p>
        </w:tc>
        <w:tc>
          <w:tcPr>
            <w:tcW w:w="1100" w:type="dxa"/>
            <w:vAlign w:val="bottom"/>
          </w:tcPr>
          <w:p>
            <w:pPr>
              <w:jc w:val="right"/>
              <w:ind w:right="55"/>
              <w:spacing w:after="0" w:line="135" w:lineRule="exact"/>
              <w:rPr>
                <w:sz w:val="20"/>
                <w:szCs w:val="20"/>
                <w:color w:val="auto"/>
              </w:rPr>
            </w:pPr>
            <w:r>
              <w:rPr>
                <w:rFonts w:ascii="Arial" w:cs="Arial" w:eastAsia="Arial" w:hAnsi="Arial"/>
                <w:sz w:val="13"/>
                <w:szCs w:val="13"/>
                <w:b w:val="1"/>
                <w:bCs w:val="1"/>
                <w:color w:val="1C90D3"/>
              </w:rPr>
              <w:t>Rights That</w:t>
            </w:r>
          </w:p>
        </w:tc>
        <w:tc>
          <w:tcPr>
            <w:tcW w:w="1000" w:type="dxa"/>
            <w:vAlign w:val="bottom"/>
          </w:tcPr>
          <w:p>
            <w:pPr>
              <w:jc w:val="right"/>
              <w:spacing w:after="0" w:line="135" w:lineRule="exact"/>
              <w:rPr>
                <w:sz w:val="20"/>
                <w:szCs w:val="20"/>
                <w:color w:val="auto"/>
              </w:rPr>
            </w:pPr>
            <w:r>
              <w:rPr>
                <w:rFonts w:ascii="Arial" w:cs="Arial" w:eastAsia="Arial" w:hAnsi="Arial"/>
                <w:sz w:val="13"/>
                <w:szCs w:val="13"/>
                <w:b w:val="1"/>
                <w:bCs w:val="1"/>
                <w:color w:val="1C90D3"/>
              </w:rPr>
              <w:t>Rights That</w:t>
            </w:r>
          </w:p>
        </w:tc>
      </w:tr>
      <w:tr>
        <w:trPr>
          <w:trHeight w:val="135"/>
        </w:trPr>
        <w:tc>
          <w:tcPr>
            <w:tcW w:w="1800" w:type="dxa"/>
            <w:vAlign w:val="bottom"/>
          </w:tcPr>
          <w:p>
            <w:pPr>
              <w:spacing w:after="0"/>
              <w:rPr>
                <w:sz w:val="11"/>
                <w:szCs w:val="11"/>
                <w:color w:val="auto"/>
              </w:rPr>
            </w:pPr>
          </w:p>
        </w:tc>
        <w:tc>
          <w:tcPr>
            <w:tcW w:w="840" w:type="dxa"/>
            <w:vAlign w:val="bottom"/>
          </w:tcPr>
          <w:p>
            <w:pPr>
              <w:jc w:val="right"/>
              <w:ind w:right="109"/>
              <w:spacing w:after="0" w:line="135" w:lineRule="exact"/>
              <w:rPr>
                <w:sz w:val="20"/>
                <w:szCs w:val="20"/>
                <w:color w:val="auto"/>
              </w:rPr>
            </w:pPr>
            <w:r>
              <w:rPr>
                <w:rFonts w:ascii="Arial" w:cs="Arial" w:eastAsia="Arial" w:hAnsi="Arial"/>
                <w:sz w:val="13"/>
                <w:szCs w:val="13"/>
                <w:b w:val="1"/>
                <w:bCs w:val="1"/>
                <w:color w:val="1C90D3"/>
              </w:rPr>
              <w:t>Grant</w:t>
            </w:r>
          </w:p>
        </w:tc>
        <w:tc>
          <w:tcPr>
            <w:tcW w:w="1000" w:type="dxa"/>
            <w:vAlign w:val="bottom"/>
          </w:tcPr>
          <w:p>
            <w:pPr>
              <w:jc w:val="right"/>
              <w:spacing w:after="0" w:line="135" w:lineRule="exact"/>
              <w:rPr>
                <w:sz w:val="20"/>
                <w:szCs w:val="20"/>
                <w:color w:val="auto"/>
              </w:rPr>
            </w:pPr>
            <w:r>
              <w:rPr>
                <w:rFonts w:ascii="Arial" w:cs="Arial" w:eastAsia="Arial" w:hAnsi="Arial"/>
                <w:sz w:val="13"/>
                <w:szCs w:val="13"/>
                <w:b w:val="1"/>
                <w:bCs w:val="1"/>
                <w:color w:val="1C90D3"/>
              </w:rPr>
              <w:t>Exercisable</w:t>
            </w:r>
          </w:p>
        </w:tc>
        <w:tc>
          <w:tcPr>
            <w:tcW w:w="1220" w:type="dxa"/>
            <w:vAlign w:val="bottom"/>
          </w:tcPr>
          <w:p>
            <w:pPr>
              <w:jc w:val="right"/>
              <w:ind w:right="96"/>
              <w:spacing w:after="0" w:line="135" w:lineRule="exact"/>
              <w:rPr>
                <w:sz w:val="20"/>
                <w:szCs w:val="20"/>
                <w:color w:val="auto"/>
              </w:rPr>
            </w:pPr>
            <w:r>
              <w:rPr>
                <w:rFonts w:ascii="Arial" w:cs="Arial" w:eastAsia="Arial" w:hAnsi="Arial"/>
                <w:sz w:val="13"/>
                <w:szCs w:val="13"/>
                <w:b w:val="1"/>
                <w:bCs w:val="1"/>
                <w:color w:val="1C90D3"/>
              </w:rPr>
              <w:t>Unexercisable</w:t>
            </w:r>
          </w:p>
        </w:tc>
        <w:tc>
          <w:tcPr>
            <w:tcW w:w="1040" w:type="dxa"/>
            <w:vAlign w:val="bottom"/>
          </w:tcPr>
          <w:p>
            <w:pPr>
              <w:jc w:val="right"/>
              <w:ind w:right="16"/>
              <w:spacing w:after="0" w:line="135" w:lineRule="exact"/>
              <w:rPr>
                <w:sz w:val="20"/>
                <w:szCs w:val="20"/>
                <w:color w:val="auto"/>
              </w:rPr>
            </w:pPr>
            <w:r>
              <w:rPr>
                <w:rFonts w:ascii="Arial" w:cs="Arial" w:eastAsia="Arial" w:hAnsi="Arial"/>
                <w:sz w:val="13"/>
                <w:szCs w:val="13"/>
                <w:b w:val="1"/>
                <w:bCs w:val="1"/>
                <w:color w:val="1C90D3"/>
              </w:rPr>
              <w:t>Unearned</w:t>
            </w:r>
          </w:p>
        </w:tc>
        <w:tc>
          <w:tcPr>
            <w:tcW w:w="700" w:type="dxa"/>
            <w:vAlign w:val="bottom"/>
            <w:gridSpan w:val="2"/>
          </w:tcPr>
          <w:p>
            <w:pPr>
              <w:jc w:val="right"/>
              <w:ind w:right="100"/>
              <w:spacing w:after="0" w:line="135" w:lineRule="exact"/>
              <w:rPr>
                <w:sz w:val="20"/>
                <w:szCs w:val="20"/>
                <w:color w:val="auto"/>
              </w:rPr>
            </w:pPr>
            <w:r>
              <w:rPr>
                <w:rFonts w:ascii="Arial" w:cs="Arial" w:eastAsia="Arial" w:hAnsi="Arial"/>
                <w:sz w:val="13"/>
                <w:szCs w:val="13"/>
                <w:b w:val="1"/>
                <w:bCs w:val="1"/>
                <w:color w:val="1C90D3"/>
              </w:rPr>
              <w:t>Exercise</w:t>
            </w:r>
          </w:p>
        </w:tc>
        <w:tc>
          <w:tcPr>
            <w:tcW w:w="800" w:type="dxa"/>
            <w:vAlign w:val="bottom"/>
          </w:tcPr>
          <w:p>
            <w:pPr>
              <w:jc w:val="right"/>
              <w:ind w:right="51"/>
              <w:spacing w:after="0" w:line="135" w:lineRule="exact"/>
              <w:rPr>
                <w:sz w:val="20"/>
                <w:szCs w:val="20"/>
                <w:color w:val="auto"/>
              </w:rPr>
            </w:pPr>
            <w:r>
              <w:rPr>
                <w:rFonts w:ascii="Arial" w:cs="Arial" w:eastAsia="Arial" w:hAnsi="Arial"/>
                <w:sz w:val="13"/>
                <w:szCs w:val="13"/>
                <w:b w:val="1"/>
                <w:bCs w:val="1"/>
                <w:color w:val="1C90D3"/>
              </w:rPr>
              <w:t>Expiration</w:t>
            </w:r>
          </w:p>
        </w:tc>
        <w:tc>
          <w:tcPr>
            <w:tcW w:w="880" w:type="dxa"/>
            <w:vAlign w:val="bottom"/>
          </w:tcPr>
          <w:p>
            <w:pPr>
              <w:jc w:val="right"/>
              <w:ind w:right="54"/>
              <w:spacing w:after="0" w:line="135" w:lineRule="exact"/>
              <w:rPr>
                <w:sz w:val="20"/>
                <w:szCs w:val="20"/>
                <w:color w:val="auto"/>
              </w:rPr>
            </w:pPr>
            <w:r>
              <w:rPr>
                <w:rFonts w:ascii="Arial" w:cs="Arial" w:eastAsia="Arial" w:hAnsi="Arial"/>
                <w:sz w:val="13"/>
                <w:szCs w:val="13"/>
                <w:b w:val="1"/>
                <w:bCs w:val="1"/>
                <w:color w:val="1C90D3"/>
              </w:rPr>
              <w:t>Have Not</w:t>
            </w:r>
          </w:p>
        </w:tc>
        <w:tc>
          <w:tcPr>
            <w:tcW w:w="920" w:type="dxa"/>
            <w:vAlign w:val="bottom"/>
          </w:tcPr>
          <w:p>
            <w:pPr>
              <w:jc w:val="right"/>
              <w:ind w:right="71"/>
              <w:spacing w:after="0" w:line="135" w:lineRule="exact"/>
              <w:rPr>
                <w:sz w:val="20"/>
                <w:szCs w:val="20"/>
                <w:color w:val="auto"/>
              </w:rPr>
            </w:pPr>
            <w:r>
              <w:rPr>
                <w:rFonts w:ascii="Arial" w:cs="Arial" w:eastAsia="Arial" w:hAnsi="Arial"/>
                <w:sz w:val="13"/>
                <w:szCs w:val="13"/>
                <w:b w:val="1"/>
                <w:bCs w:val="1"/>
                <w:color w:val="1C90D3"/>
              </w:rPr>
              <w:t>Have Not</w:t>
            </w:r>
          </w:p>
        </w:tc>
        <w:tc>
          <w:tcPr>
            <w:tcW w:w="1100" w:type="dxa"/>
            <w:vAlign w:val="bottom"/>
          </w:tcPr>
          <w:p>
            <w:pPr>
              <w:jc w:val="right"/>
              <w:ind w:right="55"/>
              <w:spacing w:after="0" w:line="135" w:lineRule="exact"/>
              <w:rPr>
                <w:sz w:val="20"/>
                <w:szCs w:val="20"/>
                <w:color w:val="auto"/>
              </w:rPr>
            </w:pPr>
            <w:r>
              <w:rPr>
                <w:rFonts w:ascii="Arial" w:cs="Arial" w:eastAsia="Arial" w:hAnsi="Arial"/>
                <w:sz w:val="13"/>
                <w:szCs w:val="13"/>
                <w:b w:val="1"/>
                <w:bCs w:val="1"/>
                <w:color w:val="1C90D3"/>
              </w:rPr>
              <w:t>Have Not</w:t>
            </w:r>
          </w:p>
        </w:tc>
        <w:tc>
          <w:tcPr>
            <w:tcW w:w="1000" w:type="dxa"/>
            <w:vAlign w:val="bottom"/>
          </w:tcPr>
          <w:p>
            <w:pPr>
              <w:jc w:val="right"/>
              <w:spacing w:after="0" w:line="135" w:lineRule="exact"/>
              <w:rPr>
                <w:sz w:val="20"/>
                <w:szCs w:val="20"/>
                <w:color w:val="auto"/>
              </w:rPr>
            </w:pPr>
            <w:r>
              <w:rPr>
                <w:rFonts w:ascii="Arial" w:cs="Arial" w:eastAsia="Arial" w:hAnsi="Arial"/>
                <w:sz w:val="13"/>
                <w:szCs w:val="13"/>
                <w:b w:val="1"/>
                <w:bCs w:val="1"/>
                <w:color w:val="1C90D3"/>
              </w:rPr>
              <w:t>Have Not</w:t>
            </w:r>
          </w:p>
        </w:tc>
      </w:tr>
      <w:tr>
        <w:trPr>
          <w:trHeight w:val="164"/>
        </w:trPr>
        <w:tc>
          <w:tcPr>
            <w:tcW w:w="1800" w:type="dxa"/>
            <w:vAlign w:val="bottom"/>
            <w:tcBorders>
              <w:bottom w:val="single" w:sz="8" w:color="1C90D3"/>
            </w:tcBorders>
          </w:tcPr>
          <w:p>
            <w:pPr>
              <w:ind w:left="60"/>
              <w:spacing w:after="0"/>
              <w:rPr>
                <w:sz w:val="20"/>
                <w:szCs w:val="20"/>
                <w:color w:val="auto"/>
              </w:rPr>
            </w:pPr>
            <w:r>
              <w:rPr>
                <w:rFonts w:ascii="Arial" w:cs="Arial" w:eastAsia="Arial" w:hAnsi="Arial"/>
                <w:sz w:val="13"/>
                <w:szCs w:val="13"/>
                <w:b w:val="1"/>
                <w:bCs w:val="1"/>
                <w:color w:val="1C90D3"/>
              </w:rPr>
              <w:t>Name</w:t>
            </w:r>
          </w:p>
        </w:tc>
        <w:tc>
          <w:tcPr>
            <w:tcW w:w="840" w:type="dxa"/>
            <w:vAlign w:val="bottom"/>
            <w:tcBorders>
              <w:bottom w:val="single" w:sz="8" w:color="1C90D3"/>
            </w:tcBorders>
          </w:tcPr>
          <w:p>
            <w:pPr>
              <w:jc w:val="right"/>
              <w:ind w:right="109"/>
              <w:spacing w:after="0"/>
              <w:rPr>
                <w:sz w:val="20"/>
                <w:szCs w:val="20"/>
                <w:color w:val="auto"/>
              </w:rPr>
            </w:pPr>
            <w:r>
              <w:rPr>
                <w:rFonts w:ascii="Arial" w:cs="Arial" w:eastAsia="Arial" w:hAnsi="Arial"/>
                <w:sz w:val="13"/>
                <w:szCs w:val="13"/>
                <w:b w:val="1"/>
                <w:bCs w:val="1"/>
                <w:color w:val="1C90D3"/>
              </w:rPr>
              <w:t>Date</w:t>
            </w:r>
          </w:p>
        </w:tc>
        <w:tc>
          <w:tcPr>
            <w:tcW w:w="1000" w:type="dxa"/>
            <w:vAlign w:val="bottom"/>
            <w:tcBorders>
              <w:bottom w:val="single" w:sz="8" w:color="1C90D3"/>
            </w:tcBorders>
          </w:tcPr>
          <w:p>
            <w:pPr>
              <w:jc w:val="right"/>
              <w:spacing w:after="0"/>
              <w:rPr>
                <w:sz w:val="20"/>
                <w:szCs w:val="20"/>
                <w:color w:val="auto"/>
              </w:rPr>
            </w:pPr>
            <w:r>
              <w:rPr>
                <w:rFonts w:ascii="Arial" w:cs="Arial" w:eastAsia="Arial" w:hAnsi="Arial"/>
                <w:sz w:val="13"/>
                <w:szCs w:val="13"/>
                <w:b w:val="1"/>
                <w:bCs w:val="1"/>
                <w:color w:val="1C90D3"/>
              </w:rPr>
              <w:t>(#)</w:t>
            </w:r>
          </w:p>
        </w:tc>
        <w:tc>
          <w:tcPr>
            <w:tcW w:w="1220" w:type="dxa"/>
            <w:vAlign w:val="bottom"/>
            <w:tcBorders>
              <w:bottom w:val="single" w:sz="8" w:color="1C90D3"/>
            </w:tcBorders>
          </w:tcPr>
          <w:p>
            <w:pPr>
              <w:jc w:val="right"/>
              <w:ind w:right="96"/>
              <w:spacing w:after="0"/>
              <w:rPr>
                <w:sz w:val="20"/>
                <w:szCs w:val="20"/>
                <w:color w:val="auto"/>
              </w:rPr>
            </w:pPr>
            <w:r>
              <w:rPr>
                <w:rFonts w:ascii="Arial" w:cs="Arial" w:eastAsia="Arial" w:hAnsi="Arial"/>
                <w:sz w:val="13"/>
                <w:szCs w:val="13"/>
                <w:b w:val="1"/>
                <w:bCs w:val="1"/>
                <w:color w:val="1C90D3"/>
              </w:rPr>
              <w:t>(#)</w:t>
            </w:r>
          </w:p>
        </w:tc>
        <w:tc>
          <w:tcPr>
            <w:tcW w:w="1040" w:type="dxa"/>
            <w:vAlign w:val="bottom"/>
            <w:tcBorders>
              <w:bottom w:val="single" w:sz="8" w:color="1C90D3"/>
            </w:tcBorders>
          </w:tcPr>
          <w:p>
            <w:pPr>
              <w:jc w:val="right"/>
              <w:ind w:right="16"/>
              <w:spacing w:after="0"/>
              <w:rPr>
                <w:sz w:val="20"/>
                <w:szCs w:val="20"/>
                <w:color w:val="auto"/>
              </w:rPr>
            </w:pPr>
            <w:r>
              <w:rPr>
                <w:rFonts w:ascii="Arial" w:cs="Arial" w:eastAsia="Arial" w:hAnsi="Arial"/>
                <w:sz w:val="13"/>
                <w:szCs w:val="13"/>
                <w:b w:val="1"/>
                <w:bCs w:val="1"/>
                <w:color w:val="1C90D3"/>
              </w:rPr>
              <w:t>Options (#)</w:t>
            </w:r>
          </w:p>
        </w:tc>
        <w:tc>
          <w:tcPr>
            <w:tcW w:w="700" w:type="dxa"/>
            <w:vAlign w:val="bottom"/>
            <w:tcBorders>
              <w:bottom w:val="single" w:sz="8" w:color="1C90D3"/>
            </w:tcBorders>
            <w:gridSpan w:val="2"/>
          </w:tcPr>
          <w:p>
            <w:pPr>
              <w:jc w:val="right"/>
              <w:ind w:right="100"/>
              <w:spacing w:after="0"/>
              <w:rPr>
                <w:sz w:val="20"/>
                <w:szCs w:val="20"/>
                <w:color w:val="auto"/>
              </w:rPr>
            </w:pPr>
            <w:r>
              <w:rPr>
                <w:rFonts w:ascii="Arial" w:cs="Arial" w:eastAsia="Arial" w:hAnsi="Arial"/>
                <w:sz w:val="13"/>
                <w:szCs w:val="13"/>
                <w:b w:val="1"/>
                <w:bCs w:val="1"/>
                <w:color w:val="1C90D3"/>
              </w:rPr>
              <w:t>Price ($)</w:t>
            </w:r>
          </w:p>
        </w:tc>
        <w:tc>
          <w:tcPr>
            <w:tcW w:w="800" w:type="dxa"/>
            <w:vAlign w:val="bottom"/>
            <w:tcBorders>
              <w:bottom w:val="single" w:sz="8" w:color="1C90D3"/>
            </w:tcBorders>
          </w:tcPr>
          <w:p>
            <w:pPr>
              <w:jc w:val="right"/>
              <w:ind w:right="51"/>
              <w:spacing w:after="0"/>
              <w:rPr>
                <w:sz w:val="20"/>
                <w:szCs w:val="20"/>
                <w:color w:val="auto"/>
              </w:rPr>
            </w:pPr>
            <w:r>
              <w:rPr>
                <w:rFonts w:ascii="Arial" w:cs="Arial" w:eastAsia="Arial" w:hAnsi="Arial"/>
                <w:sz w:val="13"/>
                <w:szCs w:val="13"/>
                <w:b w:val="1"/>
                <w:bCs w:val="1"/>
                <w:color w:val="1C90D3"/>
              </w:rPr>
              <w:t>Date</w:t>
            </w:r>
          </w:p>
        </w:tc>
        <w:tc>
          <w:tcPr>
            <w:tcW w:w="880" w:type="dxa"/>
            <w:vAlign w:val="bottom"/>
            <w:tcBorders>
              <w:bottom w:val="single" w:sz="8" w:color="1C90D3"/>
            </w:tcBorders>
          </w:tcPr>
          <w:p>
            <w:pPr>
              <w:jc w:val="right"/>
              <w:ind w:right="54"/>
              <w:spacing w:after="0"/>
              <w:rPr>
                <w:sz w:val="20"/>
                <w:szCs w:val="20"/>
                <w:color w:val="auto"/>
              </w:rPr>
            </w:pPr>
            <w:r>
              <w:rPr>
                <w:rFonts w:ascii="Arial" w:cs="Arial" w:eastAsia="Arial" w:hAnsi="Arial"/>
                <w:sz w:val="13"/>
                <w:szCs w:val="13"/>
                <w:b w:val="1"/>
                <w:bCs w:val="1"/>
                <w:color w:val="1C90D3"/>
              </w:rPr>
              <w:t>Vested (#)</w:t>
            </w:r>
          </w:p>
        </w:tc>
        <w:tc>
          <w:tcPr>
            <w:tcW w:w="920" w:type="dxa"/>
            <w:vAlign w:val="bottom"/>
            <w:tcBorders>
              <w:bottom w:val="single" w:sz="8" w:color="1C90D3"/>
            </w:tcBorders>
          </w:tcPr>
          <w:p>
            <w:pPr>
              <w:jc w:val="right"/>
              <w:ind w:right="71"/>
              <w:spacing w:after="0"/>
              <w:rPr>
                <w:sz w:val="20"/>
                <w:szCs w:val="20"/>
                <w:color w:val="auto"/>
              </w:rPr>
            </w:pPr>
            <w:r>
              <w:rPr>
                <w:rFonts w:ascii="Arial" w:cs="Arial" w:eastAsia="Arial" w:hAnsi="Arial"/>
                <w:sz w:val="13"/>
                <w:szCs w:val="13"/>
                <w:b w:val="1"/>
                <w:bCs w:val="1"/>
                <w:color w:val="1C90D3"/>
              </w:rPr>
              <w:t>Vested ($)</w:t>
            </w:r>
          </w:p>
        </w:tc>
        <w:tc>
          <w:tcPr>
            <w:tcW w:w="1100" w:type="dxa"/>
            <w:vAlign w:val="bottom"/>
            <w:tcBorders>
              <w:bottom w:val="single" w:sz="8" w:color="1C90D3"/>
            </w:tcBorders>
          </w:tcPr>
          <w:p>
            <w:pPr>
              <w:jc w:val="right"/>
              <w:ind w:right="55"/>
              <w:spacing w:after="0"/>
              <w:rPr>
                <w:sz w:val="20"/>
                <w:szCs w:val="20"/>
                <w:color w:val="auto"/>
              </w:rPr>
            </w:pPr>
            <w:r>
              <w:rPr>
                <w:rFonts w:ascii="Arial" w:cs="Arial" w:eastAsia="Arial" w:hAnsi="Arial"/>
                <w:sz w:val="13"/>
                <w:szCs w:val="13"/>
                <w:b w:val="1"/>
                <w:bCs w:val="1"/>
                <w:color w:val="1C90D3"/>
              </w:rPr>
              <w:t>Vested (#)</w:t>
            </w:r>
          </w:p>
        </w:tc>
        <w:tc>
          <w:tcPr>
            <w:tcW w:w="1000" w:type="dxa"/>
            <w:vAlign w:val="bottom"/>
            <w:tcBorders>
              <w:bottom w:val="single" w:sz="8" w:color="1C90D3"/>
            </w:tcBorders>
          </w:tcPr>
          <w:p>
            <w:pPr>
              <w:jc w:val="right"/>
              <w:spacing w:after="0"/>
              <w:rPr>
                <w:sz w:val="20"/>
                <w:szCs w:val="20"/>
                <w:color w:val="auto"/>
              </w:rPr>
            </w:pPr>
            <w:r>
              <w:rPr>
                <w:rFonts w:ascii="Arial" w:cs="Arial" w:eastAsia="Arial" w:hAnsi="Arial"/>
                <w:sz w:val="13"/>
                <w:szCs w:val="13"/>
                <w:b w:val="1"/>
                <w:bCs w:val="1"/>
                <w:color w:val="1C90D3"/>
              </w:rPr>
              <w:t>Vested ($)</w:t>
            </w:r>
          </w:p>
        </w:tc>
      </w:tr>
      <w:tr>
        <w:trPr>
          <w:trHeight w:val="189"/>
        </w:trPr>
        <w:tc>
          <w:tcPr>
            <w:tcW w:w="1800" w:type="dxa"/>
            <w:vAlign w:val="bottom"/>
          </w:tcPr>
          <w:p>
            <w:pPr>
              <w:ind w:left="60"/>
              <w:spacing w:after="0"/>
              <w:rPr>
                <w:sz w:val="20"/>
                <w:szCs w:val="20"/>
                <w:color w:val="auto"/>
              </w:rPr>
            </w:pPr>
            <w:r>
              <w:rPr>
                <w:rFonts w:ascii="Arial" w:cs="Arial" w:eastAsia="Arial" w:hAnsi="Arial"/>
                <w:sz w:val="14"/>
                <w:szCs w:val="14"/>
                <w:color w:val="auto"/>
              </w:rPr>
              <w:t>Mary T. Barra</w:t>
            </w:r>
          </w:p>
        </w:tc>
        <w:tc>
          <w:tcPr>
            <w:tcW w:w="8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7/28/2015</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96"/>
              <w:spacing w:after="0" w:line="189" w:lineRule="exact"/>
              <w:rPr>
                <w:sz w:val="20"/>
                <w:szCs w:val="20"/>
                <w:color w:val="auto"/>
              </w:rPr>
            </w:pPr>
            <w:r>
              <w:rPr>
                <w:rFonts w:ascii="Arial" w:cs="Arial" w:eastAsia="Arial" w:hAnsi="Arial"/>
                <w:sz w:val="13"/>
                <w:szCs w:val="13"/>
                <w:color w:val="auto"/>
              </w:rPr>
              <w:t>1,041, 215</w:t>
            </w:r>
            <w:r>
              <w:rPr>
                <w:rFonts w:ascii="Arial" w:cs="Arial" w:eastAsia="Arial" w:hAnsi="Arial"/>
                <w:sz w:val="21"/>
                <w:szCs w:val="21"/>
                <w:color w:val="auto"/>
                <w:vertAlign w:val="superscript"/>
              </w:rPr>
              <w:t>(2)</w:t>
            </w:r>
          </w:p>
        </w:tc>
        <w:tc>
          <w:tcPr>
            <w:tcW w:w="1040" w:type="dxa"/>
            <w:vAlign w:val="bottom"/>
            <w:tcBorders>
              <w:bottom w:val="single" w:sz="8" w:color="auto"/>
            </w:tcBorders>
          </w:tcPr>
          <w:p>
            <w:pPr>
              <w:jc w:val="right"/>
              <w:ind w:right="16"/>
              <w:spacing w:after="0" w:line="189" w:lineRule="exact"/>
              <w:rPr>
                <w:sz w:val="20"/>
                <w:szCs w:val="20"/>
                <w:color w:val="auto"/>
              </w:rPr>
            </w:pPr>
            <w:r>
              <w:rPr>
                <w:rFonts w:ascii="Arial" w:cs="Arial" w:eastAsia="Arial" w:hAnsi="Arial"/>
                <w:sz w:val="13"/>
                <w:szCs w:val="13"/>
                <w:color w:val="auto"/>
              </w:rPr>
              <w:t>1,561,822</w:t>
            </w:r>
            <w:r>
              <w:rPr>
                <w:rFonts w:ascii="Arial" w:cs="Arial" w:eastAsia="Arial" w:hAnsi="Arial"/>
                <w:sz w:val="21"/>
                <w:szCs w:val="21"/>
                <w:color w:val="auto"/>
                <w:vertAlign w:val="superscript"/>
              </w:rPr>
              <w:t>(3)</w:t>
            </w:r>
          </w:p>
        </w:tc>
        <w:tc>
          <w:tcPr>
            <w:tcW w:w="7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31.32</w:t>
            </w:r>
          </w:p>
        </w:tc>
        <w:tc>
          <w:tcPr>
            <w:tcW w:w="8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7/28/2025</w:t>
            </w:r>
          </w:p>
        </w:tc>
        <w:tc>
          <w:tcPr>
            <w:tcW w:w="8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183"/>
        </w:trPr>
        <w:tc>
          <w:tcPr>
            <w:tcW w:w="1800" w:type="dxa"/>
            <w:vAlign w:val="bottom"/>
          </w:tcPr>
          <w:p>
            <w:pPr>
              <w:spacing w:after="0"/>
              <w:rPr>
                <w:sz w:val="15"/>
                <w:szCs w:val="15"/>
                <w:color w:val="auto"/>
              </w:rPr>
            </w:pPr>
          </w:p>
        </w:tc>
        <w:tc>
          <w:tcPr>
            <w:tcW w:w="8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2/11/2015</w:t>
            </w:r>
          </w:p>
        </w:tc>
        <w:tc>
          <w:tcPr>
            <w:tcW w:w="10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54"/>
              <w:spacing w:after="0" w:line="183" w:lineRule="exact"/>
              <w:rPr>
                <w:sz w:val="20"/>
                <w:szCs w:val="20"/>
                <w:color w:val="auto"/>
              </w:rPr>
            </w:pPr>
            <w:r>
              <w:rPr>
                <w:rFonts w:ascii="Arial" w:cs="Arial" w:eastAsia="Arial" w:hAnsi="Arial"/>
                <w:sz w:val="13"/>
                <w:szCs w:val="13"/>
                <w:color w:val="auto"/>
              </w:rPr>
              <w:t>79,639</w:t>
            </w:r>
            <w:r>
              <w:rPr>
                <w:rFonts w:ascii="Arial" w:cs="Arial" w:eastAsia="Arial" w:hAnsi="Arial"/>
                <w:sz w:val="21"/>
                <w:szCs w:val="21"/>
                <w:color w:val="auto"/>
                <w:vertAlign w:val="superscript"/>
              </w:rPr>
              <w:t>(4)</w:t>
            </w:r>
          </w:p>
        </w:tc>
        <w:tc>
          <w:tcPr>
            <w:tcW w:w="9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2,708,522</w:t>
            </w:r>
          </w:p>
        </w:tc>
        <w:tc>
          <w:tcPr>
            <w:tcW w:w="110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3"/>
                <w:szCs w:val="13"/>
                <w:color w:val="auto"/>
              </w:rPr>
              <w:t>238,917</w:t>
            </w:r>
            <w:r>
              <w:rPr>
                <w:rFonts w:ascii="Arial" w:cs="Arial" w:eastAsia="Arial" w:hAnsi="Arial"/>
                <w:sz w:val="21"/>
                <w:szCs w:val="21"/>
                <w:color w:val="auto"/>
                <w:vertAlign w:val="superscript"/>
              </w:rPr>
              <w:t>(5)</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8,125,567</w:t>
            </w:r>
          </w:p>
        </w:tc>
      </w:tr>
      <w:tr>
        <w:trPr>
          <w:trHeight w:val="183"/>
        </w:trPr>
        <w:tc>
          <w:tcPr>
            <w:tcW w:w="1800" w:type="dxa"/>
            <w:vAlign w:val="bottom"/>
          </w:tcPr>
          <w:p>
            <w:pPr>
              <w:spacing w:after="0"/>
              <w:rPr>
                <w:sz w:val="15"/>
                <w:szCs w:val="15"/>
                <w:color w:val="auto"/>
              </w:rPr>
            </w:pPr>
          </w:p>
        </w:tc>
        <w:tc>
          <w:tcPr>
            <w:tcW w:w="8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6/11/2014</w:t>
            </w:r>
          </w:p>
        </w:tc>
        <w:tc>
          <w:tcPr>
            <w:tcW w:w="10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54"/>
              <w:spacing w:after="0" w:line="183" w:lineRule="exact"/>
              <w:rPr>
                <w:sz w:val="20"/>
                <w:szCs w:val="20"/>
                <w:color w:val="auto"/>
              </w:rPr>
            </w:pPr>
            <w:r>
              <w:rPr>
                <w:rFonts w:ascii="Arial" w:cs="Arial" w:eastAsia="Arial" w:hAnsi="Arial"/>
                <w:sz w:val="13"/>
                <w:szCs w:val="13"/>
                <w:color w:val="auto"/>
              </w:rPr>
              <w:t>46,143</w:t>
            </w:r>
            <w:r>
              <w:rPr>
                <w:rFonts w:ascii="Arial" w:cs="Arial" w:eastAsia="Arial" w:hAnsi="Arial"/>
                <w:sz w:val="21"/>
                <w:szCs w:val="21"/>
                <w:color w:val="auto"/>
                <w:vertAlign w:val="superscript"/>
              </w:rPr>
              <w:t>(4)</w:t>
            </w:r>
          </w:p>
        </w:tc>
        <w:tc>
          <w:tcPr>
            <w:tcW w:w="9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1,569,323</w:t>
            </w:r>
          </w:p>
        </w:tc>
        <w:tc>
          <w:tcPr>
            <w:tcW w:w="110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3"/>
                <w:szCs w:val="13"/>
                <w:color w:val="auto"/>
              </w:rPr>
              <w:t>207,642</w:t>
            </w:r>
            <w:r>
              <w:rPr>
                <w:rFonts w:ascii="Arial" w:cs="Arial" w:eastAsia="Arial" w:hAnsi="Arial"/>
                <w:sz w:val="21"/>
                <w:szCs w:val="21"/>
                <w:color w:val="auto"/>
                <w:vertAlign w:val="superscript"/>
              </w:rPr>
              <w:t>(5)</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7,061,904</w:t>
            </w:r>
          </w:p>
        </w:tc>
      </w:tr>
      <w:tr>
        <w:trPr>
          <w:trHeight w:val="183"/>
        </w:trPr>
        <w:tc>
          <w:tcPr>
            <w:tcW w:w="1800" w:type="dxa"/>
            <w:vAlign w:val="bottom"/>
          </w:tcPr>
          <w:p>
            <w:pPr>
              <w:spacing w:after="0"/>
              <w:rPr>
                <w:sz w:val="15"/>
                <w:szCs w:val="15"/>
                <w:color w:val="auto"/>
              </w:rPr>
            </w:pPr>
          </w:p>
        </w:tc>
        <w:tc>
          <w:tcPr>
            <w:tcW w:w="8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2/13/2014</w:t>
            </w:r>
          </w:p>
        </w:tc>
        <w:tc>
          <w:tcPr>
            <w:tcW w:w="10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3"/>
                <w:szCs w:val="13"/>
                <w:color w:val="auto"/>
              </w:rPr>
              <w:t>37, 511</w:t>
            </w:r>
            <w:r>
              <w:rPr>
                <w:rFonts w:ascii="Arial" w:cs="Arial" w:eastAsia="Arial" w:hAnsi="Arial"/>
                <w:sz w:val="21"/>
                <w:szCs w:val="21"/>
                <w:color w:val="auto"/>
                <w:vertAlign w:val="superscript"/>
              </w:rPr>
              <w:t>(6)</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1,275,749</w:t>
            </w:r>
          </w:p>
        </w:tc>
      </w:tr>
      <w:tr>
        <w:trPr>
          <w:trHeight w:val="183"/>
        </w:trPr>
        <w:tc>
          <w:tcPr>
            <w:tcW w:w="18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3/1/2013</w:t>
            </w:r>
          </w:p>
        </w:tc>
        <w:tc>
          <w:tcPr>
            <w:tcW w:w="10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3"/>
                <w:szCs w:val="13"/>
                <w:color w:val="auto"/>
              </w:rPr>
              <w:t>14,749</w:t>
            </w:r>
            <w:r>
              <w:rPr>
                <w:rFonts w:ascii="Arial" w:cs="Arial" w:eastAsia="Arial" w:hAnsi="Arial"/>
                <w:sz w:val="21"/>
                <w:szCs w:val="21"/>
                <w:color w:val="auto"/>
                <w:vertAlign w:val="superscript"/>
              </w:rPr>
              <w:t>(6)</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501,613</w:t>
            </w:r>
          </w:p>
        </w:tc>
      </w:tr>
      <w:tr>
        <w:trPr>
          <w:trHeight w:val="183"/>
        </w:trPr>
        <w:tc>
          <w:tcPr>
            <w:tcW w:w="1800" w:type="dxa"/>
            <w:vAlign w:val="bottom"/>
          </w:tcPr>
          <w:p>
            <w:pPr>
              <w:ind w:left="60"/>
              <w:spacing w:after="0"/>
              <w:rPr>
                <w:sz w:val="20"/>
                <w:szCs w:val="20"/>
                <w:color w:val="auto"/>
              </w:rPr>
            </w:pPr>
            <w:r>
              <w:rPr>
                <w:rFonts w:ascii="Arial" w:cs="Arial" w:eastAsia="Arial" w:hAnsi="Arial"/>
                <w:sz w:val="14"/>
                <w:szCs w:val="14"/>
                <w:color w:val="auto"/>
              </w:rPr>
              <w:t>Charles K. Stevens,III</w:t>
            </w:r>
          </w:p>
        </w:tc>
        <w:tc>
          <w:tcPr>
            <w:tcW w:w="8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7/28/2015</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96"/>
              <w:spacing w:after="0" w:line="183" w:lineRule="exact"/>
              <w:rPr>
                <w:sz w:val="20"/>
                <w:szCs w:val="20"/>
                <w:color w:val="auto"/>
              </w:rPr>
            </w:pPr>
            <w:r>
              <w:rPr>
                <w:rFonts w:ascii="Arial" w:cs="Arial" w:eastAsia="Arial" w:hAnsi="Arial"/>
                <w:sz w:val="13"/>
                <w:szCs w:val="13"/>
                <w:color w:val="auto"/>
              </w:rPr>
              <w:t>249,458</w:t>
            </w:r>
            <w:r>
              <w:rPr>
                <w:rFonts w:ascii="Arial" w:cs="Arial" w:eastAsia="Arial" w:hAnsi="Arial"/>
                <w:sz w:val="21"/>
                <w:szCs w:val="21"/>
                <w:color w:val="auto"/>
                <w:vertAlign w:val="superscript"/>
              </w:rPr>
              <w:t>(2)</w:t>
            </w:r>
          </w:p>
        </w:tc>
        <w:tc>
          <w:tcPr>
            <w:tcW w:w="1040" w:type="dxa"/>
            <w:vAlign w:val="bottom"/>
            <w:tcBorders>
              <w:bottom w:val="single" w:sz="8" w:color="auto"/>
            </w:tcBorders>
          </w:tcPr>
          <w:p>
            <w:pPr>
              <w:jc w:val="right"/>
              <w:ind w:right="16"/>
              <w:spacing w:after="0" w:line="183" w:lineRule="exact"/>
              <w:rPr>
                <w:sz w:val="20"/>
                <w:szCs w:val="20"/>
                <w:color w:val="auto"/>
              </w:rPr>
            </w:pPr>
            <w:r>
              <w:rPr>
                <w:rFonts w:ascii="Arial" w:cs="Arial" w:eastAsia="Arial" w:hAnsi="Arial"/>
                <w:sz w:val="13"/>
                <w:szCs w:val="13"/>
                <w:color w:val="auto"/>
              </w:rPr>
              <w:t>374,187</w:t>
            </w:r>
            <w:r>
              <w:rPr>
                <w:rFonts w:ascii="Arial" w:cs="Arial" w:eastAsia="Arial" w:hAnsi="Arial"/>
                <w:sz w:val="21"/>
                <w:szCs w:val="21"/>
                <w:color w:val="auto"/>
                <w:vertAlign w:val="superscript"/>
              </w:rPr>
              <w:t>(3)</w:t>
            </w:r>
          </w:p>
        </w:tc>
        <w:tc>
          <w:tcPr>
            <w:tcW w:w="7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31.32</w:t>
            </w:r>
          </w:p>
        </w:tc>
        <w:tc>
          <w:tcPr>
            <w:tcW w:w="8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7/28/2025</w:t>
            </w:r>
          </w:p>
        </w:tc>
        <w:tc>
          <w:tcPr>
            <w:tcW w:w="8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r>
      <w:tr>
        <w:trPr>
          <w:trHeight w:val="183"/>
        </w:trPr>
        <w:tc>
          <w:tcPr>
            <w:tcW w:w="1800" w:type="dxa"/>
            <w:vAlign w:val="bottom"/>
          </w:tcPr>
          <w:p>
            <w:pPr>
              <w:spacing w:after="0"/>
              <w:rPr>
                <w:sz w:val="15"/>
                <w:szCs w:val="15"/>
                <w:color w:val="auto"/>
              </w:rPr>
            </w:pPr>
          </w:p>
        </w:tc>
        <w:tc>
          <w:tcPr>
            <w:tcW w:w="8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2/11/2015</w:t>
            </w:r>
          </w:p>
        </w:tc>
        <w:tc>
          <w:tcPr>
            <w:tcW w:w="10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54"/>
              <w:spacing w:after="0" w:line="183" w:lineRule="exact"/>
              <w:rPr>
                <w:sz w:val="20"/>
                <w:szCs w:val="20"/>
                <w:color w:val="auto"/>
              </w:rPr>
            </w:pPr>
            <w:r>
              <w:rPr>
                <w:rFonts w:ascii="Arial" w:cs="Arial" w:eastAsia="Arial" w:hAnsi="Arial"/>
                <w:sz w:val="13"/>
                <w:szCs w:val="13"/>
                <w:color w:val="auto"/>
              </w:rPr>
              <w:t>19,081</w:t>
            </w:r>
            <w:r>
              <w:rPr>
                <w:rFonts w:ascii="Arial" w:cs="Arial" w:eastAsia="Arial" w:hAnsi="Arial"/>
                <w:sz w:val="21"/>
                <w:szCs w:val="21"/>
                <w:color w:val="auto"/>
                <w:vertAlign w:val="superscript"/>
              </w:rPr>
              <w:t>(4)</w:t>
            </w:r>
          </w:p>
        </w:tc>
        <w:tc>
          <w:tcPr>
            <w:tcW w:w="9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648,945</w:t>
            </w:r>
          </w:p>
        </w:tc>
        <w:tc>
          <w:tcPr>
            <w:tcW w:w="110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3"/>
                <w:szCs w:val="13"/>
                <w:color w:val="auto"/>
              </w:rPr>
              <w:t>57,241</w:t>
            </w:r>
            <w:r>
              <w:rPr>
                <w:rFonts w:ascii="Arial" w:cs="Arial" w:eastAsia="Arial" w:hAnsi="Arial"/>
                <w:sz w:val="21"/>
                <w:szCs w:val="21"/>
                <w:color w:val="auto"/>
                <w:vertAlign w:val="superscript"/>
              </w:rPr>
              <w:t>(5)</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1,946,766</w:t>
            </w:r>
          </w:p>
        </w:tc>
      </w:tr>
      <w:tr>
        <w:trPr>
          <w:trHeight w:val="183"/>
        </w:trPr>
        <w:tc>
          <w:tcPr>
            <w:tcW w:w="1800" w:type="dxa"/>
            <w:vAlign w:val="bottom"/>
          </w:tcPr>
          <w:p>
            <w:pPr>
              <w:spacing w:after="0"/>
              <w:rPr>
                <w:sz w:val="15"/>
                <w:szCs w:val="15"/>
                <w:color w:val="auto"/>
              </w:rPr>
            </w:pPr>
          </w:p>
        </w:tc>
        <w:tc>
          <w:tcPr>
            <w:tcW w:w="8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6/11/2014</w:t>
            </w:r>
          </w:p>
        </w:tc>
        <w:tc>
          <w:tcPr>
            <w:tcW w:w="10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54"/>
              <w:spacing w:after="0" w:line="183" w:lineRule="exact"/>
              <w:rPr>
                <w:sz w:val="20"/>
                <w:szCs w:val="20"/>
                <w:color w:val="auto"/>
              </w:rPr>
            </w:pPr>
            <w:r>
              <w:rPr>
                <w:rFonts w:ascii="Arial" w:cs="Arial" w:eastAsia="Arial" w:hAnsi="Arial"/>
                <w:sz w:val="13"/>
                <w:szCs w:val="13"/>
                <w:color w:val="auto"/>
              </w:rPr>
              <w:t>11,190</w:t>
            </w:r>
            <w:r>
              <w:rPr>
                <w:rFonts w:ascii="Arial" w:cs="Arial" w:eastAsia="Arial" w:hAnsi="Arial"/>
                <w:sz w:val="21"/>
                <w:szCs w:val="21"/>
                <w:color w:val="auto"/>
                <w:vertAlign w:val="superscript"/>
              </w:rPr>
              <w:t>(4)</w:t>
            </w:r>
          </w:p>
        </w:tc>
        <w:tc>
          <w:tcPr>
            <w:tcW w:w="9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380,572</w:t>
            </w:r>
          </w:p>
        </w:tc>
        <w:tc>
          <w:tcPr>
            <w:tcW w:w="110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3"/>
                <w:szCs w:val="13"/>
                <w:color w:val="auto"/>
              </w:rPr>
              <w:t>50,353</w:t>
            </w:r>
            <w:r>
              <w:rPr>
                <w:rFonts w:ascii="Arial" w:cs="Arial" w:eastAsia="Arial" w:hAnsi="Arial"/>
                <w:sz w:val="21"/>
                <w:szCs w:val="21"/>
                <w:color w:val="auto"/>
                <w:vertAlign w:val="superscript"/>
              </w:rPr>
              <w:t>(5)</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1,712,506</w:t>
            </w:r>
          </w:p>
        </w:tc>
      </w:tr>
      <w:tr>
        <w:trPr>
          <w:trHeight w:val="183"/>
        </w:trPr>
        <w:tc>
          <w:tcPr>
            <w:tcW w:w="1800" w:type="dxa"/>
            <w:vAlign w:val="bottom"/>
          </w:tcPr>
          <w:p>
            <w:pPr>
              <w:spacing w:after="0"/>
              <w:rPr>
                <w:sz w:val="15"/>
                <w:szCs w:val="15"/>
                <w:color w:val="auto"/>
              </w:rPr>
            </w:pPr>
          </w:p>
        </w:tc>
        <w:tc>
          <w:tcPr>
            <w:tcW w:w="8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2/13/2014</w:t>
            </w:r>
          </w:p>
        </w:tc>
        <w:tc>
          <w:tcPr>
            <w:tcW w:w="10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54"/>
              <w:spacing w:after="0" w:line="183" w:lineRule="exact"/>
              <w:rPr>
                <w:sz w:val="20"/>
                <w:szCs w:val="20"/>
                <w:color w:val="auto"/>
              </w:rPr>
            </w:pPr>
            <w:r>
              <w:rPr>
                <w:rFonts w:ascii="Arial" w:cs="Arial" w:eastAsia="Arial" w:hAnsi="Arial"/>
                <w:sz w:val="13"/>
                <w:szCs w:val="13"/>
                <w:color w:val="auto"/>
              </w:rPr>
              <w:t>17,148</w:t>
            </w:r>
            <w:r>
              <w:rPr>
                <w:rFonts w:ascii="Arial" w:cs="Arial" w:eastAsia="Arial" w:hAnsi="Arial"/>
                <w:sz w:val="21"/>
                <w:szCs w:val="21"/>
                <w:color w:val="auto"/>
                <w:vertAlign w:val="superscript"/>
              </w:rPr>
              <w:t>(4)</w:t>
            </w:r>
          </w:p>
        </w:tc>
        <w:tc>
          <w:tcPr>
            <w:tcW w:w="9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583,203</w:t>
            </w:r>
          </w:p>
        </w:tc>
        <w:tc>
          <w:tcPr>
            <w:tcW w:w="1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r>
      <w:tr>
        <w:trPr>
          <w:trHeight w:val="183"/>
        </w:trPr>
        <w:tc>
          <w:tcPr>
            <w:tcW w:w="18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3/1/2013</w:t>
            </w:r>
          </w:p>
        </w:tc>
        <w:tc>
          <w:tcPr>
            <w:tcW w:w="10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54"/>
              <w:spacing w:after="0" w:line="183" w:lineRule="exact"/>
              <w:rPr>
                <w:sz w:val="20"/>
                <w:szCs w:val="20"/>
                <w:color w:val="auto"/>
              </w:rPr>
            </w:pPr>
            <w:r>
              <w:rPr>
                <w:rFonts w:ascii="Arial" w:cs="Arial" w:eastAsia="Arial" w:hAnsi="Arial"/>
                <w:sz w:val="13"/>
                <w:szCs w:val="13"/>
                <w:color w:val="auto"/>
              </w:rPr>
              <w:t>7,374</w:t>
            </w:r>
            <w:r>
              <w:rPr>
                <w:rFonts w:ascii="Arial" w:cs="Arial" w:eastAsia="Arial" w:hAnsi="Arial"/>
                <w:sz w:val="21"/>
                <w:szCs w:val="21"/>
                <w:color w:val="auto"/>
                <w:vertAlign w:val="superscript"/>
              </w:rPr>
              <w:t>(4)</w:t>
            </w:r>
          </w:p>
        </w:tc>
        <w:tc>
          <w:tcPr>
            <w:tcW w:w="9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250,790</w:t>
            </w:r>
          </w:p>
        </w:tc>
        <w:tc>
          <w:tcPr>
            <w:tcW w:w="1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r>
      <w:tr>
        <w:trPr>
          <w:trHeight w:val="183"/>
        </w:trPr>
        <w:tc>
          <w:tcPr>
            <w:tcW w:w="1800" w:type="dxa"/>
            <w:vAlign w:val="bottom"/>
          </w:tcPr>
          <w:p>
            <w:pPr>
              <w:ind w:left="60"/>
              <w:spacing w:after="0"/>
              <w:rPr>
                <w:sz w:val="20"/>
                <w:szCs w:val="20"/>
                <w:color w:val="auto"/>
              </w:rPr>
            </w:pPr>
            <w:r>
              <w:rPr>
                <w:rFonts w:ascii="Arial" w:cs="Arial" w:eastAsia="Arial" w:hAnsi="Arial"/>
                <w:sz w:val="14"/>
                <w:szCs w:val="14"/>
                <w:color w:val="auto"/>
              </w:rPr>
              <w:t>Daniel Ammann</w:t>
            </w:r>
          </w:p>
        </w:tc>
        <w:tc>
          <w:tcPr>
            <w:tcW w:w="8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7/28/2015</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96"/>
              <w:spacing w:after="0" w:line="183" w:lineRule="exact"/>
              <w:rPr>
                <w:sz w:val="20"/>
                <w:szCs w:val="20"/>
                <w:color w:val="auto"/>
              </w:rPr>
            </w:pPr>
            <w:r>
              <w:rPr>
                <w:rFonts w:ascii="Arial" w:cs="Arial" w:eastAsia="Arial" w:hAnsi="Arial"/>
                <w:sz w:val="13"/>
                <w:szCs w:val="13"/>
                <w:color w:val="auto"/>
              </w:rPr>
              <w:t>390,456</w:t>
            </w:r>
            <w:r>
              <w:rPr>
                <w:rFonts w:ascii="Arial" w:cs="Arial" w:eastAsia="Arial" w:hAnsi="Arial"/>
                <w:sz w:val="21"/>
                <w:szCs w:val="21"/>
                <w:color w:val="auto"/>
                <w:vertAlign w:val="superscript"/>
              </w:rPr>
              <w:t>(2)</w:t>
            </w:r>
          </w:p>
        </w:tc>
        <w:tc>
          <w:tcPr>
            <w:tcW w:w="1040" w:type="dxa"/>
            <w:vAlign w:val="bottom"/>
            <w:tcBorders>
              <w:bottom w:val="single" w:sz="8" w:color="auto"/>
            </w:tcBorders>
          </w:tcPr>
          <w:p>
            <w:pPr>
              <w:jc w:val="right"/>
              <w:ind w:right="16"/>
              <w:spacing w:after="0" w:line="183" w:lineRule="exact"/>
              <w:rPr>
                <w:sz w:val="20"/>
                <w:szCs w:val="20"/>
                <w:color w:val="auto"/>
              </w:rPr>
            </w:pPr>
            <w:r>
              <w:rPr>
                <w:rFonts w:ascii="Arial" w:cs="Arial" w:eastAsia="Arial" w:hAnsi="Arial"/>
                <w:sz w:val="13"/>
                <w:szCs w:val="13"/>
                <w:color w:val="auto"/>
              </w:rPr>
              <w:t>585,683</w:t>
            </w:r>
            <w:r>
              <w:rPr>
                <w:rFonts w:ascii="Arial" w:cs="Arial" w:eastAsia="Arial" w:hAnsi="Arial"/>
                <w:sz w:val="21"/>
                <w:szCs w:val="21"/>
                <w:color w:val="auto"/>
                <w:vertAlign w:val="superscript"/>
              </w:rPr>
              <w:t>(3)</w:t>
            </w:r>
          </w:p>
        </w:tc>
        <w:tc>
          <w:tcPr>
            <w:tcW w:w="7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31.32</w:t>
            </w:r>
          </w:p>
        </w:tc>
        <w:tc>
          <w:tcPr>
            <w:tcW w:w="8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7/28/2025</w:t>
            </w:r>
          </w:p>
        </w:tc>
        <w:tc>
          <w:tcPr>
            <w:tcW w:w="8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r>
      <w:tr>
        <w:trPr>
          <w:trHeight w:val="183"/>
        </w:trPr>
        <w:tc>
          <w:tcPr>
            <w:tcW w:w="1800" w:type="dxa"/>
            <w:vAlign w:val="bottom"/>
          </w:tcPr>
          <w:p>
            <w:pPr>
              <w:spacing w:after="0"/>
              <w:rPr>
                <w:sz w:val="15"/>
                <w:szCs w:val="15"/>
                <w:color w:val="auto"/>
              </w:rPr>
            </w:pPr>
          </w:p>
        </w:tc>
        <w:tc>
          <w:tcPr>
            <w:tcW w:w="8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2/11/2015</w:t>
            </w:r>
          </w:p>
        </w:tc>
        <w:tc>
          <w:tcPr>
            <w:tcW w:w="10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54"/>
              <w:spacing w:after="0" w:line="183" w:lineRule="exact"/>
              <w:rPr>
                <w:sz w:val="20"/>
                <w:szCs w:val="20"/>
                <w:color w:val="auto"/>
              </w:rPr>
            </w:pPr>
            <w:r>
              <w:rPr>
                <w:rFonts w:ascii="Arial" w:cs="Arial" w:eastAsia="Arial" w:hAnsi="Arial"/>
                <w:sz w:val="13"/>
                <w:szCs w:val="13"/>
                <w:color w:val="auto"/>
              </w:rPr>
              <w:t>29,865</w:t>
            </w:r>
            <w:r>
              <w:rPr>
                <w:rFonts w:ascii="Arial" w:cs="Arial" w:eastAsia="Arial" w:hAnsi="Arial"/>
                <w:sz w:val="21"/>
                <w:szCs w:val="21"/>
                <w:color w:val="auto"/>
                <w:vertAlign w:val="superscript"/>
              </w:rPr>
              <w:t>(4)</w:t>
            </w:r>
          </w:p>
        </w:tc>
        <w:tc>
          <w:tcPr>
            <w:tcW w:w="9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1,015,709</w:t>
            </w:r>
          </w:p>
        </w:tc>
        <w:tc>
          <w:tcPr>
            <w:tcW w:w="110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3"/>
                <w:szCs w:val="13"/>
                <w:color w:val="auto"/>
              </w:rPr>
              <w:t>89,594</w:t>
            </w:r>
            <w:r>
              <w:rPr>
                <w:rFonts w:ascii="Arial" w:cs="Arial" w:eastAsia="Arial" w:hAnsi="Arial"/>
                <w:sz w:val="21"/>
                <w:szCs w:val="21"/>
                <w:color w:val="auto"/>
                <w:vertAlign w:val="superscript"/>
              </w:rPr>
              <w:t>(5)</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3,047,092</w:t>
            </w:r>
          </w:p>
        </w:tc>
      </w:tr>
      <w:tr>
        <w:trPr>
          <w:trHeight w:val="183"/>
        </w:trPr>
        <w:tc>
          <w:tcPr>
            <w:tcW w:w="1800" w:type="dxa"/>
            <w:vAlign w:val="bottom"/>
          </w:tcPr>
          <w:p>
            <w:pPr>
              <w:spacing w:after="0"/>
              <w:rPr>
                <w:sz w:val="15"/>
                <w:szCs w:val="15"/>
                <w:color w:val="auto"/>
              </w:rPr>
            </w:pPr>
          </w:p>
        </w:tc>
        <w:tc>
          <w:tcPr>
            <w:tcW w:w="8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6/11/2014</w:t>
            </w:r>
          </w:p>
        </w:tc>
        <w:tc>
          <w:tcPr>
            <w:tcW w:w="10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54"/>
              <w:spacing w:after="0" w:line="183" w:lineRule="exact"/>
              <w:rPr>
                <w:sz w:val="20"/>
                <w:szCs w:val="20"/>
                <w:color w:val="auto"/>
              </w:rPr>
            </w:pPr>
            <w:r>
              <w:rPr>
                <w:rFonts w:ascii="Arial" w:cs="Arial" w:eastAsia="Arial" w:hAnsi="Arial"/>
                <w:sz w:val="13"/>
                <w:szCs w:val="13"/>
                <w:color w:val="auto"/>
              </w:rPr>
              <w:t>20,995</w:t>
            </w:r>
            <w:r>
              <w:rPr>
                <w:rFonts w:ascii="Arial" w:cs="Arial" w:eastAsia="Arial" w:hAnsi="Arial"/>
                <w:sz w:val="21"/>
                <w:szCs w:val="21"/>
                <w:color w:val="auto"/>
                <w:vertAlign w:val="superscript"/>
              </w:rPr>
              <w:t>(4)</w:t>
            </w:r>
          </w:p>
        </w:tc>
        <w:tc>
          <w:tcPr>
            <w:tcW w:w="9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714,040</w:t>
            </w:r>
          </w:p>
        </w:tc>
        <w:tc>
          <w:tcPr>
            <w:tcW w:w="110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3"/>
                <w:szCs w:val="13"/>
                <w:color w:val="auto"/>
              </w:rPr>
              <w:t>94,477</w:t>
            </w:r>
            <w:r>
              <w:rPr>
                <w:rFonts w:ascii="Arial" w:cs="Arial" w:eastAsia="Arial" w:hAnsi="Arial"/>
                <w:sz w:val="21"/>
                <w:szCs w:val="21"/>
                <w:color w:val="auto"/>
                <w:vertAlign w:val="superscript"/>
              </w:rPr>
              <w:t>(5)</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3,213,163</w:t>
            </w:r>
          </w:p>
        </w:tc>
      </w:tr>
      <w:tr>
        <w:trPr>
          <w:trHeight w:val="183"/>
        </w:trPr>
        <w:tc>
          <w:tcPr>
            <w:tcW w:w="1800" w:type="dxa"/>
            <w:vAlign w:val="bottom"/>
          </w:tcPr>
          <w:p>
            <w:pPr>
              <w:spacing w:after="0"/>
              <w:rPr>
                <w:sz w:val="15"/>
                <w:szCs w:val="15"/>
                <w:color w:val="auto"/>
              </w:rPr>
            </w:pPr>
          </w:p>
        </w:tc>
        <w:tc>
          <w:tcPr>
            <w:tcW w:w="8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2/13/2014</w:t>
            </w:r>
          </w:p>
        </w:tc>
        <w:tc>
          <w:tcPr>
            <w:tcW w:w="10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3"/>
                <w:szCs w:val="13"/>
                <w:color w:val="auto"/>
              </w:rPr>
              <w:t>37,511</w:t>
            </w:r>
            <w:r>
              <w:rPr>
                <w:rFonts w:ascii="Arial" w:cs="Arial" w:eastAsia="Arial" w:hAnsi="Arial"/>
                <w:sz w:val="21"/>
                <w:szCs w:val="21"/>
                <w:color w:val="auto"/>
                <w:vertAlign w:val="superscript"/>
              </w:rPr>
              <w:t>(6)</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1,275,749</w:t>
            </w:r>
          </w:p>
        </w:tc>
      </w:tr>
      <w:tr>
        <w:trPr>
          <w:trHeight w:val="183"/>
        </w:trPr>
        <w:tc>
          <w:tcPr>
            <w:tcW w:w="18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3/1/2013</w:t>
            </w:r>
          </w:p>
        </w:tc>
        <w:tc>
          <w:tcPr>
            <w:tcW w:w="10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3"/>
                <w:szCs w:val="13"/>
                <w:color w:val="auto"/>
              </w:rPr>
              <w:t>15,210</w:t>
            </w:r>
            <w:r>
              <w:rPr>
                <w:rFonts w:ascii="Arial" w:cs="Arial" w:eastAsia="Arial" w:hAnsi="Arial"/>
                <w:sz w:val="21"/>
                <w:szCs w:val="21"/>
                <w:color w:val="auto"/>
                <w:vertAlign w:val="superscript"/>
              </w:rPr>
              <w:t>(6)</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517,292</w:t>
            </w:r>
          </w:p>
        </w:tc>
      </w:tr>
      <w:tr>
        <w:trPr>
          <w:trHeight w:val="183"/>
        </w:trPr>
        <w:tc>
          <w:tcPr>
            <w:tcW w:w="1800" w:type="dxa"/>
            <w:vAlign w:val="bottom"/>
          </w:tcPr>
          <w:p>
            <w:pPr>
              <w:ind w:left="60"/>
              <w:spacing w:after="0"/>
              <w:rPr>
                <w:sz w:val="20"/>
                <w:szCs w:val="20"/>
                <w:color w:val="auto"/>
              </w:rPr>
            </w:pPr>
            <w:r>
              <w:rPr>
                <w:rFonts w:ascii="Arial" w:cs="Arial" w:eastAsia="Arial" w:hAnsi="Arial"/>
                <w:sz w:val="14"/>
                <w:szCs w:val="14"/>
                <w:color w:val="auto"/>
              </w:rPr>
              <w:t>Mark L. Reuss</w:t>
            </w:r>
          </w:p>
        </w:tc>
        <w:tc>
          <w:tcPr>
            <w:tcW w:w="8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7/28/2015</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96"/>
              <w:spacing w:after="0" w:line="183" w:lineRule="exact"/>
              <w:rPr>
                <w:sz w:val="20"/>
                <w:szCs w:val="20"/>
                <w:color w:val="auto"/>
              </w:rPr>
            </w:pPr>
            <w:r>
              <w:rPr>
                <w:rFonts w:ascii="Arial" w:cs="Arial" w:eastAsia="Arial" w:hAnsi="Arial"/>
                <w:sz w:val="13"/>
                <w:szCs w:val="13"/>
                <w:color w:val="auto"/>
              </w:rPr>
              <w:t>331,888</w:t>
            </w:r>
            <w:r>
              <w:rPr>
                <w:rFonts w:ascii="Arial" w:cs="Arial" w:eastAsia="Arial" w:hAnsi="Arial"/>
                <w:sz w:val="21"/>
                <w:szCs w:val="21"/>
                <w:color w:val="auto"/>
                <w:vertAlign w:val="superscript"/>
              </w:rPr>
              <w:t>(2)</w:t>
            </w:r>
          </w:p>
        </w:tc>
        <w:tc>
          <w:tcPr>
            <w:tcW w:w="1040" w:type="dxa"/>
            <w:vAlign w:val="bottom"/>
            <w:tcBorders>
              <w:bottom w:val="single" w:sz="8" w:color="auto"/>
            </w:tcBorders>
          </w:tcPr>
          <w:p>
            <w:pPr>
              <w:jc w:val="right"/>
              <w:ind w:right="16"/>
              <w:spacing w:after="0" w:line="183" w:lineRule="exact"/>
              <w:rPr>
                <w:sz w:val="20"/>
                <w:szCs w:val="20"/>
                <w:color w:val="auto"/>
              </w:rPr>
            </w:pPr>
            <w:r>
              <w:rPr>
                <w:rFonts w:ascii="Arial" w:cs="Arial" w:eastAsia="Arial" w:hAnsi="Arial"/>
                <w:sz w:val="13"/>
                <w:szCs w:val="13"/>
                <w:color w:val="auto"/>
              </w:rPr>
              <w:t>497,831</w:t>
            </w:r>
            <w:r>
              <w:rPr>
                <w:rFonts w:ascii="Arial" w:cs="Arial" w:eastAsia="Arial" w:hAnsi="Arial"/>
                <w:sz w:val="21"/>
                <w:szCs w:val="21"/>
                <w:color w:val="auto"/>
                <w:vertAlign w:val="superscript"/>
              </w:rPr>
              <w:t>(3)</w:t>
            </w:r>
          </w:p>
        </w:tc>
        <w:tc>
          <w:tcPr>
            <w:tcW w:w="7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31.32</w:t>
            </w:r>
          </w:p>
        </w:tc>
        <w:tc>
          <w:tcPr>
            <w:tcW w:w="8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7/28/2025</w:t>
            </w:r>
          </w:p>
        </w:tc>
        <w:tc>
          <w:tcPr>
            <w:tcW w:w="8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r>
      <w:tr>
        <w:trPr>
          <w:trHeight w:val="183"/>
        </w:trPr>
        <w:tc>
          <w:tcPr>
            <w:tcW w:w="1800" w:type="dxa"/>
            <w:vAlign w:val="bottom"/>
          </w:tcPr>
          <w:p>
            <w:pPr>
              <w:spacing w:after="0"/>
              <w:rPr>
                <w:sz w:val="15"/>
                <w:szCs w:val="15"/>
                <w:color w:val="auto"/>
              </w:rPr>
            </w:pPr>
          </w:p>
        </w:tc>
        <w:tc>
          <w:tcPr>
            <w:tcW w:w="8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2/11/2015</w:t>
            </w:r>
          </w:p>
        </w:tc>
        <w:tc>
          <w:tcPr>
            <w:tcW w:w="10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54"/>
              <w:spacing w:after="0" w:line="183" w:lineRule="exact"/>
              <w:rPr>
                <w:sz w:val="20"/>
                <w:szCs w:val="20"/>
                <w:color w:val="auto"/>
              </w:rPr>
            </w:pPr>
            <w:r>
              <w:rPr>
                <w:rFonts w:ascii="Arial" w:cs="Arial" w:eastAsia="Arial" w:hAnsi="Arial"/>
                <w:sz w:val="13"/>
                <w:szCs w:val="13"/>
                <w:color w:val="auto"/>
              </w:rPr>
              <w:t>25,385</w:t>
            </w:r>
            <w:r>
              <w:rPr>
                <w:rFonts w:ascii="Arial" w:cs="Arial" w:eastAsia="Arial" w:hAnsi="Arial"/>
                <w:sz w:val="21"/>
                <w:szCs w:val="21"/>
                <w:color w:val="auto"/>
                <w:vertAlign w:val="superscript"/>
              </w:rPr>
              <w:t>(4)</w:t>
            </w:r>
          </w:p>
        </w:tc>
        <w:tc>
          <w:tcPr>
            <w:tcW w:w="9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863,344</w:t>
            </w:r>
          </w:p>
        </w:tc>
        <w:tc>
          <w:tcPr>
            <w:tcW w:w="110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3"/>
                <w:szCs w:val="13"/>
                <w:color w:val="auto"/>
              </w:rPr>
              <w:t>76,155</w:t>
            </w:r>
            <w:r>
              <w:rPr>
                <w:rFonts w:ascii="Arial" w:cs="Arial" w:eastAsia="Arial" w:hAnsi="Arial"/>
                <w:sz w:val="21"/>
                <w:szCs w:val="21"/>
                <w:color w:val="auto"/>
                <w:vertAlign w:val="superscript"/>
              </w:rPr>
              <w:t>(5)</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2,590,032</w:t>
            </w:r>
          </w:p>
        </w:tc>
      </w:tr>
      <w:tr>
        <w:trPr>
          <w:trHeight w:val="183"/>
        </w:trPr>
        <w:tc>
          <w:tcPr>
            <w:tcW w:w="1800" w:type="dxa"/>
            <w:vAlign w:val="bottom"/>
          </w:tcPr>
          <w:p>
            <w:pPr>
              <w:spacing w:after="0"/>
              <w:rPr>
                <w:sz w:val="15"/>
                <w:szCs w:val="15"/>
                <w:color w:val="auto"/>
              </w:rPr>
            </w:pPr>
          </w:p>
        </w:tc>
        <w:tc>
          <w:tcPr>
            <w:tcW w:w="8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6/11/2014</w:t>
            </w:r>
          </w:p>
        </w:tc>
        <w:tc>
          <w:tcPr>
            <w:tcW w:w="10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54"/>
              <w:spacing w:after="0" w:line="183" w:lineRule="exact"/>
              <w:rPr>
                <w:sz w:val="20"/>
                <w:szCs w:val="20"/>
                <w:color w:val="auto"/>
              </w:rPr>
            </w:pPr>
            <w:r>
              <w:rPr>
                <w:rFonts w:ascii="Arial" w:cs="Arial" w:eastAsia="Arial" w:hAnsi="Arial"/>
                <w:sz w:val="13"/>
                <w:szCs w:val="13"/>
                <w:color w:val="auto"/>
              </w:rPr>
              <w:t>17,938</w:t>
            </w:r>
            <w:r>
              <w:rPr>
                <w:rFonts w:ascii="Arial" w:cs="Arial" w:eastAsia="Arial" w:hAnsi="Arial"/>
                <w:sz w:val="21"/>
                <w:szCs w:val="21"/>
                <w:color w:val="auto"/>
                <w:vertAlign w:val="superscript"/>
              </w:rPr>
              <w:t>(4)</w:t>
            </w:r>
          </w:p>
        </w:tc>
        <w:tc>
          <w:tcPr>
            <w:tcW w:w="9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610,071</w:t>
            </w:r>
          </w:p>
        </w:tc>
        <w:tc>
          <w:tcPr>
            <w:tcW w:w="110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3"/>
                <w:szCs w:val="13"/>
                <w:color w:val="auto"/>
              </w:rPr>
              <w:t>80,721</w:t>
            </w:r>
            <w:r>
              <w:rPr>
                <w:rFonts w:ascii="Arial" w:cs="Arial" w:eastAsia="Arial" w:hAnsi="Arial"/>
                <w:sz w:val="21"/>
                <w:szCs w:val="21"/>
                <w:color w:val="auto"/>
                <w:vertAlign w:val="superscript"/>
              </w:rPr>
              <w:t>(5)</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2,745,321</w:t>
            </w:r>
          </w:p>
        </w:tc>
      </w:tr>
      <w:tr>
        <w:trPr>
          <w:trHeight w:val="183"/>
        </w:trPr>
        <w:tc>
          <w:tcPr>
            <w:tcW w:w="1800" w:type="dxa"/>
            <w:vAlign w:val="bottom"/>
          </w:tcPr>
          <w:p>
            <w:pPr>
              <w:spacing w:after="0"/>
              <w:rPr>
                <w:sz w:val="15"/>
                <w:szCs w:val="15"/>
                <w:color w:val="auto"/>
              </w:rPr>
            </w:pPr>
          </w:p>
        </w:tc>
        <w:tc>
          <w:tcPr>
            <w:tcW w:w="8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2/13/2014</w:t>
            </w:r>
          </w:p>
        </w:tc>
        <w:tc>
          <w:tcPr>
            <w:tcW w:w="10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54"/>
              <w:spacing w:after="0" w:line="183" w:lineRule="exact"/>
              <w:rPr>
                <w:sz w:val="20"/>
                <w:szCs w:val="20"/>
                <w:color w:val="auto"/>
              </w:rPr>
            </w:pPr>
            <w:r>
              <w:rPr>
                <w:rFonts w:ascii="Arial" w:cs="Arial" w:eastAsia="Arial" w:hAnsi="Arial"/>
                <w:sz w:val="13"/>
                <w:szCs w:val="13"/>
                <w:color w:val="auto"/>
              </w:rPr>
              <w:t>57,160</w:t>
            </w:r>
            <w:r>
              <w:rPr>
                <w:rFonts w:ascii="Arial" w:cs="Arial" w:eastAsia="Arial" w:hAnsi="Arial"/>
                <w:sz w:val="21"/>
                <w:szCs w:val="21"/>
                <w:color w:val="auto"/>
                <w:vertAlign w:val="superscript"/>
              </w:rPr>
              <w:t>(7)</w:t>
            </w:r>
          </w:p>
        </w:tc>
        <w:tc>
          <w:tcPr>
            <w:tcW w:w="9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1,944,012</w:t>
            </w:r>
          </w:p>
        </w:tc>
        <w:tc>
          <w:tcPr>
            <w:tcW w:w="110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3"/>
                <w:szCs w:val="13"/>
                <w:color w:val="auto"/>
              </w:rPr>
              <w:t>33,224</w:t>
            </w:r>
            <w:r>
              <w:rPr>
                <w:rFonts w:ascii="Arial" w:cs="Arial" w:eastAsia="Arial" w:hAnsi="Arial"/>
                <w:sz w:val="21"/>
                <w:szCs w:val="21"/>
                <w:color w:val="auto"/>
                <w:vertAlign w:val="superscript"/>
              </w:rPr>
              <w:t>(6)</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1,129,948</w:t>
            </w:r>
          </w:p>
        </w:tc>
      </w:tr>
      <w:tr>
        <w:trPr>
          <w:trHeight w:val="183"/>
        </w:trPr>
        <w:tc>
          <w:tcPr>
            <w:tcW w:w="18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3/1/2013</w:t>
            </w:r>
          </w:p>
        </w:tc>
        <w:tc>
          <w:tcPr>
            <w:tcW w:w="10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3"/>
                <w:szCs w:val="13"/>
                <w:color w:val="auto"/>
              </w:rPr>
              <w:t>12,905</w:t>
            </w:r>
            <w:r>
              <w:rPr>
                <w:rFonts w:ascii="Arial" w:cs="Arial" w:eastAsia="Arial" w:hAnsi="Arial"/>
                <w:sz w:val="21"/>
                <w:szCs w:val="21"/>
                <w:color w:val="auto"/>
                <w:vertAlign w:val="superscript"/>
              </w:rPr>
              <w:t>(6)</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438,899</w:t>
            </w:r>
          </w:p>
        </w:tc>
      </w:tr>
      <w:tr>
        <w:trPr>
          <w:trHeight w:val="183"/>
        </w:trPr>
        <w:tc>
          <w:tcPr>
            <w:tcW w:w="1800" w:type="dxa"/>
            <w:vAlign w:val="bottom"/>
          </w:tcPr>
          <w:p>
            <w:pPr>
              <w:ind w:left="60"/>
              <w:spacing w:after="0"/>
              <w:rPr>
                <w:sz w:val="20"/>
                <w:szCs w:val="20"/>
                <w:color w:val="auto"/>
              </w:rPr>
            </w:pPr>
            <w:r>
              <w:rPr>
                <w:rFonts w:ascii="Arial" w:cs="Arial" w:eastAsia="Arial" w:hAnsi="Arial"/>
                <w:sz w:val="14"/>
                <w:szCs w:val="14"/>
                <w:color w:val="auto"/>
              </w:rPr>
              <w:t>Craig B. Glidden</w:t>
            </w:r>
          </w:p>
        </w:tc>
        <w:tc>
          <w:tcPr>
            <w:tcW w:w="8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7/28/2015</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96"/>
              <w:spacing w:after="0" w:line="183" w:lineRule="exact"/>
              <w:rPr>
                <w:sz w:val="20"/>
                <w:szCs w:val="20"/>
                <w:color w:val="auto"/>
              </w:rPr>
            </w:pPr>
            <w:r>
              <w:rPr>
                <w:rFonts w:ascii="Arial" w:cs="Arial" w:eastAsia="Arial" w:hAnsi="Arial"/>
                <w:sz w:val="13"/>
                <w:szCs w:val="13"/>
                <w:color w:val="auto"/>
              </w:rPr>
              <w:t>167,029</w:t>
            </w:r>
            <w:r>
              <w:rPr>
                <w:rFonts w:ascii="Arial" w:cs="Arial" w:eastAsia="Arial" w:hAnsi="Arial"/>
                <w:sz w:val="21"/>
                <w:szCs w:val="21"/>
                <w:color w:val="auto"/>
                <w:vertAlign w:val="superscript"/>
              </w:rPr>
              <w:t>(2)</w:t>
            </w:r>
          </w:p>
        </w:tc>
        <w:tc>
          <w:tcPr>
            <w:tcW w:w="1040" w:type="dxa"/>
            <w:vAlign w:val="bottom"/>
            <w:tcBorders>
              <w:bottom w:val="single" w:sz="8" w:color="auto"/>
            </w:tcBorders>
          </w:tcPr>
          <w:p>
            <w:pPr>
              <w:jc w:val="right"/>
              <w:ind w:right="16"/>
              <w:spacing w:after="0" w:line="183" w:lineRule="exact"/>
              <w:rPr>
                <w:sz w:val="20"/>
                <w:szCs w:val="20"/>
                <w:color w:val="auto"/>
              </w:rPr>
            </w:pPr>
            <w:r>
              <w:rPr>
                <w:rFonts w:ascii="Arial" w:cs="Arial" w:eastAsia="Arial" w:hAnsi="Arial"/>
                <w:sz w:val="13"/>
                <w:szCs w:val="13"/>
                <w:color w:val="auto"/>
              </w:rPr>
              <w:t>250,542</w:t>
            </w:r>
            <w:r>
              <w:rPr>
                <w:rFonts w:ascii="Arial" w:cs="Arial" w:eastAsia="Arial" w:hAnsi="Arial"/>
                <w:sz w:val="21"/>
                <w:szCs w:val="21"/>
                <w:color w:val="auto"/>
                <w:vertAlign w:val="superscript"/>
              </w:rPr>
              <w:t>(3)</w:t>
            </w:r>
          </w:p>
        </w:tc>
        <w:tc>
          <w:tcPr>
            <w:tcW w:w="7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31.32</w:t>
            </w:r>
          </w:p>
        </w:tc>
        <w:tc>
          <w:tcPr>
            <w:tcW w:w="8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7/28/2025</w:t>
            </w:r>
          </w:p>
        </w:tc>
        <w:tc>
          <w:tcPr>
            <w:tcW w:w="8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r>
      <w:tr>
        <w:trPr>
          <w:trHeight w:val="183"/>
        </w:trPr>
        <w:tc>
          <w:tcPr>
            <w:tcW w:w="1800" w:type="dxa"/>
            <w:vAlign w:val="bottom"/>
          </w:tcPr>
          <w:p>
            <w:pPr>
              <w:spacing w:after="0"/>
              <w:rPr>
                <w:sz w:val="15"/>
                <w:szCs w:val="15"/>
                <w:color w:val="auto"/>
              </w:rPr>
            </w:pPr>
          </w:p>
        </w:tc>
        <w:tc>
          <w:tcPr>
            <w:tcW w:w="8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4/1/2015</w:t>
            </w:r>
          </w:p>
        </w:tc>
        <w:tc>
          <w:tcPr>
            <w:tcW w:w="10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54"/>
              <w:spacing w:after="0" w:line="183" w:lineRule="exact"/>
              <w:rPr>
                <w:sz w:val="20"/>
                <w:szCs w:val="20"/>
                <w:color w:val="auto"/>
              </w:rPr>
            </w:pPr>
            <w:r>
              <w:rPr>
                <w:rFonts w:ascii="Arial" w:cs="Arial" w:eastAsia="Arial" w:hAnsi="Arial"/>
                <w:sz w:val="13"/>
                <w:szCs w:val="13"/>
                <w:color w:val="auto"/>
              </w:rPr>
              <w:t>13,099</w:t>
            </w:r>
            <w:r>
              <w:rPr>
                <w:rFonts w:ascii="Arial" w:cs="Arial" w:eastAsia="Arial" w:hAnsi="Arial"/>
                <w:sz w:val="21"/>
                <w:szCs w:val="21"/>
                <w:color w:val="auto"/>
                <w:vertAlign w:val="superscript"/>
              </w:rPr>
              <w:t>(4)</w:t>
            </w:r>
          </w:p>
        </w:tc>
        <w:tc>
          <w:tcPr>
            <w:tcW w:w="9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445,497</w:t>
            </w:r>
          </w:p>
        </w:tc>
        <w:tc>
          <w:tcPr>
            <w:tcW w:w="110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3"/>
                <w:szCs w:val="13"/>
                <w:color w:val="auto"/>
              </w:rPr>
              <w:t>39,297</w:t>
            </w:r>
            <w:r>
              <w:rPr>
                <w:rFonts w:ascii="Arial" w:cs="Arial" w:eastAsia="Arial" w:hAnsi="Arial"/>
                <w:sz w:val="21"/>
                <w:szCs w:val="21"/>
                <w:color w:val="auto"/>
                <w:vertAlign w:val="superscript"/>
              </w:rPr>
              <w:t>(5)</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1,336,491</w:t>
            </w:r>
          </w:p>
        </w:tc>
      </w:tr>
      <w:tr>
        <w:trPr>
          <w:trHeight w:val="190"/>
        </w:trPr>
        <w:tc>
          <w:tcPr>
            <w:tcW w:w="1800" w:type="dxa"/>
            <w:vAlign w:val="bottom"/>
            <w:tcBorders>
              <w:bottom w:val="single" w:sz="8" w:color="08228B"/>
            </w:tcBorders>
          </w:tcPr>
          <w:p>
            <w:pPr>
              <w:spacing w:after="0"/>
              <w:rPr>
                <w:sz w:val="16"/>
                <w:szCs w:val="16"/>
                <w:color w:val="auto"/>
              </w:rPr>
            </w:pPr>
          </w:p>
        </w:tc>
        <w:tc>
          <w:tcPr>
            <w:tcW w:w="840" w:type="dxa"/>
            <w:vAlign w:val="bottom"/>
            <w:tcBorders>
              <w:bottom w:val="single" w:sz="8" w:color="08228B"/>
            </w:tcBorders>
          </w:tcPr>
          <w:p>
            <w:pPr>
              <w:jc w:val="right"/>
              <w:ind w:right="109"/>
              <w:spacing w:after="0"/>
              <w:rPr>
                <w:sz w:val="20"/>
                <w:szCs w:val="20"/>
                <w:color w:val="auto"/>
              </w:rPr>
            </w:pPr>
            <w:r>
              <w:rPr>
                <w:rFonts w:ascii="Arial" w:cs="Arial" w:eastAsia="Arial" w:hAnsi="Arial"/>
                <w:sz w:val="14"/>
                <w:szCs w:val="14"/>
                <w:color w:val="auto"/>
              </w:rPr>
              <w:t>4/1/2015</w:t>
            </w:r>
          </w:p>
        </w:tc>
        <w:tc>
          <w:tcPr>
            <w:tcW w:w="1000" w:type="dxa"/>
            <w:vAlign w:val="bottom"/>
            <w:tcBorders>
              <w:bottom w:val="single" w:sz="8" w:color="08228B"/>
            </w:tcBorders>
          </w:tcPr>
          <w:p>
            <w:pPr>
              <w:spacing w:after="0"/>
              <w:rPr>
                <w:sz w:val="16"/>
                <w:szCs w:val="16"/>
                <w:color w:val="auto"/>
              </w:rPr>
            </w:pPr>
          </w:p>
        </w:tc>
        <w:tc>
          <w:tcPr>
            <w:tcW w:w="1220" w:type="dxa"/>
            <w:vAlign w:val="bottom"/>
            <w:tcBorders>
              <w:bottom w:val="single" w:sz="8" w:color="08228B"/>
            </w:tcBorders>
          </w:tcPr>
          <w:p>
            <w:pPr>
              <w:spacing w:after="0"/>
              <w:rPr>
                <w:sz w:val="16"/>
                <w:szCs w:val="16"/>
                <w:color w:val="auto"/>
              </w:rPr>
            </w:pPr>
          </w:p>
        </w:tc>
        <w:tc>
          <w:tcPr>
            <w:tcW w:w="1040" w:type="dxa"/>
            <w:vAlign w:val="bottom"/>
            <w:tcBorders>
              <w:bottom w:val="single" w:sz="8" w:color="08228B"/>
            </w:tcBorders>
          </w:tcPr>
          <w:p>
            <w:pPr>
              <w:spacing w:after="0"/>
              <w:rPr>
                <w:sz w:val="16"/>
                <w:szCs w:val="16"/>
                <w:color w:val="auto"/>
              </w:rPr>
            </w:pPr>
          </w:p>
        </w:tc>
        <w:tc>
          <w:tcPr>
            <w:tcW w:w="600" w:type="dxa"/>
            <w:vAlign w:val="bottom"/>
            <w:tcBorders>
              <w:bottom w:val="single" w:sz="8" w:color="08228B"/>
            </w:tcBorders>
          </w:tcPr>
          <w:p>
            <w:pPr>
              <w:spacing w:after="0"/>
              <w:rPr>
                <w:sz w:val="16"/>
                <w:szCs w:val="16"/>
                <w:color w:val="auto"/>
              </w:rPr>
            </w:pPr>
          </w:p>
        </w:tc>
        <w:tc>
          <w:tcPr>
            <w:tcW w:w="100" w:type="dxa"/>
            <w:vAlign w:val="bottom"/>
            <w:tcBorders>
              <w:bottom w:val="single" w:sz="8" w:color="08228B"/>
            </w:tcBorders>
          </w:tcPr>
          <w:p>
            <w:pPr>
              <w:spacing w:after="0"/>
              <w:rPr>
                <w:sz w:val="16"/>
                <w:szCs w:val="16"/>
                <w:color w:val="auto"/>
              </w:rPr>
            </w:pPr>
          </w:p>
        </w:tc>
        <w:tc>
          <w:tcPr>
            <w:tcW w:w="800" w:type="dxa"/>
            <w:vAlign w:val="bottom"/>
            <w:tcBorders>
              <w:bottom w:val="single" w:sz="8" w:color="08228B"/>
            </w:tcBorders>
          </w:tcPr>
          <w:p>
            <w:pPr>
              <w:spacing w:after="0"/>
              <w:rPr>
                <w:sz w:val="16"/>
                <w:szCs w:val="16"/>
                <w:color w:val="auto"/>
              </w:rPr>
            </w:pPr>
          </w:p>
        </w:tc>
        <w:tc>
          <w:tcPr>
            <w:tcW w:w="880" w:type="dxa"/>
            <w:vAlign w:val="bottom"/>
            <w:tcBorders>
              <w:bottom w:val="single" w:sz="8" w:color="08228B"/>
            </w:tcBorders>
          </w:tcPr>
          <w:p>
            <w:pPr>
              <w:jc w:val="right"/>
              <w:ind w:right="54"/>
              <w:spacing w:after="0" w:line="183" w:lineRule="exact"/>
              <w:rPr>
                <w:sz w:val="20"/>
                <w:szCs w:val="20"/>
                <w:color w:val="auto"/>
              </w:rPr>
            </w:pPr>
            <w:r>
              <w:rPr>
                <w:rFonts w:ascii="Arial" w:cs="Arial" w:eastAsia="Arial" w:hAnsi="Arial"/>
                <w:sz w:val="13"/>
                <w:szCs w:val="13"/>
                <w:color w:val="auto"/>
              </w:rPr>
              <w:t>69,407</w:t>
            </w:r>
            <w:r>
              <w:rPr>
                <w:rFonts w:ascii="Arial" w:cs="Arial" w:eastAsia="Arial" w:hAnsi="Arial"/>
                <w:sz w:val="21"/>
                <w:szCs w:val="21"/>
                <w:color w:val="auto"/>
                <w:vertAlign w:val="superscript"/>
              </w:rPr>
              <w:t>(8)</w:t>
            </w:r>
          </w:p>
        </w:tc>
        <w:tc>
          <w:tcPr>
            <w:tcW w:w="920" w:type="dxa"/>
            <w:vAlign w:val="bottom"/>
            <w:tcBorders>
              <w:bottom w:val="single" w:sz="8" w:color="08228B"/>
            </w:tcBorders>
          </w:tcPr>
          <w:p>
            <w:pPr>
              <w:jc w:val="right"/>
              <w:ind w:right="71"/>
              <w:spacing w:after="0"/>
              <w:rPr>
                <w:sz w:val="20"/>
                <w:szCs w:val="20"/>
                <w:color w:val="auto"/>
              </w:rPr>
            </w:pPr>
            <w:r>
              <w:rPr>
                <w:rFonts w:ascii="Arial" w:cs="Arial" w:eastAsia="Arial" w:hAnsi="Arial"/>
                <w:sz w:val="14"/>
                <w:szCs w:val="14"/>
                <w:color w:val="auto"/>
              </w:rPr>
              <w:t>2,360,532</w:t>
            </w:r>
          </w:p>
        </w:tc>
        <w:tc>
          <w:tcPr>
            <w:tcW w:w="1100" w:type="dxa"/>
            <w:vAlign w:val="bottom"/>
            <w:tcBorders>
              <w:bottom w:val="single" w:sz="8" w:color="08228B"/>
            </w:tcBorders>
          </w:tcPr>
          <w:p>
            <w:pPr>
              <w:spacing w:after="0"/>
              <w:rPr>
                <w:sz w:val="16"/>
                <w:szCs w:val="16"/>
                <w:color w:val="auto"/>
              </w:rPr>
            </w:pPr>
          </w:p>
        </w:tc>
        <w:tc>
          <w:tcPr>
            <w:tcW w:w="1000" w:type="dxa"/>
            <w:vAlign w:val="bottom"/>
            <w:tcBorders>
              <w:bottom w:val="single" w:sz="8" w:color="08228B"/>
            </w:tcBorders>
          </w:tcPr>
          <w:p>
            <w:pPr>
              <w:spacing w:after="0"/>
              <w:rPr>
                <w:sz w:val="16"/>
                <w:szCs w:val="16"/>
                <w:color w:val="auto"/>
              </w:rPr>
            </w:pPr>
          </w:p>
        </w:tc>
      </w:tr>
    </w:tbl>
    <w:p>
      <w:pPr>
        <w:spacing w:after="0" w:line="58" w:lineRule="exact"/>
        <w:rPr>
          <w:sz w:val="20"/>
          <w:szCs w:val="20"/>
          <w:color w:val="auto"/>
        </w:rPr>
      </w:pPr>
    </w:p>
    <w:p>
      <w:pPr>
        <w:ind w:left="340" w:hanging="332"/>
        <w:spacing w:after="0"/>
        <w:tabs>
          <w:tab w:leader="none" w:pos="340" w:val="left"/>
        </w:tabs>
        <w:numPr>
          <w:ilvl w:val="0"/>
          <w:numId w:val="100"/>
        </w:numPr>
        <w:rPr>
          <w:rFonts w:ascii="Arial" w:cs="Arial" w:eastAsia="Arial" w:hAnsi="Arial"/>
          <w:sz w:val="14"/>
          <w:szCs w:val="14"/>
          <w:i w:val="1"/>
          <w:iCs w:val="1"/>
          <w:color w:val="auto"/>
        </w:rPr>
      </w:pPr>
      <w:r>
        <w:rPr>
          <w:rFonts w:ascii="Arial" w:cs="Arial" w:eastAsia="Arial" w:hAnsi="Arial"/>
          <w:sz w:val="14"/>
          <w:szCs w:val="14"/>
          <w:i w:val="1"/>
          <w:iCs w:val="1"/>
          <w:color w:val="auto"/>
        </w:rPr>
        <w:t>The awards are valued based on the closing price of common stock on the NYSE on December 31, 2015, which was $34.01.</w:t>
      </w:r>
    </w:p>
    <w:p>
      <w:pPr>
        <w:spacing w:after="0" w:line="55" w:lineRule="exact"/>
        <w:rPr>
          <w:rFonts w:ascii="Arial" w:cs="Arial" w:eastAsia="Arial" w:hAnsi="Arial"/>
          <w:sz w:val="14"/>
          <w:szCs w:val="14"/>
          <w:i w:val="1"/>
          <w:iCs w:val="1"/>
          <w:color w:val="auto"/>
        </w:rPr>
      </w:pPr>
    </w:p>
    <w:p>
      <w:pPr>
        <w:ind w:left="340" w:right="140" w:hanging="332"/>
        <w:spacing w:after="0" w:line="279" w:lineRule="auto"/>
        <w:tabs>
          <w:tab w:leader="none" w:pos="340" w:val="left"/>
        </w:tabs>
        <w:numPr>
          <w:ilvl w:val="0"/>
          <w:numId w:val="100"/>
        </w:numPr>
        <w:rPr>
          <w:rFonts w:ascii="Arial" w:cs="Arial" w:eastAsia="Arial" w:hAnsi="Arial"/>
          <w:sz w:val="14"/>
          <w:szCs w:val="14"/>
          <w:i w:val="1"/>
          <w:iCs w:val="1"/>
          <w:color w:val="auto"/>
        </w:rPr>
      </w:pPr>
      <w:r>
        <w:rPr>
          <w:rFonts w:ascii="Arial" w:cs="Arial" w:eastAsia="Arial" w:hAnsi="Arial"/>
          <w:sz w:val="14"/>
          <w:szCs w:val="14"/>
          <w:i w:val="1"/>
          <w:iCs w:val="1"/>
          <w:color w:val="auto"/>
        </w:rPr>
        <w:t>Option awards granted under the DSV Option Grant on July 28, 2015 to Ms. Barra and Messrs. Stevens, Ammann, Reuss, and Glidden. This portion represents the 40% of the award that features time-based vesting and vests on February 15, 2017.</w:t>
      </w:r>
    </w:p>
    <w:p>
      <w:pPr>
        <w:spacing w:after="0" w:line="3" w:lineRule="exact"/>
        <w:rPr>
          <w:rFonts w:ascii="Arial" w:cs="Arial" w:eastAsia="Arial" w:hAnsi="Arial"/>
          <w:sz w:val="14"/>
          <w:szCs w:val="14"/>
          <w:i w:val="1"/>
          <w:iCs w:val="1"/>
          <w:color w:val="auto"/>
        </w:rPr>
      </w:pPr>
    </w:p>
    <w:p>
      <w:pPr>
        <w:ind w:left="340" w:right="140" w:hanging="332"/>
        <w:spacing w:after="0" w:line="279" w:lineRule="auto"/>
        <w:tabs>
          <w:tab w:leader="none" w:pos="340" w:val="left"/>
        </w:tabs>
        <w:numPr>
          <w:ilvl w:val="0"/>
          <w:numId w:val="100"/>
        </w:numPr>
        <w:rPr>
          <w:rFonts w:ascii="Arial" w:cs="Arial" w:eastAsia="Arial" w:hAnsi="Arial"/>
          <w:sz w:val="14"/>
          <w:szCs w:val="14"/>
          <w:i w:val="1"/>
          <w:iCs w:val="1"/>
          <w:color w:val="auto"/>
        </w:rPr>
      </w:pPr>
      <w:r>
        <w:rPr>
          <w:rFonts w:ascii="Arial" w:cs="Arial" w:eastAsia="Arial" w:hAnsi="Arial"/>
          <w:sz w:val="14"/>
          <w:szCs w:val="14"/>
          <w:i w:val="1"/>
          <w:iCs w:val="1"/>
          <w:color w:val="auto"/>
        </w:rPr>
        <w:t>Option awards granted under the DSV Option Grant on July 28, 2015 to Ms. Barra and Messrs. Stevens, Ammann, Reuss, and Glidden. This portion represents the 60% of the award that features performance-based vesting and vests ratably each February 15 of 2018, 2019, and 2020.</w:t>
      </w:r>
    </w:p>
    <w:p>
      <w:pPr>
        <w:spacing w:after="0" w:line="3" w:lineRule="exact"/>
        <w:rPr>
          <w:rFonts w:ascii="Arial" w:cs="Arial" w:eastAsia="Arial" w:hAnsi="Arial"/>
          <w:sz w:val="14"/>
          <w:szCs w:val="14"/>
          <w:i w:val="1"/>
          <w:iCs w:val="1"/>
          <w:color w:val="auto"/>
        </w:rPr>
      </w:pPr>
    </w:p>
    <w:p>
      <w:pPr>
        <w:jc w:val="both"/>
        <w:ind w:left="340" w:right="120" w:hanging="332"/>
        <w:spacing w:after="0" w:line="254" w:lineRule="auto"/>
        <w:tabs>
          <w:tab w:leader="none" w:pos="340" w:val="left"/>
        </w:tabs>
        <w:numPr>
          <w:ilvl w:val="0"/>
          <w:numId w:val="100"/>
        </w:numPr>
        <w:rPr>
          <w:rFonts w:ascii="Arial" w:cs="Arial" w:eastAsia="Arial" w:hAnsi="Arial"/>
          <w:sz w:val="14"/>
          <w:szCs w:val="14"/>
          <w:i w:val="1"/>
          <w:iCs w:val="1"/>
          <w:color w:val="auto"/>
        </w:rPr>
      </w:pPr>
      <w:r>
        <w:rPr>
          <w:rFonts w:ascii="Arial" w:cs="Arial" w:eastAsia="Arial" w:hAnsi="Arial"/>
          <w:sz w:val="14"/>
          <w:szCs w:val="14"/>
          <w:i w:val="1"/>
          <w:iCs w:val="1"/>
          <w:color w:val="auto"/>
        </w:rPr>
        <w:t>RSU awards were granted to Ms. Barra and Messrs. Stevens, Ammann, and Reuss on February 11, 2015, and Mr. Glidden on April 1, 2015. RSUs granted in 2015 vest ratably each February 11 of 2016, 2017, and 2018. RSU awards were granted to Ms. Barra and Messrs. Stevens, Ammann, and Reuss on June 11, 2014, and vest ratably each February 13 of 2015, 2016, and 2017. RSUs granted to Mr. Stevens on February 13, 2014, and March 1, 2013, vest ratably over three years on each anniversary of the grant date.</w:t>
      </w:r>
    </w:p>
    <w:p>
      <w:pPr>
        <w:spacing w:after="0" w:line="20" w:lineRule="exact"/>
        <w:rPr>
          <w:rFonts w:ascii="Arial" w:cs="Arial" w:eastAsia="Arial" w:hAnsi="Arial"/>
          <w:sz w:val="14"/>
          <w:szCs w:val="14"/>
          <w:i w:val="1"/>
          <w:iCs w:val="1"/>
          <w:color w:val="auto"/>
        </w:rPr>
      </w:pPr>
    </w:p>
    <w:p>
      <w:pPr>
        <w:jc w:val="both"/>
        <w:ind w:left="340" w:right="140" w:hanging="332"/>
        <w:spacing w:after="0" w:line="254" w:lineRule="auto"/>
        <w:tabs>
          <w:tab w:leader="none" w:pos="340" w:val="left"/>
        </w:tabs>
        <w:numPr>
          <w:ilvl w:val="0"/>
          <w:numId w:val="100"/>
        </w:numPr>
        <w:rPr>
          <w:rFonts w:ascii="Arial" w:cs="Arial" w:eastAsia="Arial" w:hAnsi="Arial"/>
          <w:sz w:val="14"/>
          <w:szCs w:val="14"/>
          <w:i w:val="1"/>
          <w:iCs w:val="1"/>
          <w:color w:val="auto"/>
        </w:rPr>
      </w:pPr>
      <w:r>
        <w:rPr>
          <w:rFonts w:ascii="Arial" w:cs="Arial" w:eastAsia="Arial" w:hAnsi="Arial"/>
          <w:sz w:val="14"/>
          <w:szCs w:val="14"/>
          <w:i w:val="1"/>
          <w:iCs w:val="1"/>
          <w:color w:val="auto"/>
        </w:rPr>
        <w:t>PSU awards were granted to Ms. Barra and Messrs. Stevens, Ammann, and Reuss on February 11, 2015, and Mr. Glidden on April 1, 2015. PSUs granted in 2015 cliff-vest on February 11, 2018, upon completion of results for the performance period January 1, 2015 – December 31, 2017. PSUs were granted to Ms. Barra and Messrs. Stevens, Ammann, and Reuss on June 11, 2014. PSUs granted in 2014 cliff-vest on February 13, 2017, upon completion of results for the performance period January 1, 2014 – December 31, 2016.</w:t>
      </w:r>
    </w:p>
    <w:p>
      <w:pPr>
        <w:spacing w:after="0" w:line="20" w:lineRule="exact"/>
        <w:rPr>
          <w:rFonts w:ascii="Arial" w:cs="Arial" w:eastAsia="Arial" w:hAnsi="Arial"/>
          <w:sz w:val="14"/>
          <w:szCs w:val="14"/>
          <w:i w:val="1"/>
          <w:iCs w:val="1"/>
          <w:color w:val="auto"/>
        </w:rPr>
      </w:pPr>
    </w:p>
    <w:p>
      <w:pPr>
        <w:ind w:left="340" w:right="140" w:hanging="332"/>
        <w:spacing w:after="0" w:line="279" w:lineRule="auto"/>
        <w:tabs>
          <w:tab w:leader="none" w:pos="340" w:val="left"/>
        </w:tabs>
        <w:numPr>
          <w:ilvl w:val="0"/>
          <w:numId w:val="100"/>
        </w:numPr>
        <w:rPr>
          <w:rFonts w:ascii="Arial" w:cs="Arial" w:eastAsia="Arial" w:hAnsi="Arial"/>
          <w:sz w:val="14"/>
          <w:szCs w:val="14"/>
          <w:i w:val="1"/>
          <w:iCs w:val="1"/>
          <w:color w:val="auto"/>
        </w:rPr>
      </w:pPr>
      <w:r>
        <w:rPr>
          <w:rFonts w:ascii="Arial" w:cs="Arial" w:eastAsia="Arial" w:hAnsi="Arial"/>
          <w:sz w:val="14"/>
          <w:szCs w:val="14"/>
          <w:i w:val="1"/>
          <w:iCs w:val="1"/>
          <w:color w:val="auto"/>
        </w:rPr>
        <w:t>Troubled Asset Relief Program (the “TARP”) RSU awards were granted to Ms. Barra and Messrs. Amman and Reuss on February 13, 2014, and March 1, 2013. TARP RSUs vest two-thirds on the second anniversary of the grant date and one-third on the third anniversary of the grant date.</w:t>
      </w:r>
    </w:p>
    <w:p>
      <w:pPr>
        <w:spacing w:after="0" w:line="3" w:lineRule="exact"/>
        <w:rPr>
          <w:rFonts w:ascii="Arial" w:cs="Arial" w:eastAsia="Arial" w:hAnsi="Arial"/>
          <w:sz w:val="14"/>
          <w:szCs w:val="14"/>
          <w:i w:val="1"/>
          <w:iCs w:val="1"/>
          <w:color w:val="auto"/>
        </w:rPr>
      </w:pPr>
    </w:p>
    <w:p>
      <w:pPr>
        <w:ind w:left="340" w:hanging="332"/>
        <w:spacing w:after="0"/>
        <w:tabs>
          <w:tab w:leader="none" w:pos="340" w:val="left"/>
        </w:tabs>
        <w:numPr>
          <w:ilvl w:val="0"/>
          <w:numId w:val="100"/>
        </w:numPr>
        <w:rPr>
          <w:rFonts w:ascii="Arial" w:cs="Arial" w:eastAsia="Arial" w:hAnsi="Arial"/>
          <w:sz w:val="14"/>
          <w:szCs w:val="14"/>
          <w:i w:val="1"/>
          <w:iCs w:val="1"/>
          <w:color w:val="auto"/>
        </w:rPr>
      </w:pPr>
      <w:r>
        <w:rPr>
          <w:rFonts w:ascii="Arial" w:cs="Arial" w:eastAsia="Arial" w:hAnsi="Arial"/>
          <w:sz w:val="14"/>
          <w:szCs w:val="14"/>
          <w:i w:val="1"/>
          <w:iCs w:val="1"/>
          <w:color w:val="auto"/>
        </w:rPr>
        <w:t>RSUs granted to Mr. Reuss for retention purposes on February 13, 2014 cliff-vest on February 13, 2017.</w:t>
      </w:r>
    </w:p>
    <w:p>
      <w:pPr>
        <w:spacing w:after="0" w:line="55" w:lineRule="exact"/>
        <w:rPr>
          <w:rFonts w:ascii="Arial" w:cs="Arial" w:eastAsia="Arial" w:hAnsi="Arial"/>
          <w:sz w:val="14"/>
          <w:szCs w:val="14"/>
          <w:i w:val="1"/>
          <w:iCs w:val="1"/>
          <w:color w:val="auto"/>
        </w:rPr>
      </w:pPr>
    </w:p>
    <w:p>
      <w:pPr>
        <w:ind w:left="340" w:hanging="332"/>
        <w:spacing w:after="0"/>
        <w:tabs>
          <w:tab w:leader="none" w:pos="340" w:val="left"/>
        </w:tabs>
        <w:numPr>
          <w:ilvl w:val="0"/>
          <w:numId w:val="100"/>
        </w:numPr>
        <w:rPr>
          <w:rFonts w:ascii="Arial" w:cs="Arial" w:eastAsia="Arial" w:hAnsi="Arial"/>
          <w:sz w:val="14"/>
          <w:szCs w:val="14"/>
          <w:i w:val="1"/>
          <w:iCs w:val="1"/>
          <w:color w:val="auto"/>
        </w:rPr>
      </w:pPr>
      <w:r>
        <w:rPr>
          <w:rFonts w:ascii="Arial" w:cs="Arial" w:eastAsia="Arial" w:hAnsi="Arial"/>
          <w:sz w:val="14"/>
          <w:szCs w:val="14"/>
          <w:i w:val="1"/>
          <w:iCs w:val="1"/>
          <w:color w:val="auto"/>
        </w:rPr>
        <w:t>Sign-on RSUs granted to Mr. Glidden on April 1, 2015 vest, 50% on April 1, 2016, and 50% on April 1, 2017.</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13"/>
        </w:trPr>
        <w:tc>
          <w:tcPr>
            <w:tcW w:w="4340" w:type="dxa"/>
            <w:vAlign w:val="bottom"/>
            <w:tcBorders>
              <w:bottom w:val="single" w:sz="8" w:color="08228B"/>
            </w:tcBorders>
          </w:tcPr>
          <w:p>
            <w:pPr>
              <w:spacing w:after="0"/>
              <w:rPr>
                <w:sz w:val="9"/>
                <w:szCs w:val="9"/>
                <w:color w:val="auto"/>
              </w:rPr>
            </w:pPr>
          </w:p>
        </w:tc>
        <w:tc>
          <w:tcPr>
            <w:tcW w:w="2060" w:type="dxa"/>
            <w:vAlign w:val="bottom"/>
            <w:vMerge w:val="restart"/>
          </w:tcPr>
          <w:p>
            <w:pPr>
              <w:ind w:left="60"/>
              <w:spacing w:after="0"/>
              <w:rPr>
                <w:sz w:val="20"/>
                <w:szCs w:val="20"/>
                <w:color w:val="auto"/>
              </w:rPr>
            </w:pPr>
            <w:r>
              <w:rPr>
                <w:rFonts w:ascii="Arial" w:cs="Arial" w:eastAsia="Arial" w:hAnsi="Arial"/>
                <w:sz w:val="16"/>
                <w:szCs w:val="16"/>
                <w:b w:val="1"/>
                <w:bCs w:val="1"/>
                <w:color w:val="1C90D3"/>
              </w:rPr>
              <w:t xml:space="preserve">2016 </w:t>
            </w:r>
            <w:r>
              <w:rPr>
                <w:rFonts w:ascii="Arial" w:cs="Arial" w:eastAsia="Arial" w:hAnsi="Arial"/>
                <w:sz w:val="16"/>
                <w:szCs w:val="16"/>
                <w:color w:val="08228B"/>
              </w:rPr>
              <w:t>PROXY STATEMENT</w:t>
            </w:r>
          </w:p>
        </w:tc>
        <w:tc>
          <w:tcPr>
            <w:tcW w:w="2400" w:type="dxa"/>
            <w:vAlign w:val="bottom"/>
            <w:tcBorders>
              <w:bottom w:val="single" w:sz="8" w:color="08228B"/>
            </w:tcBorders>
          </w:tcPr>
          <w:p>
            <w:pPr>
              <w:spacing w:after="0"/>
              <w:rPr>
                <w:sz w:val="9"/>
                <w:szCs w:val="9"/>
                <w:color w:val="auto"/>
              </w:rPr>
            </w:pPr>
          </w:p>
        </w:tc>
        <w:tc>
          <w:tcPr>
            <w:tcW w:w="2620" w:type="dxa"/>
            <w:vAlign w:val="bottom"/>
            <w:vMerge w:val="restart"/>
          </w:tcPr>
          <w:p>
            <w:pPr>
              <w:jc w:val="right"/>
              <w:ind w:right="39"/>
              <w:spacing w:after="0"/>
              <w:rPr>
                <w:sz w:val="20"/>
                <w:szCs w:val="20"/>
                <w:color w:val="auto"/>
              </w:rPr>
            </w:pPr>
            <w:r>
              <w:rPr>
                <w:rFonts w:ascii="Arial" w:cs="Arial" w:eastAsia="Arial" w:hAnsi="Arial"/>
                <w:sz w:val="16"/>
                <w:szCs w:val="16"/>
                <w:color w:val="08228B"/>
              </w:rPr>
              <w:t>57</w:t>
            </w:r>
          </w:p>
        </w:tc>
        <w:tc>
          <w:tcPr>
            <w:tcW w:w="0" w:type="dxa"/>
            <w:vAlign w:val="bottom"/>
          </w:tcPr>
          <w:p>
            <w:pPr>
              <w:spacing w:after="0"/>
              <w:rPr>
                <w:sz w:val="1"/>
                <w:szCs w:val="1"/>
                <w:color w:val="auto"/>
              </w:rPr>
            </w:pPr>
          </w:p>
        </w:tc>
      </w:tr>
      <w:tr>
        <w:trPr>
          <w:trHeight w:val="82"/>
        </w:trPr>
        <w:tc>
          <w:tcPr>
            <w:tcW w:w="4340" w:type="dxa"/>
            <w:vAlign w:val="bottom"/>
          </w:tcPr>
          <w:p>
            <w:pPr>
              <w:spacing w:after="0"/>
              <w:rPr>
                <w:sz w:val="7"/>
                <w:szCs w:val="7"/>
                <w:color w:val="auto"/>
              </w:rPr>
            </w:pPr>
          </w:p>
        </w:tc>
        <w:tc>
          <w:tcPr>
            <w:tcW w:w="2060" w:type="dxa"/>
            <w:vAlign w:val="bottom"/>
            <w:vMerge w:val="continue"/>
          </w:tcPr>
          <w:p>
            <w:pPr>
              <w:spacing w:after="0"/>
              <w:rPr>
                <w:sz w:val="7"/>
                <w:szCs w:val="7"/>
                <w:color w:val="auto"/>
              </w:rPr>
            </w:pPr>
          </w:p>
        </w:tc>
        <w:tc>
          <w:tcPr>
            <w:tcW w:w="2400" w:type="dxa"/>
            <w:vAlign w:val="bottom"/>
          </w:tcPr>
          <w:p>
            <w:pPr>
              <w:spacing w:after="0"/>
              <w:rPr>
                <w:sz w:val="7"/>
                <w:szCs w:val="7"/>
                <w:color w:val="auto"/>
              </w:rPr>
            </w:pPr>
          </w:p>
        </w:tc>
        <w:tc>
          <w:tcPr>
            <w:tcW w:w="2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7"/>
        </w:trPr>
        <w:tc>
          <w:tcPr>
            <w:tcW w:w="4340" w:type="dxa"/>
            <w:vAlign w:val="bottom"/>
            <w:tcBorders>
              <w:bottom w:val="single" w:sz="8" w:color="C0C0C0"/>
            </w:tcBorders>
          </w:tcPr>
          <w:p>
            <w:pPr>
              <w:spacing w:after="0"/>
              <w:rPr>
                <w:sz w:val="24"/>
                <w:szCs w:val="24"/>
                <w:color w:val="auto"/>
              </w:rPr>
            </w:pPr>
          </w:p>
        </w:tc>
        <w:tc>
          <w:tcPr>
            <w:tcW w:w="2060" w:type="dxa"/>
            <w:vAlign w:val="bottom"/>
            <w:tcBorders>
              <w:bottom w:val="single" w:sz="8" w:color="C0C0C0"/>
            </w:tcBorders>
          </w:tcPr>
          <w:p>
            <w:pPr>
              <w:spacing w:after="0"/>
              <w:rPr>
                <w:sz w:val="24"/>
                <w:szCs w:val="24"/>
                <w:color w:val="auto"/>
              </w:rPr>
            </w:pPr>
          </w:p>
        </w:tc>
        <w:tc>
          <w:tcPr>
            <w:tcW w:w="2400" w:type="dxa"/>
            <w:vAlign w:val="bottom"/>
            <w:tcBorders>
              <w:bottom w:val="single" w:sz="8" w:color="C0C0C0"/>
            </w:tcBorders>
          </w:tcPr>
          <w:p>
            <w:pPr>
              <w:spacing w:after="0"/>
              <w:rPr>
                <w:sz w:val="24"/>
                <w:szCs w:val="24"/>
                <w:color w:val="auto"/>
              </w:rPr>
            </w:pPr>
          </w:p>
        </w:tc>
        <w:tc>
          <w:tcPr>
            <w:tcW w:w="262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5613400</wp:posOffset>
            </wp:positionH>
            <wp:positionV relativeFrom="paragraph">
              <wp:posOffset>-334010</wp:posOffset>
            </wp:positionV>
            <wp:extent cx="1286510" cy="8572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1286510" cy="8572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Back to Contents</w:t>
        </w:r>
      </w:hyperlink>
    </w:p>
    <w:p>
      <w:pPr>
        <w:spacing w:after="0" w:line="196" w:lineRule="exact"/>
        <w:rPr>
          <w:sz w:val="20"/>
          <w:szCs w:val="20"/>
          <w:color w:val="auto"/>
        </w:rPr>
      </w:pPr>
    </w:p>
    <w:p>
      <w:pPr>
        <w:ind w:left="500" w:hanging="492"/>
        <w:spacing w:after="0"/>
        <w:tabs>
          <w:tab w:leader="none" w:pos="500" w:val="left"/>
        </w:tabs>
        <w:numPr>
          <w:ilvl w:val="0"/>
          <w:numId w:val="101"/>
        </w:numPr>
        <w:rPr>
          <w:rFonts w:ascii="Arial" w:cs="Arial" w:eastAsia="Arial" w:hAnsi="Arial"/>
          <w:sz w:val="25"/>
          <w:szCs w:val="25"/>
          <w:color w:val="08228B"/>
        </w:rPr>
      </w:pPr>
      <w:r>
        <w:rPr>
          <w:rFonts w:ascii="Arial" w:cs="Arial" w:eastAsia="Arial" w:hAnsi="Arial"/>
          <w:sz w:val="25"/>
          <w:szCs w:val="25"/>
          <w:color w:val="auto"/>
        </w:rPr>
        <w:t>Option Exercises and Stock Vested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280" w:type="dxa"/>
            <w:vAlign w:val="bottom"/>
            <w:tcBorders>
              <w:top w:val="single" w:sz="8" w:color="1C90D3"/>
            </w:tcBorders>
          </w:tcPr>
          <w:p>
            <w:pPr>
              <w:spacing w:after="0"/>
              <w:rPr>
                <w:sz w:val="20"/>
                <w:szCs w:val="20"/>
                <w:color w:val="auto"/>
              </w:rPr>
            </w:pPr>
          </w:p>
        </w:tc>
        <w:tc>
          <w:tcPr>
            <w:tcW w:w="3960" w:type="dxa"/>
            <w:vAlign w:val="bottom"/>
            <w:tcBorders>
              <w:top w:val="single" w:sz="8" w:color="1C90D3"/>
            </w:tcBorders>
            <w:gridSpan w:val="3"/>
          </w:tcPr>
          <w:p>
            <w:pPr>
              <w:ind w:left="1260"/>
              <w:spacing w:after="0" w:line="229" w:lineRule="exact"/>
              <w:rPr>
                <w:sz w:val="20"/>
                <w:szCs w:val="20"/>
                <w:color w:val="auto"/>
              </w:rPr>
            </w:pPr>
            <w:r>
              <w:rPr>
                <w:rFonts w:ascii="Arial" w:cs="Arial" w:eastAsia="Arial" w:hAnsi="Arial"/>
                <w:sz w:val="15"/>
                <w:szCs w:val="15"/>
                <w:b w:val="1"/>
                <w:bCs w:val="1"/>
                <w:color w:val="1C90D3"/>
              </w:rPr>
              <w:t>Option Awards</w:t>
            </w:r>
            <w:r>
              <w:rPr>
                <w:rFonts w:ascii="Arial" w:cs="Arial" w:eastAsia="Arial" w:hAnsi="Arial"/>
                <w:sz w:val="25"/>
                <w:szCs w:val="25"/>
                <w:b w:val="1"/>
                <w:bCs w:val="1"/>
                <w:color w:val="1C90D3"/>
                <w:vertAlign w:val="superscript"/>
              </w:rPr>
              <w:t>(1)</w:t>
            </w:r>
          </w:p>
        </w:tc>
        <w:tc>
          <w:tcPr>
            <w:tcW w:w="2660" w:type="dxa"/>
            <w:vAlign w:val="bottom"/>
            <w:tcBorders>
              <w:top w:val="single" w:sz="8" w:color="1C90D3"/>
            </w:tcBorders>
          </w:tcPr>
          <w:p>
            <w:pPr>
              <w:jc w:val="right"/>
              <w:spacing w:after="0" w:line="229" w:lineRule="exact"/>
              <w:rPr>
                <w:sz w:val="20"/>
                <w:szCs w:val="20"/>
                <w:color w:val="auto"/>
              </w:rPr>
            </w:pPr>
            <w:r>
              <w:rPr>
                <w:rFonts w:ascii="Arial" w:cs="Arial" w:eastAsia="Arial" w:hAnsi="Arial"/>
                <w:sz w:val="15"/>
                <w:szCs w:val="15"/>
                <w:b w:val="1"/>
                <w:bCs w:val="1"/>
                <w:color w:val="1C90D3"/>
              </w:rPr>
              <w:t>Stock Awards</w:t>
            </w:r>
            <w:r>
              <w:rPr>
                <w:rFonts w:ascii="Arial" w:cs="Arial" w:eastAsia="Arial" w:hAnsi="Arial"/>
                <w:sz w:val="25"/>
                <w:szCs w:val="25"/>
                <w:b w:val="1"/>
                <w:bCs w:val="1"/>
                <w:color w:val="1C90D3"/>
                <w:vertAlign w:val="superscript"/>
              </w:rPr>
              <w:t>(2)</w:t>
            </w:r>
          </w:p>
        </w:tc>
        <w:tc>
          <w:tcPr>
            <w:tcW w:w="1400" w:type="dxa"/>
            <w:vAlign w:val="bottom"/>
            <w:tcBorders>
              <w:top w:val="single" w:sz="8" w:color="1C90D3"/>
            </w:tcBorders>
          </w:tcPr>
          <w:p>
            <w:pPr>
              <w:spacing w:after="0"/>
              <w:rPr>
                <w:sz w:val="20"/>
                <w:szCs w:val="20"/>
                <w:color w:val="auto"/>
              </w:rPr>
            </w:pPr>
          </w:p>
        </w:tc>
      </w:tr>
      <w:tr>
        <w:trPr>
          <w:trHeight w:val="141"/>
        </w:trPr>
        <w:tc>
          <w:tcPr>
            <w:tcW w:w="3280" w:type="dxa"/>
            <w:vAlign w:val="bottom"/>
          </w:tcPr>
          <w:p>
            <w:pPr>
              <w:spacing w:after="0"/>
              <w:rPr>
                <w:sz w:val="12"/>
                <w:szCs w:val="12"/>
                <w:color w:val="auto"/>
              </w:rPr>
            </w:pPr>
          </w:p>
        </w:tc>
        <w:tc>
          <w:tcPr>
            <w:tcW w:w="2240" w:type="dxa"/>
            <w:vAlign w:val="bottom"/>
            <w:tcBorders>
              <w:top w:val="single" w:sz="8" w:color="1C90D3"/>
            </w:tcBorders>
          </w:tcPr>
          <w:p>
            <w:pPr>
              <w:jc w:val="right"/>
              <w:ind w:right="123"/>
              <w:spacing w:after="0" w:line="141" w:lineRule="exact"/>
              <w:rPr>
                <w:sz w:val="20"/>
                <w:szCs w:val="20"/>
                <w:color w:val="auto"/>
              </w:rPr>
            </w:pPr>
            <w:r>
              <w:rPr>
                <w:rFonts w:ascii="Arial" w:cs="Arial" w:eastAsia="Arial" w:hAnsi="Arial"/>
                <w:sz w:val="15"/>
                <w:szCs w:val="15"/>
                <w:b w:val="1"/>
                <w:bCs w:val="1"/>
                <w:color w:val="1C90D3"/>
              </w:rPr>
              <w:t>Number of Shares</w:t>
            </w:r>
          </w:p>
        </w:tc>
        <w:tc>
          <w:tcPr>
            <w:tcW w:w="1520" w:type="dxa"/>
            <w:vAlign w:val="bottom"/>
            <w:tcBorders>
              <w:top w:val="single" w:sz="8" w:color="1C90D3"/>
            </w:tcBorders>
          </w:tcPr>
          <w:p>
            <w:pPr>
              <w:jc w:val="right"/>
              <w:spacing w:after="0" w:line="141" w:lineRule="exact"/>
              <w:rPr>
                <w:sz w:val="20"/>
                <w:szCs w:val="20"/>
                <w:color w:val="auto"/>
              </w:rPr>
            </w:pPr>
            <w:r>
              <w:rPr>
                <w:rFonts w:ascii="Arial" w:cs="Arial" w:eastAsia="Arial" w:hAnsi="Arial"/>
                <w:sz w:val="15"/>
                <w:szCs w:val="15"/>
                <w:b w:val="1"/>
                <w:bCs w:val="1"/>
                <w:color w:val="1C90D3"/>
              </w:rPr>
              <w:t>Value Realized on</w:t>
            </w:r>
          </w:p>
        </w:tc>
        <w:tc>
          <w:tcPr>
            <w:tcW w:w="200" w:type="dxa"/>
            <w:vAlign w:val="bottom"/>
          </w:tcPr>
          <w:p>
            <w:pPr>
              <w:spacing w:after="0"/>
              <w:rPr>
                <w:sz w:val="12"/>
                <w:szCs w:val="12"/>
                <w:color w:val="auto"/>
              </w:rPr>
            </w:pPr>
          </w:p>
        </w:tc>
        <w:tc>
          <w:tcPr>
            <w:tcW w:w="2660" w:type="dxa"/>
            <w:vAlign w:val="bottom"/>
            <w:tcBorders>
              <w:top w:val="single" w:sz="8" w:color="1C90D3"/>
            </w:tcBorders>
          </w:tcPr>
          <w:p>
            <w:pPr>
              <w:jc w:val="right"/>
              <w:ind w:right="543"/>
              <w:spacing w:after="0" w:line="141" w:lineRule="exact"/>
              <w:rPr>
                <w:sz w:val="20"/>
                <w:szCs w:val="20"/>
                <w:color w:val="auto"/>
              </w:rPr>
            </w:pPr>
            <w:r>
              <w:rPr>
                <w:rFonts w:ascii="Arial" w:cs="Arial" w:eastAsia="Arial" w:hAnsi="Arial"/>
                <w:sz w:val="15"/>
                <w:szCs w:val="15"/>
                <w:b w:val="1"/>
                <w:bCs w:val="1"/>
                <w:color w:val="1C90D3"/>
              </w:rPr>
              <w:t>Number of Shares</w:t>
            </w:r>
          </w:p>
        </w:tc>
        <w:tc>
          <w:tcPr>
            <w:tcW w:w="1400" w:type="dxa"/>
            <w:vAlign w:val="bottom"/>
            <w:tcBorders>
              <w:top w:val="single" w:sz="8" w:color="1C90D3"/>
            </w:tcBorders>
          </w:tcPr>
          <w:p>
            <w:pPr>
              <w:jc w:val="right"/>
              <w:spacing w:after="0" w:line="141" w:lineRule="exact"/>
              <w:rPr>
                <w:sz w:val="20"/>
                <w:szCs w:val="20"/>
                <w:color w:val="auto"/>
              </w:rPr>
            </w:pPr>
            <w:r>
              <w:rPr>
                <w:rFonts w:ascii="Arial" w:cs="Arial" w:eastAsia="Arial" w:hAnsi="Arial"/>
                <w:sz w:val="15"/>
                <w:szCs w:val="15"/>
                <w:b w:val="1"/>
                <w:bCs w:val="1"/>
                <w:color w:val="1C90D3"/>
              </w:rPr>
              <w:t>Value Realized on</w:t>
            </w:r>
          </w:p>
        </w:tc>
      </w:tr>
      <w:tr>
        <w:trPr>
          <w:trHeight w:val="162"/>
        </w:trPr>
        <w:tc>
          <w:tcPr>
            <w:tcW w:w="3280" w:type="dxa"/>
            <w:vAlign w:val="bottom"/>
          </w:tcPr>
          <w:p>
            <w:pPr>
              <w:spacing w:after="0"/>
              <w:rPr>
                <w:sz w:val="14"/>
                <w:szCs w:val="14"/>
                <w:color w:val="auto"/>
              </w:rPr>
            </w:pPr>
          </w:p>
        </w:tc>
        <w:tc>
          <w:tcPr>
            <w:tcW w:w="2240" w:type="dxa"/>
            <w:vAlign w:val="bottom"/>
          </w:tcPr>
          <w:p>
            <w:pPr>
              <w:jc w:val="right"/>
              <w:ind w:right="123"/>
              <w:spacing w:after="0" w:line="162" w:lineRule="exact"/>
              <w:rPr>
                <w:sz w:val="20"/>
                <w:szCs w:val="20"/>
                <w:color w:val="auto"/>
              </w:rPr>
            </w:pPr>
            <w:r>
              <w:rPr>
                <w:rFonts w:ascii="Arial" w:cs="Arial" w:eastAsia="Arial" w:hAnsi="Arial"/>
                <w:sz w:val="15"/>
                <w:szCs w:val="15"/>
                <w:b w:val="1"/>
                <w:bCs w:val="1"/>
                <w:color w:val="1C90D3"/>
              </w:rPr>
              <w:t>Acquired on</w:t>
            </w:r>
          </w:p>
        </w:tc>
        <w:tc>
          <w:tcPr>
            <w:tcW w:w="1720" w:type="dxa"/>
            <w:vAlign w:val="bottom"/>
            <w:gridSpan w:val="2"/>
          </w:tcPr>
          <w:p>
            <w:pPr>
              <w:jc w:val="right"/>
              <w:ind w:right="240"/>
              <w:spacing w:after="0" w:line="162" w:lineRule="exact"/>
              <w:rPr>
                <w:sz w:val="20"/>
                <w:szCs w:val="20"/>
                <w:color w:val="auto"/>
              </w:rPr>
            </w:pPr>
            <w:r>
              <w:rPr>
                <w:rFonts w:ascii="Arial" w:cs="Arial" w:eastAsia="Arial" w:hAnsi="Arial"/>
                <w:sz w:val="15"/>
                <w:szCs w:val="15"/>
                <w:b w:val="1"/>
                <w:bCs w:val="1"/>
                <w:color w:val="1C90D3"/>
              </w:rPr>
              <w:t>Exercise</w:t>
            </w:r>
          </w:p>
        </w:tc>
        <w:tc>
          <w:tcPr>
            <w:tcW w:w="2660" w:type="dxa"/>
            <w:vAlign w:val="bottom"/>
          </w:tcPr>
          <w:p>
            <w:pPr>
              <w:jc w:val="right"/>
              <w:ind w:right="543"/>
              <w:spacing w:after="0" w:line="162" w:lineRule="exact"/>
              <w:rPr>
                <w:sz w:val="20"/>
                <w:szCs w:val="20"/>
                <w:color w:val="auto"/>
              </w:rPr>
            </w:pPr>
            <w:r>
              <w:rPr>
                <w:rFonts w:ascii="Arial" w:cs="Arial" w:eastAsia="Arial" w:hAnsi="Arial"/>
                <w:sz w:val="15"/>
                <w:szCs w:val="15"/>
                <w:b w:val="1"/>
                <w:bCs w:val="1"/>
                <w:color w:val="1C90D3"/>
              </w:rPr>
              <w:t>Acquired on Vesting</w:t>
            </w:r>
          </w:p>
        </w:tc>
        <w:tc>
          <w:tcPr>
            <w:tcW w:w="1400" w:type="dxa"/>
            <w:vAlign w:val="bottom"/>
          </w:tcPr>
          <w:p>
            <w:pPr>
              <w:jc w:val="right"/>
              <w:spacing w:after="0" w:line="162" w:lineRule="exact"/>
              <w:rPr>
                <w:sz w:val="20"/>
                <w:szCs w:val="20"/>
                <w:color w:val="auto"/>
              </w:rPr>
            </w:pPr>
            <w:r>
              <w:rPr>
                <w:rFonts w:ascii="Arial" w:cs="Arial" w:eastAsia="Arial" w:hAnsi="Arial"/>
                <w:sz w:val="15"/>
                <w:szCs w:val="15"/>
                <w:b w:val="1"/>
                <w:bCs w:val="1"/>
                <w:color w:val="1C90D3"/>
              </w:rPr>
              <w:t>Vesting</w:t>
            </w:r>
          </w:p>
        </w:tc>
      </w:tr>
      <w:tr>
        <w:trPr>
          <w:trHeight w:val="190"/>
        </w:trPr>
        <w:tc>
          <w:tcPr>
            <w:tcW w:w="3280" w:type="dxa"/>
            <w:vAlign w:val="bottom"/>
            <w:tcBorders>
              <w:bottom w:val="single" w:sz="8" w:color="1C90D3"/>
            </w:tcBorders>
          </w:tcPr>
          <w:p>
            <w:pPr>
              <w:ind w:left="60"/>
              <w:spacing w:after="0"/>
              <w:rPr>
                <w:sz w:val="20"/>
                <w:szCs w:val="20"/>
                <w:color w:val="auto"/>
              </w:rPr>
            </w:pPr>
            <w:r>
              <w:rPr>
                <w:rFonts w:ascii="Arial" w:cs="Arial" w:eastAsia="Arial" w:hAnsi="Arial"/>
                <w:sz w:val="15"/>
                <w:szCs w:val="15"/>
                <w:b w:val="1"/>
                <w:bCs w:val="1"/>
                <w:color w:val="1C90D3"/>
              </w:rPr>
              <w:t>Name</w:t>
            </w:r>
          </w:p>
        </w:tc>
        <w:tc>
          <w:tcPr>
            <w:tcW w:w="2240" w:type="dxa"/>
            <w:vAlign w:val="bottom"/>
            <w:tcBorders>
              <w:bottom w:val="single" w:sz="8" w:color="1C90D3"/>
            </w:tcBorders>
          </w:tcPr>
          <w:p>
            <w:pPr>
              <w:jc w:val="right"/>
              <w:ind w:right="123"/>
              <w:spacing w:after="0"/>
              <w:rPr>
                <w:sz w:val="20"/>
                <w:szCs w:val="20"/>
                <w:color w:val="auto"/>
              </w:rPr>
            </w:pPr>
            <w:r>
              <w:rPr>
                <w:rFonts w:ascii="Arial" w:cs="Arial" w:eastAsia="Arial" w:hAnsi="Arial"/>
                <w:sz w:val="15"/>
                <w:szCs w:val="15"/>
                <w:b w:val="1"/>
                <w:bCs w:val="1"/>
                <w:color w:val="1C90D3"/>
              </w:rPr>
              <w:t>Exercise (#)</w:t>
            </w:r>
          </w:p>
        </w:tc>
        <w:tc>
          <w:tcPr>
            <w:tcW w:w="1520" w:type="dxa"/>
            <w:vAlign w:val="bottom"/>
            <w:tcBorders>
              <w:bottom w:val="single" w:sz="8" w:color="1C90D3"/>
            </w:tcBorders>
          </w:tcPr>
          <w:p>
            <w:pPr>
              <w:jc w:val="right"/>
              <w:spacing w:after="0"/>
              <w:rPr>
                <w:sz w:val="20"/>
                <w:szCs w:val="20"/>
                <w:color w:val="auto"/>
              </w:rPr>
            </w:pPr>
            <w:r>
              <w:rPr>
                <w:rFonts w:ascii="Arial" w:cs="Arial" w:eastAsia="Arial" w:hAnsi="Arial"/>
                <w:sz w:val="15"/>
                <w:szCs w:val="15"/>
                <w:b w:val="1"/>
                <w:bCs w:val="1"/>
                <w:color w:val="1C90D3"/>
              </w:rPr>
              <w:t>($)</w:t>
            </w:r>
          </w:p>
        </w:tc>
        <w:tc>
          <w:tcPr>
            <w:tcW w:w="200" w:type="dxa"/>
            <w:vAlign w:val="bottom"/>
            <w:tcBorders>
              <w:bottom w:val="single" w:sz="8" w:color="1C90D3"/>
            </w:tcBorders>
          </w:tcPr>
          <w:p>
            <w:pPr>
              <w:spacing w:after="0"/>
              <w:rPr>
                <w:sz w:val="16"/>
                <w:szCs w:val="16"/>
                <w:color w:val="auto"/>
              </w:rPr>
            </w:pPr>
          </w:p>
        </w:tc>
        <w:tc>
          <w:tcPr>
            <w:tcW w:w="2660" w:type="dxa"/>
            <w:vAlign w:val="bottom"/>
            <w:tcBorders>
              <w:bottom w:val="single" w:sz="8" w:color="1C90D3"/>
            </w:tcBorders>
          </w:tcPr>
          <w:p>
            <w:pPr>
              <w:jc w:val="right"/>
              <w:ind w:right="543"/>
              <w:spacing w:after="0"/>
              <w:rPr>
                <w:sz w:val="20"/>
                <w:szCs w:val="20"/>
                <w:color w:val="auto"/>
              </w:rPr>
            </w:pPr>
            <w:r>
              <w:rPr>
                <w:rFonts w:ascii="Arial" w:cs="Arial" w:eastAsia="Arial" w:hAnsi="Arial"/>
                <w:sz w:val="15"/>
                <w:szCs w:val="15"/>
                <w:b w:val="1"/>
                <w:bCs w:val="1"/>
                <w:color w:val="1C90D3"/>
              </w:rPr>
              <w:t>(#)</w:t>
            </w:r>
          </w:p>
        </w:tc>
        <w:tc>
          <w:tcPr>
            <w:tcW w:w="1400" w:type="dxa"/>
            <w:vAlign w:val="bottom"/>
            <w:tcBorders>
              <w:bottom w:val="single" w:sz="8" w:color="1C90D3"/>
            </w:tcBorders>
          </w:tcPr>
          <w:p>
            <w:pPr>
              <w:jc w:val="right"/>
              <w:spacing w:after="0"/>
              <w:rPr>
                <w:sz w:val="20"/>
                <w:szCs w:val="20"/>
                <w:color w:val="auto"/>
              </w:rPr>
            </w:pPr>
            <w:r>
              <w:rPr>
                <w:rFonts w:ascii="Arial" w:cs="Arial" w:eastAsia="Arial" w:hAnsi="Arial"/>
                <w:sz w:val="15"/>
                <w:szCs w:val="15"/>
                <w:b w:val="1"/>
                <w:bCs w:val="1"/>
                <w:color w:val="1C90D3"/>
              </w:rPr>
              <w:t>($)</w:t>
            </w:r>
          </w:p>
        </w:tc>
      </w:tr>
      <w:tr>
        <w:trPr>
          <w:trHeight w:val="162"/>
        </w:trPr>
        <w:tc>
          <w:tcPr>
            <w:tcW w:w="3280" w:type="dxa"/>
            <w:vAlign w:val="bottom"/>
            <w:tcBorders>
              <w:bottom w:val="single" w:sz="8" w:color="auto"/>
            </w:tcBorders>
          </w:tcPr>
          <w:p>
            <w:pPr>
              <w:ind w:left="60"/>
              <w:spacing w:after="0" w:line="162" w:lineRule="exact"/>
              <w:rPr>
                <w:sz w:val="20"/>
                <w:szCs w:val="20"/>
                <w:color w:val="auto"/>
              </w:rPr>
            </w:pPr>
            <w:r>
              <w:rPr>
                <w:rFonts w:ascii="Arial" w:cs="Arial" w:eastAsia="Arial" w:hAnsi="Arial"/>
                <w:sz w:val="15"/>
                <w:szCs w:val="15"/>
                <w:color w:val="auto"/>
              </w:rPr>
              <w:t>Mary T. Barra</w:t>
            </w:r>
          </w:p>
        </w:tc>
        <w:tc>
          <w:tcPr>
            <w:tcW w:w="2240" w:type="dxa"/>
            <w:vAlign w:val="bottom"/>
            <w:tcBorders>
              <w:bottom w:val="single" w:sz="8" w:color="auto"/>
            </w:tcBorders>
          </w:tcPr>
          <w:p>
            <w:pPr>
              <w:jc w:val="right"/>
              <w:ind w:right="123"/>
              <w:spacing w:after="0" w:line="162" w:lineRule="exact"/>
              <w:rPr>
                <w:sz w:val="20"/>
                <w:szCs w:val="20"/>
                <w:color w:val="auto"/>
              </w:rPr>
            </w:pPr>
            <w:r>
              <w:rPr>
                <w:rFonts w:ascii="Arial" w:cs="Arial" w:eastAsia="Arial" w:hAnsi="Arial"/>
                <w:sz w:val="15"/>
                <w:szCs w:val="15"/>
                <w:color w:val="auto"/>
              </w:rPr>
              <w:t>–</w:t>
            </w:r>
          </w:p>
        </w:tc>
        <w:tc>
          <w:tcPr>
            <w:tcW w:w="1720" w:type="dxa"/>
            <w:vAlign w:val="bottom"/>
            <w:tcBorders>
              <w:bottom w:val="single" w:sz="8" w:color="auto"/>
            </w:tcBorders>
            <w:gridSpan w:val="2"/>
          </w:tcPr>
          <w:p>
            <w:pPr>
              <w:jc w:val="right"/>
              <w:ind w:right="240"/>
              <w:spacing w:after="0" w:line="162" w:lineRule="exact"/>
              <w:rPr>
                <w:sz w:val="20"/>
                <w:szCs w:val="20"/>
                <w:color w:val="auto"/>
              </w:rPr>
            </w:pPr>
            <w:r>
              <w:rPr>
                <w:rFonts w:ascii="Arial" w:cs="Arial" w:eastAsia="Arial" w:hAnsi="Arial"/>
                <w:sz w:val="15"/>
                <w:szCs w:val="15"/>
                <w:color w:val="auto"/>
              </w:rPr>
              <w:t>–</w:t>
            </w:r>
          </w:p>
        </w:tc>
        <w:tc>
          <w:tcPr>
            <w:tcW w:w="2660" w:type="dxa"/>
            <w:vAlign w:val="bottom"/>
            <w:tcBorders>
              <w:bottom w:val="single" w:sz="8" w:color="auto"/>
            </w:tcBorders>
          </w:tcPr>
          <w:p>
            <w:pPr>
              <w:jc w:val="right"/>
              <w:ind w:right="543"/>
              <w:spacing w:after="0" w:line="162" w:lineRule="exact"/>
              <w:rPr>
                <w:sz w:val="20"/>
                <w:szCs w:val="20"/>
                <w:color w:val="auto"/>
              </w:rPr>
            </w:pPr>
            <w:r>
              <w:rPr>
                <w:rFonts w:ascii="Arial" w:cs="Arial" w:eastAsia="Arial" w:hAnsi="Arial"/>
                <w:sz w:val="15"/>
                <w:szCs w:val="15"/>
                <w:color w:val="auto"/>
              </w:rPr>
              <w:t>65,913</w:t>
            </w:r>
          </w:p>
        </w:tc>
        <w:tc>
          <w:tcPr>
            <w:tcW w:w="14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2,476,240</w:t>
            </w:r>
          </w:p>
        </w:tc>
      </w:tr>
      <w:tr>
        <w:trPr>
          <w:trHeight w:val="156"/>
        </w:trPr>
        <w:tc>
          <w:tcPr>
            <w:tcW w:w="3280" w:type="dxa"/>
            <w:vAlign w:val="bottom"/>
            <w:tcBorders>
              <w:bottom w:val="single" w:sz="8" w:color="auto"/>
            </w:tcBorders>
          </w:tcPr>
          <w:p>
            <w:pPr>
              <w:ind w:left="60"/>
              <w:spacing w:after="0" w:line="156" w:lineRule="exact"/>
              <w:rPr>
                <w:sz w:val="20"/>
                <w:szCs w:val="20"/>
                <w:color w:val="auto"/>
              </w:rPr>
            </w:pPr>
            <w:r>
              <w:rPr>
                <w:rFonts w:ascii="Arial" w:cs="Arial" w:eastAsia="Arial" w:hAnsi="Arial"/>
                <w:sz w:val="15"/>
                <w:szCs w:val="15"/>
                <w:color w:val="auto"/>
              </w:rPr>
              <w:t>Charles K. Stevens, III</w:t>
            </w:r>
          </w:p>
        </w:tc>
        <w:tc>
          <w:tcPr>
            <w:tcW w:w="2240" w:type="dxa"/>
            <w:vAlign w:val="bottom"/>
            <w:tcBorders>
              <w:bottom w:val="single" w:sz="8" w:color="auto"/>
            </w:tcBorders>
          </w:tcPr>
          <w:p>
            <w:pPr>
              <w:jc w:val="right"/>
              <w:ind w:right="123"/>
              <w:spacing w:after="0" w:line="156" w:lineRule="exact"/>
              <w:rPr>
                <w:sz w:val="20"/>
                <w:szCs w:val="20"/>
                <w:color w:val="auto"/>
              </w:rPr>
            </w:pPr>
            <w:r>
              <w:rPr>
                <w:rFonts w:ascii="Arial" w:cs="Arial" w:eastAsia="Arial" w:hAnsi="Arial"/>
                <w:sz w:val="15"/>
                <w:szCs w:val="15"/>
                <w:color w:val="auto"/>
              </w:rPr>
              <w:t>–</w:t>
            </w:r>
          </w:p>
        </w:tc>
        <w:tc>
          <w:tcPr>
            <w:tcW w:w="1720" w:type="dxa"/>
            <w:vAlign w:val="bottom"/>
            <w:tcBorders>
              <w:bottom w:val="single" w:sz="8" w:color="auto"/>
            </w:tcBorders>
            <w:gridSpan w:val="2"/>
          </w:tcPr>
          <w:p>
            <w:pPr>
              <w:jc w:val="right"/>
              <w:ind w:right="240"/>
              <w:spacing w:after="0" w:line="156" w:lineRule="exact"/>
              <w:rPr>
                <w:sz w:val="20"/>
                <w:szCs w:val="20"/>
                <w:color w:val="auto"/>
              </w:rPr>
            </w:pPr>
            <w:r>
              <w:rPr>
                <w:rFonts w:ascii="Arial" w:cs="Arial" w:eastAsia="Arial" w:hAnsi="Arial"/>
                <w:sz w:val="15"/>
                <w:szCs w:val="15"/>
                <w:color w:val="auto"/>
              </w:rPr>
              <w:t>–</w:t>
            </w:r>
          </w:p>
        </w:tc>
        <w:tc>
          <w:tcPr>
            <w:tcW w:w="2660" w:type="dxa"/>
            <w:vAlign w:val="bottom"/>
            <w:tcBorders>
              <w:bottom w:val="single" w:sz="8" w:color="auto"/>
            </w:tcBorders>
          </w:tcPr>
          <w:p>
            <w:pPr>
              <w:jc w:val="right"/>
              <w:ind w:right="543"/>
              <w:spacing w:after="0" w:line="156" w:lineRule="exact"/>
              <w:rPr>
                <w:sz w:val="20"/>
                <w:szCs w:val="20"/>
                <w:color w:val="auto"/>
              </w:rPr>
            </w:pPr>
            <w:r>
              <w:rPr>
                <w:rFonts w:ascii="Arial" w:cs="Arial" w:eastAsia="Arial" w:hAnsi="Arial"/>
                <w:sz w:val="15"/>
                <w:szCs w:val="15"/>
                <w:color w:val="auto"/>
              </w:rPr>
              <w:t>30,288</w:t>
            </w:r>
          </w:p>
        </w:tc>
        <w:tc>
          <w:tcPr>
            <w:tcW w:w="140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1,137,321</w:t>
            </w:r>
          </w:p>
        </w:tc>
      </w:tr>
      <w:tr>
        <w:trPr>
          <w:trHeight w:val="156"/>
        </w:trPr>
        <w:tc>
          <w:tcPr>
            <w:tcW w:w="3280" w:type="dxa"/>
            <w:vAlign w:val="bottom"/>
            <w:tcBorders>
              <w:bottom w:val="single" w:sz="8" w:color="auto"/>
            </w:tcBorders>
          </w:tcPr>
          <w:p>
            <w:pPr>
              <w:ind w:left="60"/>
              <w:spacing w:after="0" w:line="156" w:lineRule="exact"/>
              <w:rPr>
                <w:sz w:val="20"/>
                <w:szCs w:val="20"/>
                <w:color w:val="auto"/>
              </w:rPr>
            </w:pPr>
            <w:r>
              <w:rPr>
                <w:rFonts w:ascii="Arial" w:cs="Arial" w:eastAsia="Arial" w:hAnsi="Arial"/>
                <w:sz w:val="15"/>
                <w:szCs w:val="15"/>
                <w:color w:val="auto"/>
              </w:rPr>
              <w:t>Daniel Ammann</w:t>
            </w:r>
          </w:p>
        </w:tc>
        <w:tc>
          <w:tcPr>
            <w:tcW w:w="2240" w:type="dxa"/>
            <w:vAlign w:val="bottom"/>
            <w:tcBorders>
              <w:bottom w:val="single" w:sz="8" w:color="auto"/>
            </w:tcBorders>
          </w:tcPr>
          <w:p>
            <w:pPr>
              <w:jc w:val="right"/>
              <w:ind w:right="123"/>
              <w:spacing w:after="0" w:line="156" w:lineRule="exact"/>
              <w:rPr>
                <w:sz w:val="20"/>
                <w:szCs w:val="20"/>
                <w:color w:val="auto"/>
              </w:rPr>
            </w:pPr>
            <w:r>
              <w:rPr>
                <w:rFonts w:ascii="Arial" w:cs="Arial" w:eastAsia="Arial" w:hAnsi="Arial"/>
                <w:sz w:val="15"/>
                <w:szCs w:val="15"/>
                <w:color w:val="auto"/>
              </w:rPr>
              <w:t>–</w:t>
            </w:r>
          </w:p>
        </w:tc>
        <w:tc>
          <w:tcPr>
            <w:tcW w:w="1720" w:type="dxa"/>
            <w:vAlign w:val="bottom"/>
            <w:tcBorders>
              <w:bottom w:val="single" w:sz="8" w:color="auto"/>
            </w:tcBorders>
            <w:gridSpan w:val="2"/>
          </w:tcPr>
          <w:p>
            <w:pPr>
              <w:jc w:val="right"/>
              <w:ind w:right="240"/>
              <w:spacing w:after="0" w:line="156" w:lineRule="exact"/>
              <w:rPr>
                <w:sz w:val="20"/>
                <w:szCs w:val="20"/>
                <w:color w:val="auto"/>
              </w:rPr>
            </w:pPr>
            <w:r>
              <w:rPr>
                <w:rFonts w:ascii="Arial" w:cs="Arial" w:eastAsia="Arial" w:hAnsi="Arial"/>
                <w:sz w:val="15"/>
                <w:szCs w:val="15"/>
                <w:color w:val="auto"/>
              </w:rPr>
              <w:t>–</w:t>
            </w:r>
          </w:p>
        </w:tc>
        <w:tc>
          <w:tcPr>
            <w:tcW w:w="2660" w:type="dxa"/>
            <w:vAlign w:val="bottom"/>
            <w:tcBorders>
              <w:bottom w:val="single" w:sz="8" w:color="auto"/>
            </w:tcBorders>
          </w:tcPr>
          <w:p>
            <w:pPr>
              <w:jc w:val="right"/>
              <w:ind w:right="543"/>
              <w:spacing w:after="0" w:line="156" w:lineRule="exact"/>
              <w:rPr>
                <w:sz w:val="20"/>
                <w:szCs w:val="20"/>
                <w:color w:val="auto"/>
              </w:rPr>
            </w:pPr>
            <w:r>
              <w:rPr>
                <w:rFonts w:ascii="Arial" w:cs="Arial" w:eastAsia="Arial" w:hAnsi="Arial"/>
                <w:sz w:val="15"/>
                <w:szCs w:val="15"/>
                <w:color w:val="auto"/>
              </w:rPr>
              <w:t>54,262</w:t>
            </w:r>
          </w:p>
        </w:tc>
        <w:tc>
          <w:tcPr>
            <w:tcW w:w="140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2,037,643</w:t>
            </w:r>
          </w:p>
        </w:tc>
      </w:tr>
      <w:tr>
        <w:trPr>
          <w:trHeight w:val="156"/>
        </w:trPr>
        <w:tc>
          <w:tcPr>
            <w:tcW w:w="3280" w:type="dxa"/>
            <w:vAlign w:val="bottom"/>
            <w:tcBorders>
              <w:bottom w:val="single" w:sz="8" w:color="auto"/>
            </w:tcBorders>
          </w:tcPr>
          <w:p>
            <w:pPr>
              <w:ind w:left="60"/>
              <w:spacing w:after="0" w:line="156" w:lineRule="exact"/>
              <w:rPr>
                <w:sz w:val="20"/>
                <w:szCs w:val="20"/>
                <w:color w:val="auto"/>
              </w:rPr>
            </w:pPr>
            <w:r>
              <w:rPr>
                <w:rFonts w:ascii="Arial" w:cs="Arial" w:eastAsia="Arial" w:hAnsi="Arial"/>
                <w:sz w:val="15"/>
                <w:szCs w:val="15"/>
                <w:color w:val="auto"/>
              </w:rPr>
              <w:t>Mark L. Reuss</w:t>
            </w:r>
          </w:p>
        </w:tc>
        <w:tc>
          <w:tcPr>
            <w:tcW w:w="2240" w:type="dxa"/>
            <w:vAlign w:val="bottom"/>
            <w:tcBorders>
              <w:bottom w:val="single" w:sz="8" w:color="auto"/>
            </w:tcBorders>
          </w:tcPr>
          <w:p>
            <w:pPr>
              <w:jc w:val="right"/>
              <w:ind w:right="123"/>
              <w:spacing w:after="0" w:line="156" w:lineRule="exact"/>
              <w:rPr>
                <w:sz w:val="20"/>
                <w:szCs w:val="20"/>
                <w:color w:val="auto"/>
              </w:rPr>
            </w:pPr>
            <w:r>
              <w:rPr>
                <w:rFonts w:ascii="Arial" w:cs="Arial" w:eastAsia="Arial" w:hAnsi="Arial"/>
                <w:sz w:val="15"/>
                <w:szCs w:val="15"/>
                <w:color w:val="auto"/>
              </w:rPr>
              <w:t>–</w:t>
            </w:r>
          </w:p>
        </w:tc>
        <w:tc>
          <w:tcPr>
            <w:tcW w:w="1720" w:type="dxa"/>
            <w:vAlign w:val="bottom"/>
            <w:tcBorders>
              <w:bottom w:val="single" w:sz="8" w:color="auto"/>
            </w:tcBorders>
            <w:gridSpan w:val="2"/>
          </w:tcPr>
          <w:p>
            <w:pPr>
              <w:jc w:val="right"/>
              <w:ind w:right="240"/>
              <w:spacing w:after="0" w:line="156" w:lineRule="exact"/>
              <w:rPr>
                <w:sz w:val="20"/>
                <w:szCs w:val="20"/>
                <w:color w:val="auto"/>
              </w:rPr>
            </w:pPr>
            <w:r>
              <w:rPr>
                <w:rFonts w:ascii="Arial" w:cs="Arial" w:eastAsia="Arial" w:hAnsi="Arial"/>
                <w:sz w:val="15"/>
                <w:szCs w:val="15"/>
                <w:color w:val="auto"/>
              </w:rPr>
              <w:t>–</w:t>
            </w:r>
          </w:p>
        </w:tc>
        <w:tc>
          <w:tcPr>
            <w:tcW w:w="2660" w:type="dxa"/>
            <w:vAlign w:val="bottom"/>
            <w:tcBorders>
              <w:bottom w:val="single" w:sz="8" w:color="auto"/>
            </w:tcBorders>
          </w:tcPr>
          <w:p>
            <w:pPr>
              <w:jc w:val="right"/>
              <w:ind w:right="543"/>
              <w:spacing w:after="0" w:line="156" w:lineRule="exact"/>
              <w:rPr>
                <w:sz w:val="20"/>
                <w:szCs w:val="20"/>
                <w:color w:val="auto"/>
              </w:rPr>
            </w:pPr>
            <w:r>
              <w:rPr>
                <w:rFonts w:ascii="Arial" w:cs="Arial" w:eastAsia="Arial" w:hAnsi="Arial"/>
                <w:sz w:val="15"/>
                <w:szCs w:val="15"/>
                <w:color w:val="auto"/>
              </w:rPr>
              <w:t>45,885</w:t>
            </w:r>
          </w:p>
        </w:tc>
        <w:tc>
          <w:tcPr>
            <w:tcW w:w="140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1,722,967</w:t>
            </w:r>
          </w:p>
        </w:tc>
      </w:tr>
      <w:tr>
        <w:trPr>
          <w:trHeight w:val="163"/>
        </w:trPr>
        <w:tc>
          <w:tcPr>
            <w:tcW w:w="3280" w:type="dxa"/>
            <w:vAlign w:val="bottom"/>
            <w:tcBorders>
              <w:bottom w:val="single" w:sz="8" w:color="08228B"/>
            </w:tcBorders>
          </w:tcPr>
          <w:p>
            <w:pPr>
              <w:ind w:left="60"/>
              <w:spacing w:after="0" w:line="156" w:lineRule="exact"/>
              <w:rPr>
                <w:sz w:val="20"/>
                <w:szCs w:val="20"/>
                <w:color w:val="auto"/>
              </w:rPr>
            </w:pPr>
            <w:r>
              <w:rPr>
                <w:rFonts w:ascii="Arial" w:cs="Arial" w:eastAsia="Arial" w:hAnsi="Arial"/>
                <w:sz w:val="15"/>
                <w:szCs w:val="15"/>
                <w:color w:val="auto"/>
              </w:rPr>
              <w:t>Craig B. Glidden</w:t>
            </w:r>
          </w:p>
        </w:tc>
        <w:tc>
          <w:tcPr>
            <w:tcW w:w="2240" w:type="dxa"/>
            <w:vAlign w:val="bottom"/>
            <w:tcBorders>
              <w:bottom w:val="single" w:sz="8" w:color="08228B"/>
            </w:tcBorders>
          </w:tcPr>
          <w:p>
            <w:pPr>
              <w:jc w:val="right"/>
              <w:ind w:right="123"/>
              <w:spacing w:after="0" w:line="156" w:lineRule="exact"/>
              <w:rPr>
                <w:sz w:val="20"/>
                <w:szCs w:val="20"/>
                <w:color w:val="auto"/>
              </w:rPr>
            </w:pPr>
            <w:r>
              <w:rPr>
                <w:rFonts w:ascii="Arial" w:cs="Arial" w:eastAsia="Arial" w:hAnsi="Arial"/>
                <w:sz w:val="15"/>
                <w:szCs w:val="15"/>
                <w:color w:val="auto"/>
              </w:rPr>
              <w:t>–</w:t>
            </w:r>
          </w:p>
        </w:tc>
        <w:tc>
          <w:tcPr>
            <w:tcW w:w="1720" w:type="dxa"/>
            <w:vAlign w:val="bottom"/>
            <w:tcBorders>
              <w:bottom w:val="single" w:sz="8" w:color="08228B"/>
            </w:tcBorders>
            <w:gridSpan w:val="2"/>
          </w:tcPr>
          <w:p>
            <w:pPr>
              <w:jc w:val="right"/>
              <w:ind w:right="240"/>
              <w:spacing w:after="0" w:line="156" w:lineRule="exact"/>
              <w:rPr>
                <w:sz w:val="20"/>
                <w:szCs w:val="20"/>
                <w:color w:val="auto"/>
              </w:rPr>
            </w:pPr>
            <w:r>
              <w:rPr>
                <w:rFonts w:ascii="Arial" w:cs="Arial" w:eastAsia="Arial" w:hAnsi="Arial"/>
                <w:sz w:val="15"/>
                <w:szCs w:val="15"/>
                <w:color w:val="auto"/>
              </w:rPr>
              <w:t>–</w:t>
            </w:r>
          </w:p>
        </w:tc>
        <w:tc>
          <w:tcPr>
            <w:tcW w:w="2660" w:type="dxa"/>
            <w:vAlign w:val="bottom"/>
            <w:tcBorders>
              <w:bottom w:val="single" w:sz="8" w:color="08228B"/>
            </w:tcBorders>
          </w:tcPr>
          <w:p>
            <w:pPr>
              <w:jc w:val="right"/>
              <w:ind w:right="543"/>
              <w:spacing w:after="0" w:line="156" w:lineRule="exact"/>
              <w:rPr>
                <w:sz w:val="20"/>
                <w:szCs w:val="20"/>
                <w:color w:val="auto"/>
              </w:rPr>
            </w:pPr>
            <w:r>
              <w:rPr>
                <w:rFonts w:ascii="Arial" w:cs="Arial" w:eastAsia="Arial" w:hAnsi="Arial"/>
                <w:sz w:val="15"/>
                <w:szCs w:val="15"/>
                <w:color w:val="auto"/>
              </w:rPr>
              <w:t>–</w:t>
            </w:r>
          </w:p>
        </w:tc>
        <w:tc>
          <w:tcPr>
            <w:tcW w:w="1400" w:type="dxa"/>
            <w:vAlign w:val="bottom"/>
            <w:tcBorders>
              <w:bottom w:val="single" w:sz="8" w:color="08228B"/>
            </w:tcBorders>
          </w:tcPr>
          <w:p>
            <w:pPr>
              <w:jc w:val="right"/>
              <w:spacing w:after="0" w:line="156" w:lineRule="exact"/>
              <w:rPr>
                <w:sz w:val="20"/>
                <w:szCs w:val="20"/>
                <w:color w:val="auto"/>
              </w:rPr>
            </w:pPr>
            <w:r>
              <w:rPr>
                <w:rFonts w:ascii="Arial" w:cs="Arial" w:eastAsia="Arial" w:hAnsi="Arial"/>
                <w:sz w:val="15"/>
                <w:szCs w:val="15"/>
                <w:color w:val="auto"/>
              </w:rPr>
              <w:t>–</w:t>
            </w:r>
          </w:p>
        </w:tc>
      </w:tr>
    </w:tbl>
    <w:p>
      <w:pPr>
        <w:spacing w:after="0" w:line="58" w:lineRule="exact"/>
        <w:rPr>
          <w:sz w:val="20"/>
          <w:szCs w:val="20"/>
          <w:color w:val="auto"/>
        </w:rPr>
      </w:pPr>
    </w:p>
    <w:p>
      <w:pPr>
        <w:ind w:left="340" w:hanging="332"/>
        <w:spacing w:after="0"/>
        <w:tabs>
          <w:tab w:leader="none" w:pos="340" w:val="left"/>
        </w:tabs>
        <w:numPr>
          <w:ilvl w:val="0"/>
          <w:numId w:val="102"/>
        </w:numPr>
        <w:rPr>
          <w:rFonts w:ascii="Arial" w:cs="Arial" w:eastAsia="Arial" w:hAnsi="Arial"/>
          <w:sz w:val="14"/>
          <w:szCs w:val="14"/>
          <w:i w:val="1"/>
          <w:iCs w:val="1"/>
          <w:color w:val="auto"/>
        </w:rPr>
      </w:pPr>
      <w:r>
        <w:rPr>
          <w:rFonts w:ascii="Arial" w:cs="Arial" w:eastAsia="Arial" w:hAnsi="Arial"/>
          <w:sz w:val="14"/>
          <w:szCs w:val="14"/>
          <w:i w:val="1"/>
          <w:iCs w:val="1"/>
          <w:color w:val="auto"/>
        </w:rPr>
        <w:t>No stock options were exercised in 2015.</w:t>
      </w:r>
    </w:p>
    <w:p>
      <w:pPr>
        <w:spacing w:after="0" w:line="55" w:lineRule="exact"/>
        <w:rPr>
          <w:rFonts w:ascii="Arial" w:cs="Arial" w:eastAsia="Arial" w:hAnsi="Arial"/>
          <w:sz w:val="14"/>
          <w:szCs w:val="14"/>
          <w:i w:val="1"/>
          <w:iCs w:val="1"/>
          <w:color w:val="auto"/>
        </w:rPr>
      </w:pPr>
    </w:p>
    <w:p>
      <w:pPr>
        <w:ind w:left="340" w:right="120" w:hanging="332"/>
        <w:spacing w:after="0" w:line="279" w:lineRule="auto"/>
        <w:tabs>
          <w:tab w:leader="none" w:pos="340" w:val="left"/>
        </w:tabs>
        <w:numPr>
          <w:ilvl w:val="0"/>
          <w:numId w:val="102"/>
        </w:numPr>
        <w:rPr>
          <w:rFonts w:ascii="Arial" w:cs="Arial" w:eastAsia="Arial" w:hAnsi="Arial"/>
          <w:sz w:val="14"/>
          <w:szCs w:val="14"/>
          <w:i w:val="1"/>
          <w:iCs w:val="1"/>
          <w:color w:val="auto"/>
        </w:rPr>
      </w:pPr>
      <w:r>
        <w:rPr>
          <w:rFonts w:ascii="Arial" w:cs="Arial" w:eastAsia="Arial" w:hAnsi="Arial"/>
          <w:sz w:val="14"/>
          <w:szCs w:val="14"/>
          <w:i w:val="1"/>
          <w:iCs w:val="1"/>
          <w:color w:val="auto"/>
        </w:rPr>
        <w:t>We computed the aggregate dollar value realized on vesting by multiplying the number of shares of stock vested by the closing price of common stock on the NYSE on the vesting date.</w:t>
      </w:r>
    </w:p>
    <w:p>
      <w:pPr>
        <w:spacing w:after="0" w:line="271" w:lineRule="exact"/>
        <w:rPr>
          <w:sz w:val="20"/>
          <w:szCs w:val="20"/>
          <w:color w:val="auto"/>
        </w:rPr>
      </w:pPr>
    </w:p>
    <w:p>
      <w:pPr>
        <w:ind w:left="500" w:hanging="492"/>
        <w:spacing w:after="0"/>
        <w:tabs>
          <w:tab w:leader="none" w:pos="500" w:val="left"/>
        </w:tabs>
        <w:numPr>
          <w:ilvl w:val="0"/>
          <w:numId w:val="103"/>
        </w:numPr>
        <w:rPr>
          <w:rFonts w:ascii="Arial" w:cs="Arial" w:eastAsia="Arial" w:hAnsi="Arial"/>
          <w:sz w:val="25"/>
          <w:szCs w:val="25"/>
          <w:color w:val="08228B"/>
        </w:rPr>
      </w:pPr>
      <w:r>
        <w:rPr>
          <w:rFonts w:ascii="Arial" w:cs="Arial" w:eastAsia="Arial" w:hAnsi="Arial"/>
          <w:sz w:val="25"/>
          <w:szCs w:val="25"/>
          <w:color w:val="auto"/>
        </w:rPr>
        <w:t>Pension Benefits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1C90D3"/>
        </w:rPr>
        <w:t>GM Salaried Retirement Plan</w:t>
      </w:r>
    </w:p>
    <w:p>
      <w:pPr>
        <w:spacing w:after="0" w:line="22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color w:val="08228B"/>
        </w:rPr>
        <w:t xml:space="preserve">Eligibility and Vesting: </w:t>
      </w:r>
      <w:r>
        <w:rPr>
          <w:rFonts w:ascii="Arial" w:cs="Arial" w:eastAsia="Arial" w:hAnsi="Arial"/>
          <w:sz w:val="16"/>
          <w:szCs w:val="16"/>
          <w:color w:val="000000"/>
        </w:rPr>
        <w:t>The GM Salaried Retirement Plan (SRP) is a funded, tax-qualified retirement program that covers eligible employees hired prior to</w:t>
      </w:r>
      <w:r>
        <w:rPr>
          <w:rFonts w:ascii="Arial" w:cs="Arial" w:eastAsia="Arial" w:hAnsi="Arial"/>
          <w:sz w:val="16"/>
          <w:szCs w:val="16"/>
          <w:b w:val="1"/>
          <w:bCs w:val="1"/>
          <w:color w:val="08228B"/>
        </w:rPr>
        <w:t xml:space="preserve"> </w:t>
      </w:r>
      <w:r>
        <w:rPr>
          <w:rFonts w:ascii="Arial" w:cs="Arial" w:eastAsia="Arial" w:hAnsi="Arial"/>
          <w:sz w:val="16"/>
          <w:szCs w:val="16"/>
          <w:color w:val="000000"/>
        </w:rPr>
        <w:t>January 1, 2007. Employees who commenced service on or after January 1, 2007 are eligible to participate only in defined contribution plans. Employees are vested in the SRP after five years of qualifying service. The plan permitted employee contributions, which vested immediately, until December 31, 2006. All Defined Benefit accruals were frozen on September 30, 2012, with service continuing toward eligibility to retire.</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Benefit Formula:</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color w:val="08228B"/>
        </w:rPr>
        <w:t xml:space="preserve">Service prior to January 1, 2001 </w:t>
      </w:r>
      <w:r>
        <w:rPr>
          <w:rFonts w:ascii="Arial" w:cs="Arial" w:eastAsia="Arial" w:hAnsi="Arial"/>
          <w:sz w:val="16"/>
          <w:szCs w:val="16"/>
          <w:color w:val="000000"/>
        </w:rPr>
        <w:t>– The plan provided benefits on both a contributory and noncontributory formula. The contributory formula factors the</w:t>
      </w:r>
      <w:r>
        <w:rPr>
          <w:rFonts w:ascii="Arial" w:cs="Arial" w:eastAsia="Arial" w:hAnsi="Arial"/>
          <w:sz w:val="16"/>
          <w:szCs w:val="16"/>
          <w:b w:val="1"/>
          <w:bCs w:val="1"/>
          <w:color w:val="08228B"/>
        </w:rPr>
        <w:t xml:space="preserve"> </w:t>
      </w:r>
      <w:r>
        <w:rPr>
          <w:rFonts w:ascii="Arial" w:cs="Arial" w:eastAsia="Arial" w:hAnsi="Arial"/>
          <w:sz w:val="16"/>
          <w:szCs w:val="16"/>
          <w:color w:val="000000"/>
        </w:rPr>
        <w:t>contributions of the executive and earnings for each fiscal year. The formulas were frozen effective December 31, 2006, and effective January 1, 2007, employees continued to participate in the SRP under a new formula that provided a pension accrual equal to 1.25 percent of the employee’s eligible earnings up to the IRS-prescribed limits for tax-qualified plans. The 1.25 percent accruals were frozen September 30, 2012.</w:t>
      </w:r>
    </w:p>
    <w:p>
      <w:pPr>
        <w:spacing w:after="0" w:line="15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color w:val="08228B"/>
        </w:rPr>
        <w:t xml:space="preserve">Service from January 1, 2001 to December 31, 2006 </w:t>
      </w:r>
      <w:r>
        <w:rPr>
          <w:rFonts w:ascii="Arial" w:cs="Arial" w:eastAsia="Arial" w:hAnsi="Arial"/>
          <w:sz w:val="16"/>
          <w:szCs w:val="16"/>
          <w:color w:val="000000"/>
        </w:rPr>
        <w:t>– The plan provided benefits under a cash balance formula with pay credits based on age through</w:t>
      </w:r>
      <w:r>
        <w:rPr>
          <w:rFonts w:ascii="Arial" w:cs="Arial" w:eastAsia="Arial" w:hAnsi="Arial"/>
          <w:sz w:val="16"/>
          <w:szCs w:val="16"/>
          <w:b w:val="1"/>
          <w:bCs w:val="1"/>
          <w:color w:val="08228B"/>
        </w:rPr>
        <w:t xml:space="preserve"> </w:t>
      </w:r>
      <w:r>
        <w:rPr>
          <w:rFonts w:ascii="Arial" w:cs="Arial" w:eastAsia="Arial" w:hAnsi="Arial"/>
          <w:sz w:val="16"/>
          <w:szCs w:val="16"/>
          <w:color w:val="000000"/>
        </w:rPr>
        <w:t>December 31, 2006, when the formula was frozen, with balances continuing to earn interest credits thereafter.</w:t>
      </w:r>
    </w:p>
    <w:p>
      <w:pPr>
        <w:spacing w:after="0" w:line="129" w:lineRule="exact"/>
        <w:rPr>
          <w:sz w:val="20"/>
          <w:szCs w:val="20"/>
          <w:color w:val="auto"/>
        </w:rPr>
      </w:pPr>
    </w:p>
    <w:p>
      <w:pPr>
        <w:jc w:val="both"/>
        <w:spacing w:after="0" w:line="254" w:lineRule="auto"/>
        <w:rPr>
          <w:sz w:val="20"/>
          <w:szCs w:val="20"/>
          <w:color w:val="auto"/>
        </w:rPr>
      </w:pPr>
      <w:r>
        <w:rPr>
          <w:rFonts w:ascii="Arial" w:cs="Arial" w:eastAsia="Arial" w:hAnsi="Arial"/>
          <w:sz w:val="16"/>
          <w:szCs w:val="16"/>
          <w:b w:val="1"/>
          <w:bCs w:val="1"/>
          <w:color w:val="08228B"/>
        </w:rPr>
        <w:t xml:space="preserve">Time and Form of Payment: </w:t>
      </w:r>
      <w:r>
        <w:rPr>
          <w:rFonts w:ascii="Arial" w:cs="Arial" w:eastAsia="Arial" w:hAnsi="Arial"/>
          <w:sz w:val="16"/>
          <w:szCs w:val="16"/>
          <w:color w:val="000000"/>
        </w:rPr>
        <w:t>The accumulated benefit an employee earns over his or her career with the Company is payable starting after retirement. Normal</w:t>
      </w:r>
      <w:r>
        <w:rPr>
          <w:rFonts w:ascii="Arial" w:cs="Arial" w:eastAsia="Arial" w:hAnsi="Arial"/>
          <w:sz w:val="16"/>
          <w:szCs w:val="16"/>
          <w:b w:val="1"/>
          <w:bCs w:val="1"/>
          <w:color w:val="08228B"/>
        </w:rPr>
        <w:t xml:space="preserve"> </w:t>
      </w:r>
      <w:r>
        <w:rPr>
          <w:rFonts w:ascii="Arial" w:cs="Arial" w:eastAsia="Arial" w:hAnsi="Arial"/>
          <w:sz w:val="16"/>
          <w:szCs w:val="16"/>
          <w:color w:val="000000"/>
        </w:rPr>
        <w:t>retirement age is defined as age 65. Employees who commenced service prior to 1988 may elect early retirement after 30 years of credited service or 85 points, based on combined age and service, or age 60 and 10 or more years of service, with certain age-reduction factors applied. The plan also provides Social Security supplements for those hired prior to 1988. For employees hired on and after January 1, 1988, and prior to December 31, 2000, Social Security supplements are not payable, and age-reduction factors are greater for retirements prior to age 60. The plan provides both a spousal joint and survivor annuity and contingent annuitant optional form of payment. The employee may elect either a monthly annuity for life or a 100 percent lump sum of all benefits payable.</w:t>
      </w:r>
    </w:p>
    <w:p>
      <w:pPr>
        <w:spacing w:after="0" w:line="15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color w:val="08228B"/>
        </w:rPr>
        <w:t xml:space="preserve">Tax Code Limitations on Benefits: </w:t>
      </w:r>
      <w:r>
        <w:rPr>
          <w:rFonts w:ascii="Arial" w:cs="Arial" w:eastAsia="Arial" w:hAnsi="Arial"/>
          <w:sz w:val="16"/>
          <w:szCs w:val="16"/>
          <w:color w:val="000000"/>
        </w:rPr>
        <w:t>Section 415 of the IRC limits the benefits payable under the GM SRP. For 2015, the maximum single life annuity a named</w:t>
      </w:r>
      <w:r>
        <w:rPr>
          <w:rFonts w:ascii="Arial" w:cs="Arial" w:eastAsia="Arial" w:hAnsi="Arial"/>
          <w:sz w:val="16"/>
          <w:szCs w:val="16"/>
          <w:b w:val="1"/>
          <w:bCs w:val="1"/>
          <w:color w:val="08228B"/>
        </w:rPr>
        <w:t xml:space="preserve"> </w:t>
      </w:r>
      <w:r>
        <w:rPr>
          <w:rFonts w:ascii="Arial" w:cs="Arial" w:eastAsia="Arial" w:hAnsi="Arial"/>
          <w:sz w:val="16"/>
          <w:szCs w:val="16"/>
          <w:color w:val="000000"/>
        </w:rPr>
        <w:t>executive could have received under these limits was $210,000 per year. This ceiling is actuarially adjusted in accordance with IRS rules to reflect employee contributions, actual forms of distribution, and actual retirement dates.</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1C90D3"/>
        </w:rPr>
        <w:t>GM Executive Retirement Plan</w:t>
      </w:r>
    </w:p>
    <w:p>
      <w:pPr>
        <w:spacing w:after="0" w:line="19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color w:val="08228B"/>
        </w:rPr>
        <w:t xml:space="preserve">Eligibility and Vesting: </w:t>
      </w:r>
      <w:r>
        <w:rPr>
          <w:rFonts w:ascii="Arial" w:cs="Arial" w:eastAsia="Arial" w:hAnsi="Arial"/>
          <w:sz w:val="16"/>
          <w:szCs w:val="16"/>
          <w:color w:val="000000"/>
        </w:rPr>
        <w:t>The GM Executive Retirement Plan (DB ERP) is an unfunded and non-tax-qualified retirement program that covers eligible executives,</w:t>
      </w:r>
      <w:r>
        <w:rPr>
          <w:rFonts w:ascii="Arial" w:cs="Arial" w:eastAsia="Arial" w:hAnsi="Arial"/>
          <w:sz w:val="16"/>
          <w:szCs w:val="16"/>
          <w:b w:val="1"/>
          <w:bCs w:val="1"/>
          <w:color w:val="08228B"/>
        </w:rPr>
        <w:t xml:space="preserve"> </w:t>
      </w:r>
      <w:r>
        <w:rPr>
          <w:rFonts w:ascii="Arial" w:cs="Arial" w:eastAsia="Arial" w:hAnsi="Arial"/>
          <w:sz w:val="16"/>
          <w:szCs w:val="16"/>
          <w:color w:val="000000"/>
        </w:rPr>
        <w:t>including named executives, to provide retirement benefits above amounts available under our other pension programs.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Benefit Formula:</w:t>
      </w:r>
    </w:p>
    <w:p>
      <w:pPr>
        <w:spacing w:after="0" w:line="19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color w:val="08228B"/>
        </w:rPr>
        <w:t xml:space="preserve">Service Prior to January 1, 2007 </w:t>
      </w:r>
      <w:r>
        <w:rPr>
          <w:rFonts w:ascii="Arial" w:cs="Arial" w:eastAsia="Arial" w:hAnsi="Arial"/>
          <w:sz w:val="16"/>
          <w:szCs w:val="16"/>
          <w:color w:val="000000"/>
        </w:rPr>
        <w:t>– The supplemental pension will equal the greater of (a) 2 percent of the average monthly base salary multiplied by all years</w:t>
      </w:r>
      <w:r>
        <w:rPr>
          <w:rFonts w:ascii="Arial" w:cs="Arial" w:eastAsia="Arial" w:hAnsi="Arial"/>
          <w:sz w:val="16"/>
          <w:szCs w:val="16"/>
          <w:b w:val="1"/>
          <w:bCs w:val="1"/>
          <w:color w:val="08228B"/>
        </w:rPr>
        <w:t xml:space="preserve"> </w:t>
      </w:r>
      <w:r>
        <w:rPr>
          <w:rFonts w:ascii="Arial" w:cs="Arial" w:eastAsia="Arial" w:hAnsi="Arial"/>
          <w:sz w:val="16"/>
          <w:szCs w:val="16"/>
          <w:color w:val="000000"/>
        </w:rPr>
        <w:t>of contributory service less the sum of all benefits payable under the GM Salaried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13"/>
        </w:trPr>
        <w:tc>
          <w:tcPr>
            <w:tcW w:w="4340" w:type="dxa"/>
            <w:vAlign w:val="bottom"/>
            <w:tcBorders>
              <w:bottom w:val="single" w:sz="8" w:color="08228B"/>
            </w:tcBorders>
          </w:tcPr>
          <w:p>
            <w:pPr>
              <w:spacing w:after="0"/>
              <w:rPr>
                <w:sz w:val="9"/>
                <w:szCs w:val="9"/>
                <w:color w:val="auto"/>
              </w:rPr>
            </w:pPr>
          </w:p>
        </w:tc>
        <w:tc>
          <w:tcPr>
            <w:tcW w:w="2060" w:type="dxa"/>
            <w:vAlign w:val="bottom"/>
            <w:vMerge w:val="restart"/>
          </w:tcPr>
          <w:p>
            <w:pPr>
              <w:ind w:left="60"/>
              <w:spacing w:after="0"/>
              <w:rPr>
                <w:sz w:val="20"/>
                <w:szCs w:val="20"/>
                <w:color w:val="auto"/>
              </w:rPr>
            </w:pPr>
            <w:r>
              <w:rPr>
                <w:rFonts w:ascii="Arial" w:cs="Arial" w:eastAsia="Arial" w:hAnsi="Arial"/>
                <w:sz w:val="16"/>
                <w:szCs w:val="16"/>
                <w:b w:val="1"/>
                <w:bCs w:val="1"/>
                <w:color w:val="1C90D3"/>
              </w:rPr>
              <w:t xml:space="preserve">2016 </w:t>
            </w:r>
            <w:r>
              <w:rPr>
                <w:rFonts w:ascii="Arial" w:cs="Arial" w:eastAsia="Arial" w:hAnsi="Arial"/>
                <w:sz w:val="16"/>
                <w:szCs w:val="16"/>
                <w:color w:val="08228B"/>
              </w:rPr>
              <w:t>PROXY STATEMENT</w:t>
            </w:r>
          </w:p>
        </w:tc>
        <w:tc>
          <w:tcPr>
            <w:tcW w:w="2400" w:type="dxa"/>
            <w:vAlign w:val="bottom"/>
            <w:tcBorders>
              <w:bottom w:val="single" w:sz="8" w:color="08228B"/>
            </w:tcBorders>
          </w:tcPr>
          <w:p>
            <w:pPr>
              <w:spacing w:after="0"/>
              <w:rPr>
                <w:sz w:val="9"/>
                <w:szCs w:val="9"/>
                <w:color w:val="auto"/>
              </w:rPr>
            </w:pPr>
          </w:p>
        </w:tc>
        <w:tc>
          <w:tcPr>
            <w:tcW w:w="2620" w:type="dxa"/>
            <w:vAlign w:val="bottom"/>
            <w:vMerge w:val="restart"/>
          </w:tcPr>
          <w:p>
            <w:pPr>
              <w:jc w:val="right"/>
              <w:ind w:right="39"/>
              <w:spacing w:after="0"/>
              <w:rPr>
                <w:sz w:val="20"/>
                <w:szCs w:val="20"/>
                <w:color w:val="auto"/>
              </w:rPr>
            </w:pPr>
            <w:r>
              <w:rPr>
                <w:rFonts w:ascii="Arial" w:cs="Arial" w:eastAsia="Arial" w:hAnsi="Arial"/>
                <w:sz w:val="16"/>
                <w:szCs w:val="16"/>
                <w:color w:val="08228B"/>
              </w:rPr>
              <w:t>58</w:t>
            </w:r>
          </w:p>
        </w:tc>
        <w:tc>
          <w:tcPr>
            <w:tcW w:w="0" w:type="dxa"/>
            <w:vAlign w:val="bottom"/>
          </w:tcPr>
          <w:p>
            <w:pPr>
              <w:spacing w:after="0"/>
              <w:rPr>
                <w:sz w:val="1"/>
                <w:szCs w:val="1"/>
                <w:color w:val="auto"/>
              </w:rPr>
            </w:pPr>
          </w:p>
        </w:tc>
      </w:tr>
      <w:tr>
        <w:trPr>
          <w:trHeight w:val="82"/>
        </w:trPr>
        <w:tc>
          <w:tcPr>
            <w:tcW w:w="4340" w:type="dxa"/>
            <w:vAlign w:val="bottom"/>
          </w:tcPr>
          <w:p>
            <w:pPr>
              <w:spacing w:after="0"/>
              <w:rPr>
                <w:sz w:val="7"/>
                <w:szCs w:val="7"/>
                <w:color w:val="auto"/>
              </w:rPr>
            </w:pPr>
          </w:p>
        </w:tc>
        <w:tc>
          <w:tcPr>
            <w:tcW w:w="2060" w:type="dxa"/>
            <w:vAlign w:val="bottom"/>
            <w:vMerge w:val="continue"/>
          </w:tcPr>
          <w:p>
            <w:pPr>
              <w:spacing w:after="0"/>
              <w:rPr>
                <w:sz w:val="7"/>
                <w:szCs w:val="7"/>
                <w:color w:val="auto"/>
              </w:rPr>
            </w:pPr>
          </w:p>
        </w:tc>
        <w:tc>
          <w:tcPr>
            <w:tcW w:w="2400" w:type="dxa"/>
            <w:vAlign w:val="bottom"/>
          </w:tcPr>
          <w:p>
            <w:pPr>
              <w:spacing w:after="0"/>
              <w:rPr>
                <w:sz w:val="7"/>
                <w:szCs w:val="7"/>
                <w:color w:val="auto"/>
              </w:rPr>
            </w:pPr>
          </w:p>
        </w:tc>
        <w:tc>
          <w:tcPr>
            <w:tcW w:w="2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7"/>
        </w:trPr>
        <w:tc>
          <w:tcPr>
            <w:tcW w:w="4340" w:type="dxa"/>
            <w:vAlign w:val="bottom"/>
            <w:tcBorders>
              <w:bottom w:val="single" w:sz="8" w:color="C0C0C0"/>
            </w:tcBorders>
          </w:tcPr>
          <w:p>
            <w:pPr>
              <w:spacing w:after="0"/>
              <w:rPr>
                <w:sz w:val="24"/>
                <w:szCs w:val="24"/>
                <w:color w:val="auto"/>
              </w:rPr>
            </w:pPr>
          </w:p>
        </w:tc>
        <w:tc>
          <w:tcPr>
            <w:tcW w:w="2060" w:type="dxa"/>
            <w:vAlign w:val="bottom"/>
            <w:tcBorders>
              <w:bottom w:val="single" w:sz="8" w:color="C0C0C0"/>
            </w:tcBorders>
          </w:tcPr>
          <w:p>
            <w:pPr>
              <w:spacing w:after="0"/>
              <w:rPr>
                <w:sz w:val="24"/>
                <w:szCs w:val="24"/>
                <w:color w:val="auto"/>
              </w:rPr>
            </w:pPr>
          </w:p>
        </w:tc>
        <w:tc>
          <w:tcPr>
            <w:tcW w:w="2400" w:type="dxa"/>
            <w:vAlign w:val="bottom"/>
            <w:tcBorders>
              <w:bottom w:val="single" w:sz="8" w:color="C0C0C0"/>
            </w:tcBorders>
          </w:tcPr>
          <w:p>
            <w:pPr>
              <w:spacing w:after="0"/>
              <w:rPr>
                <w:sz w:val="24"/>
                <w:szCs w:val="24"/>
                <w:color w:val="auto"/>
              </w:rPr>
            </w:pPr>
          </w:p>
        </w:tc>
        <w:tc>
          <w:tcPr>
            <w:tcW w:w="262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5613400</wp:posOffset>
            </wp:positionH>
            <wp:positionV relativeFrom="paragraph">
              <wp:posOffset>-334010</wp:posOffset>
            </wp:positionV>
            <wp:extent cx="1286510" cy="8572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1286510" cy="8572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Back to Contents</w:t>
        </w:r>
      </w:hyperlink>
    </w:p>
    <w:p>
      <w:pPr>
        <w:spacing w:after="0" w:line="19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Retirement plus the maximum Social Security Benefit as of January 2007 multiplied by all years of noncontributory service or (b) 1.5 percent of the average monthly base salary plus annual incentive plan compensation multiplied by all years of contributory service, up to a maximum of 35 years less the sum of all benefits payable under the GM SRP plus 100 percent of the maximum Social Security benefit as of January 2007. In both cases, the base salary and annual incentive plan payments are determined using the highest 60 months out of the last 120 months prior to retirement.</w:t>
      </w:r>
    </w:p>
    <w:p>
      <w:pPr>
        <w:spacing w:after="0" w:line="15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color w:val="08228B"/>
        </w:rPr>
        <w:t xml:space="preserve">Service from January 1, 2007 to December 31, 2007 </w:t>
      </w:r>
      <w:r>
        <w:rPr>
          <w:rFonts w:ascii="Arial" w:cs="Arial" w:eastAsia="Arial" w:hAnsi="Arial"/>
          <w:sz w:val="16"/>
          <w:szCs w:val="16"/>
          <w:color w:val="000000"/>
        </w:rPr>
        <w:t>– The supplemental pension will equal 1.25 percent multiplied by their annual base salary and is</w:t>
      </w:r>
      <w:r>
        <w:rPr>
          <w:rFonts w:ascii="Arial" w:cs="Arial" w:eastAsia="Arial" w:hAnsi="Arial"/>
          <w:sz w:val="16"/>
          <w:szCs w:val="16"/>
          <w:b w:val="1"/>
          <w:bCs w:val="1"/>
          <w:color w:val="08228B"/>
        </w:rPr>
        <w:t xml:space="preserve"> </w:t>
      </w:r>
      <w:r>
        <w:rPr>
          <w:rFonts w:ascii="Arial" w:cs="Arial" w:eastAsia="Arial" w:hAnsi="Arial"/>
          <w:sz w:val="16"/>
          <w:szCs w:val="16"/>
          <w:color w:val="000000"/>
        </w:rPr>
        <w:t>applicable to amounts in excess of the IRS-prescribed limit applicable to tax-qualified plans.</w:t>
      </w:r>
    </w:p>
    <w:p>
      <w:pPr>
        <w:spacing w:after="0" w:line="1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color w:val="08228B"/>
        </w:rPr>
        <w:t xml:space="preserve">Service from January 1, 2008 to September 30, 2012 </w:t>
      </w:r>
      <w:r>
        <w:rPr>
          <w:rFonts w:ascii="Arial" w:cs="Arial" w:eastAsia="Arial" w:hAnsi="Arial"/>
          <w:sz w:val="16"/>
          <w:szCs w:val="16"/>
          <w:color w:val="000000"/>
        </w:rPr>
        <w:t>– The supplemental pension will equal 1.25 percent multiplied by their annual base salary plus short-term incentive payments and is applicable to amounts in excess of the IRS-prescribed limit applicable to tax-qualified plans.</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color w:val="08228B"/>
        </w:rPr>
        <w:t xml:space="preserve">Time and form of payment: </w:t>
      </w:r>
      <w:r>
        <w:rPr>
          <w:rFonts w:ascii="Arial" w:cs="Arial" w:eastAsia="Arial" w:hAnsi="Arial"/>
          <w:sz w:val="16"/>
          <w:szCs w:val="16"/>
          <w:color w:val="000000"/>
        </w:rPr>
        <w:t>Normal retirement age under the plan is age 65; however, employees who commenced service prior to January 1, 2007, including</w:t>
      </w:r>
      <w:r>
        <w:rPr>
          <w:rFonts w:ascii="Arial" w:cs="Arial" w:eastAsia="Arial" w:hAnsi="Arial"/>
          <w:sz w:val="16"/>
          <w:szCs w:val="16"/>
          <w:b w:val="1"/>
          <w:bCs w:val="1"/>
          <w:color w:val="08228B"/>
        </w:rPr>
        <w:t xml:space="preserve"> </w:t>
      </w:r>
      <w:r>
        <w:rPr>
          <w:rFonts w:ascii="Arial" w:cs="Arial" w:eastAsia="Arial" w:hAnsi="Arial"/>
          <w:sz w:val="16"/>
          <w:szCs w:val="16"/>
          <w:color w:val="000000"/>
        </w:rPr>
        <w:t>NEOs, may retire at age 60 with 10 or more years of service without any reduction in benefits. Employees may also retire at age 55 with 10 or more years of service with benefits reduced using the same factors as are utilized for early retirement under the GM SRP. The GM DB ERP is payable as a five-year certain annuity, with payments starting upon the retirement of the executive and continuing for 60 months.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260" w:type="dxa"/>
            <w:vAlign w:val="bottom"/>
            <w:tcBorders>
              <w:top w:val="single" w:sz="8" w:color="1C90D3"/>
            </w:tcBorders>
          </w:tcPr>
          <w:p>
            <w:pPr>
              <w:spacing w:after="0"/>
              <w:rPr>
                <w:sz w:val="17"/>
                <w:szCs w:val="17"/>
                <w:color w:val="auto"/>
              </w:rPr>
            </w:pPr>
          </w:p>
        </w:tc>
        <w:tc>
          <w:tcPr>
            <w:tcW w:w="2520" w:type="dxa"/>
            <w:vAlign w:val="bottom"/>
            <w:tcBorders>
              <w:top w:val="single" w:sz="8" w:color="1C90D3"/>
            </w:tcBorders>
          </w:tcPr>
          <w:p>
            <w:pPr>
              <w:spacing w:after="0"/>
              <w:rPr>
                <w:sz w:val="17"/>
                <w:szCs w:val="17"/>
                <w:color w:val="auto"/>
              </w:rPr>
            </w:pPr>
          </w:p>
        </w:tc>
        <w:tc>
          <w:tcPr>
            <w:tcW w:w="2920" w:type="dxa"/>
            <w:vAlign w:val="bottom"/>
            <w:tcBorders>
              <w:top w:val="single" w:sz="8" w:color="1C90D3"/>
            </w:tcBorders>
          </w:tcPr>
          <w:p>
            <w:pPr>
              <w:jc w:val="right"/>
              <w:ind w:right="259"/>
              <w:spacing w:after="0"/>
              <w:rPr>
                <w:sz w:val="20"/>
                <w:szCs w:val="20"/>
                <w:color w:val="auto"/>
              </w:rPr>
            </w:pPr>
            <w:r>
              <w:rPr>
                <w:rFonts w:ascii="Arial" w:cs="Arial" w:eastAsia="Arial" w:hAnsi="Arial"/>
                <w:sz w:val="16"/>
                <w:szCs w:val="16"/>
                <w:b w:val="1"/>
                <w:bCs w:val="1"/>
                <w:color w:val="1C90D3"/>
              </w:rPr>
              <w:t>Number of Years</w:t>
            </w:r>
          </w:p>
        </w:tc>
        <w:tc>
          <w:tcPr>
            <w:tcW w:w="1900" w:type="dxa"/>
            <w:vAlign w:val="bottom"/>
            <w:tcBorders>
              <w:top w:val="single" w:sz="8" w:color="1C90D3"/>
            </w:tcBorders>
          </w:tcPr>
          <w:p>
            <w:pPr>
              <w:spacing w:after="0"/>
              <w:rPr>
                <w:sz w:val="17"/>
                <w:szCs w:val="17"/>
                <w:color w:val="auto"/>
              </w:rPr>
            </w:pPr>
          </w:p>
        </w:tc>
        <w:tc>
          <w:tcPr>
            <w:tcW w:w="1700" w:type="dxa"/>
            <w:vAlign w:val="bottom"/>
            <w:tcBorders>
              <w:top w:val="single" w:sz="8" w:color="1C90D3"/>
            </w:tcBorders>
          </w:tcPr>
          <w:p>
            <w:pPr>
              <w:spacing w:after="0"/>
              <w:rPr>
                <w:sz w:val="17"/>
                <w:szCs w:val="17"/>
                <w:color w:val="auto"/>
              </w:rPr>
            </w:pPr>
          </w:p>
        </w:tc>
      </w:tr>
      <w:tr>
        <w:trPr>
          <w:trHeight w:val="189"/>
        </w:trPr>
        <w:tc>
          <w:tcPr>
            <w:tcW w:w="226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2920" w:type="dxa"/>
            <w:vAlign w:val="bottom"/>
          </w:tcPr>
          <w:p>
            <w:pPr>
              <w:jc w:val="right"/>
              <w:ind w:right="259"/>
              <w:spacing w:after="0"/>
              <w:rPr>
                <w:sz w:val="20"/>
                <w:szCs w:val="20"/>
                <w:color w:val="auto"/>
              </w:rPr>
            </w:pPr>
            <w:r>
              <w:rPr>
                <w:rFonts w:ascii="Arial" w:cs="Arial" w:eastAsia="Arial" w:hAnsi="Arial"/>
                <w:sz w:val="16"/>
                <w:szCs w:val="16"/>
                <w:b w:val="1"/>
                <w:bCs w:val="1"/>
                <w:color w:val="1C90D3"/>
              </w:rPr>
              <w:t>of Eligible Credited</w:t>
            </w:r>
          </w:p>
        </w:tc>
        <w:tc>
          <w:tcPr>
            <w:tcW w:w="1900" w:type="dxa"/>
            <w:vAlign w:val="bottom"/>
          </w:tcPr>
          <w:p>
            <w:pPr>
              <w:jc w:val="right"/>
              <w:ind w:right="239"/>
              <w:spacing w:after="0"/>
              <w:rPr>
                <w:sz w:val="20"/>
                <w:szCs w:val="20"/>
                <w:color w:val="auto"/>
              </w:rPr>
            </w:pPr>
            <w:r>
              <w:rPr>
                <w:rFonts w:ascii="Arial" w:cs="Arial" w:eastAsia="Arial" w:hAnsi="Arial"/>
                <w:sz w:val="16"/>
                <w:szCs w:val="16"/>
                <w:b w:val="1"/>
                <w:bCs w:val="1"/>
                <w:color w:val="1C90D3"/>
              </w:rPr>
              <w:t>Present Value</w:t>
            </w:r>
          </w:p>
        </w:tc>
        <w:tc>
          <w:tcPr>
            <w:tcW w:w="1700" w:type="dxa"/>
            <w:vAlign w:val="bottom"/>
          </w:tcPr>
          <w:p>
            <w:pPr>
              <w:spacing w:after="0"/>
              <w:rPr>
                <w:sz w:val="16"/>
                <w:szCs w:val="16"/>
                <w:color w:val="auto"/>
              </w:rPr>
            </w:pPr>
          </w:p>
        </w:tc>
      </w:tr>
      <w:tr>
        <w:trPr>
          <w:trHeight w:val="191"/>
        </w:trPr>
        <w:tc>
          <w:tcPr>
            <w:tcW w:w="226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2920" w:type="dxa"/>
            <w:vAlign w:val="bottom"/>
          </w:tcPr>
          <w:p>
            <w:pPr>
              <w:jc w:val="right"/>
              <w:ind w:right="259"/>
              <w:spacing w:after="0"/>
              <w:rPr>
                <w:sz w:val="20"/>
                <w:szCs w:val="20"/>
                <w:color w:val="auto"/>
              </w:rPr>
            </w:pPr>
            <w:r>
              <w:rPr>
                <w:rFonts w:ascii="Arial" w:cs="Arial" w:eastAsia="Arial" w:hAnsi="Arial"/>
                <w:sz w:val="16"/>
                <w:szCs w:val="16"/>
                <w:b w:val="1"/>
                <w:bCs w:val="1"/>
                <w:color w:val="1C90D3"/>
              </w:rPr>
              <w:t>Service as of</w:t>
            </w:r>
          </w:p>
        </w:tc>
        <w:tc>
          <w:tcPr>
            <w:tcW w:w="1900" w:type="dxa"/>
            <w:vAlign w:val="bottom"/>
          </w:tcPr>
          <w:p>
            <w:pPr>
              <w:jc w:val="right"/>
              <w:ind w:right="239"/>
              <w:spacing w:after="0"/>
              <w:rPr>
                <w:sz w:val="20"/>
                <w:szCs w:val="20"/>
                <w:color w:val="auto"/>
              </w:rPr>
            </w:pPr>
            <w:r>
              <w:rPr>
                <w:rFonts w:ascii="Arial" w:cs="Arial" w:eastAsia="Arial" w:hAnsi="Arial"/>
                <w:sz w:val="16"/>
                <w:szCs w:val="16"/>
                <w:b w:val="1"/>
                <w:bCs w:val="1"/>
                <w:color w:val="1C90D3"/>
              </w:rPr>
              <w:t>of Accumulated</w:t>
            </w:r>
          </w:p>
        </w:tc>
        <w:tc>
          <w:tcPr>
            <w:tcW w:w="1700" w:type="dxa"/>
            <w:vAlign w:val="bottom"/>
          </w:tcPr>
          <w:p>
            <w:pPr>
              <w:jc w:val="right"/>
              <w:spacing w:after="0"/>
              <w:rPr>
                <w:sz w:val="20"/>
                <w:szCs w:val="20"/>
                <w:color w:val="auto"/>
              </w:rPr>
            </w:pPr>
            <w:r>
              <w:rPr>
                <w:rFonts w:ascii="Arial" w:cs="Arial" w:eastAsia="Arial" w:hAnsi="Arial"/>
                <w:sz w:val="16"/>
                <w:szCs w:val="16"/>
                <w:b w:val="1"/>
                <w:bCs w:val="1"/>
                <w:color w:val="1C90D3"/>
              </w:rPr>
              <w:t>Payments During</w:t>
            </w:r>
          </w:p>
        </w:tc>
      </w:tr>
      <w:tr>
        <w:trPr>
          <w:trHeight w:val="230"/>
        </w:trPr>
        <w:tc>
          <w:tcPr>
            <w:tcW w:w="226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2920" w:type="dxa"/>
            <w:vAlign w:val="bottom"/>
          </w:tcPr>
          <w:p>
            <w:pPr>
              <w:jc w:val="right"/>
              <w:ind w:right="259"/>
              <w:spacing w:after="0"/>
              <w:rPr>
                <w:sz w:val="20"/>
                <w:szCs w:val="20"/>
                <w:color w:val="auto"/>
              </w:rPr>
            </w:pPr>
            <w:r>
              <w:rPr>
                <w:rFonts w:ascii="Arial" w:cs="Arial" w:eastAsia="Arial" w:hAnsi="Arial"/>
                <w:sz w:val="16"/>
                <w:szCs w:val="16"/>
                <w:b w:val="1"/>
                <w:bCs w:val="1"/>
                <w:color w:val="1C90D3"/>
              </w:rPr>
              <w:t>December 31,</w:t>
            </w:r>
          </w:p>
        </w:tc>
        <w:tc>
          <w:tcPr>
            <w:tcW w:w="1900" w:type="dxa"/>
            <w:vAlign w:val="bottom"/>
          </w:tcPr>
          <w:p>
            <w:pPr>
              <w:jc w:val="right"/>
              <w:ind w:right="239"/>
              <w:spacing w:after="0" w:line="230" w:lineRule="exact"/>
              <w:rPr>
                <w:sz w:val="20"/>
                <w:szCs w:val="20"/>
                <w:color w:val="auto"/>
              </w:rPr>
            </w:pPr>
            <w:r>
              <w:rPr>
                <w:rFonts w:ascii="Arial" w:cs="Arial" w:eastAsia="Arial" w:hAnsi="Arial"/>
                <w:sz w:val="16"/>
                <w:szCs w:val="16"/>
                <w:b w:val="1"/>
                <w:bCs w:val="1"/>
                <w:color w:val="1C90D3"/>
              </w:rPr>
              <w:t>Benefits</w:t>
            </w:r>
            <w:r>
              <w:rPr>
                <w:rFonts w:ascii="Arial" w:cs="Arial" w:eastAsia="Arial" w:hAnsi="Arial"/>
                <w:sz w:val="26"/>
                <w:szCs w:val="26"/>
                <w:b w:val="1"/>
                <w:bCs w:val="1"/>
                <w:color w:val="1C90D3"/>
                <w:vertAlign w:val="superscript"/>
              </w:rPr>
              <w:t>(2)</w:t>
            </w:r>
          </w:p>
        </w:tc>
        <w:tc>
          <w:tcPr>
            <w:tcW w:w="1700" w:type="dxa"/>
            <w:vAlign w:val="bottom"/>
          </w:tcPr>
          <w:p>
            <w:pPr>
              <w:jc w:val="right"/>
              <w:spacing w:after="0"/>
              <w:rPr>
                <w:sz w:val="20"/>
                <w:szCs w:val="20"/>
                <w:color w:val="auto"/>
              </w:rPr>
            </w:pPr>
            <w:r>
              <w:rPr>
                <w:rFonts w:ascii="Arial" w:cs="Arial" w:eastAsia="Arial" w:hAnsi="Arial"/>
                <w:sz w:val="16"/>
                <w:szCs w:val="16"/>
                <w:b w:val="1"/>
                <w:bCs w:val="1"/>
                <w:color w:val="1C90D3"/>
              </w:rPr>
              <w:t>Last Fiscal Year</w:t>
            </w:r>
          </w:p>
        </w:tc>
      </w:tr>
      <w:tr>
        <w:trPr>
          <w:trHeight w:val="253"/>
        </w:trPr>
        <w:tc>
          <w:tcPr>
            <w:tcW w:w="2260" w:type="dxa"/>
            <w:vAlign w:val="bottom"/>
            <w:tcBorders>
              <w:bottom w:val="single" w:sz="8" w:color="1C90D3"/>
            </w:tcBorders>
          </w:tcPr>
          <w:p>
            <w:pPr>
              <w:ind w:left="60"/>
              <w:spacing w:after="0"/>
              <w:rPr>
                <w:sz w:val="20"/>
                <w:szCs w:val="20"/>
                <w:color w:val="auto"/>
              </w:rPr>
            </w:pPr>
            <w:r>
              <w:rPr>
                <w:rFonts w:ascii="Arial" w:cs="Arial" w:eastAsia="Arial" w:hAnsi="Arial"/>
                <w:sz w:val="16"/>
                <w:szCs w:val="16"/>
                <w:b w:val="1"/>
                <w:bCs w:val="1"/>
                <w:color w:val="1C90D3"/>
              </w:rPr>
              <w:t>Name</w:t>
            </w:r>
          </w:p>
        </w:tc>
        <w:tc>
          <w:tcPr>
            <w:tcW w:w="2520" w:type="dxa"/>
            <w:vAlign w:val="bottom"/>
            <w:tcBorders>
              <w:bottom w:val="single" w:sz="8" w:color="1C90D3"/>
            </w:tcBorders>
          </w:tcPr>
          <w:p>
            <w:pPr>
              <w:ind w:left="580"/>
              <w:spacing w:after="0"/>
              <w:rPr>
                <w:sz w:val="20"/>
                <w:szCs w:val="20"/>
                <w:color w:val="auto"/>
              </w:rPr>
            </w:pPr>
            <w:r>
              <w:rPr>
                <w:rFonts w:ascii="Arial" w:cs="Arial" w:eastAsia="Arial" w:hAnsi="Arial"/>
                <w:sz w:val="16"/>
                <w:szCs w:val="16"/>
                <w:b w:val="1"/>
                <w:bCs w:val="1"/>
                <w:color w:val="1C90D3"/>
              </w:rPr>
              <w:t>Plan Name</w:t>
            </w:r>
          </w:p>
        </w:tc>
        <w:tc>
          <w:tcPr>
            <w:tcW w:w="2920" w:type="dxa"/>
            <w:vAlign w:val="bottom"/>
            <w:tcBorders>
              <w:bottom w:val="single" w:sz="8" w:color="1C90D3"/>
            </w:tcBorders>
          </w:tcPr>
          <w:p>
            <w:pPr>
              <w:jc w:val="right"/>
              <w:ind w:right="259"/>
              <w:spacing w:after="0" w:line="246" w:lineRule="exact"/>
              <w:rPr>
                <w:sz w:val="20"/>
                <w:szCs w:val="20"/>
                <w:color w:val="auto"/>
              </w:rPr>
            </w:pPr>
            <w:r>
              <w:rPr>
                <w:rFonts w:ascii="Arial" w:cs="Arial" w:eastAsia="Arial" w:hAnsi="Arial"/>
                <w:sz w:val="16"/>
                <w:szCs w:val="16"/>
                <w:b w:val="1"/>
                <w:bCs w:val="1"/>
                <w:color w:val="1C90D3"/>
              </w:rPr>
              <w:t>2015</w:t>
            </w:r>
            <w:r>
              <w:rPr>
                <w:rFonts w:ascii="Arial" w:cs="Arial" w:eastAsia="Arial" w:hAnsi="Arial"/>
                <w:sz w:val="27"/>
                <w:szCs w:val="27"/>
                <w:b w:val="1"/>
                <w:bCs w:val="1"/>
                <w:color w:val="1C90D3"/>
                <w:vertAlign w:val="superscript"/>
              </w:rPr>
              <w:t>(1)</w:t>
            </w:r>
          </w:p>
        </w:tc>
        <w:tc>
          <w:tcPr>
            <w:tcW w:w="1900" w:type="dxa"/>
            <w:vAlign w:val="bottom"/>
            <w:tcBorders>
              <w:bottom w:val="single" w:sz="8" w:color="1C90D3"/>
            </w:tcBorders>
          </w:tcPr>
          <w:p>
            <w:pPr>
              <w:jc w:val="right"/>
              <w:ind w:right="239"/>
              <w:spacing w:after="0"/>
              <w:rPr>
                <w:sz w:val="20"/>
                <w:szCs w:val="20"/>
                <w:color w:val="auto"/>
              </w:rPr>
            </w:pPr>
            <w:r>
              <w:rPr>
                <w:rFonts w:ascii="Arial" w:cs="Arial" w:eastAsia="Arial" w:hAnsi="Arial"/>
                <w:sz w:val="16"/>
                <w:szCs w:val="16"/>
                <w:b w:val="1"/>
                <w:bCs w:val="1"/>
                <w:color w:val="1C90D3"/>
              </w:rPr>
              <w:t>($)</w:t>
            </w:r>
          </w:p>
        </w:tc>
        <w:tc>
          <w:tcPr>
            <w:tcW w:w="1700" w:type="dxa"/>
            <w:vAlign w:val="bottom"/>
            <w:tcBorders>
              <w:bottom w:val="single" w:sz="8" w:color="1C90D3"/>
            </w:tcBorders>
          </w:tcPr>
          <w:p>
            <w:pPr>
              <w:jc w:val="right"/>
              <w:spacing w:after="0"/>
              <w:rPr>
                <w:sz w:val="20"/>
                <w:szCs w:val="20"/>
                <w:color w:val="auto"/>
              </w:rPr>
            </w:pPr>
            <w:r>
              <w:rPr>
                <w:rFonts w:ascii="Arial" w:cs="Arial" w:eastAsia="Arial" w:hAnsi="Arial"/>
                <w:sz w:val="16"/>
                <w:szCs w:val="16"/>
                <w:b w:val="1"/>
                <w:bCs w:val="1"/>
                <w:color w:val="1C90D3"/>
              </w:rPr>
              <w:t>($)</w:t>
            </w:r>
          </w:p>
        </w:tc>
      </w:tr>
      <w:tr>
        <w:trPr>
          <w:trHeight w:val="191"/>
        </w:trPr>
        <w:tc>
          <w:tcPr>
            <w:tcW w:w="2260" w:type="dxa"/>
            <w:vAlign w:val="bottom"/>
          </w:tcPr>
          <w:p>
            <w:pPr>
              <w:ind w:left="60"/>
              <w:spacing w:after="0"/>
              <w:rPr>
                <w:sz w:val="20"/>
                <w:szCs w:val="20"/>
                <w:color w:val="auto"/>
              </w:rPr>
            </w:pPr>
            <w:r>
              <w:rPr>
                <w:rFonts w:ascii="Arial" w:cs="Arial" w:eastAsia="Arial" w:hAnsi="Arial"/>
                <w:sz w:val="16"/>
                <w:szCs w:val="16"/>
                <w:color w:val="auto"/>
              </w:rPr>
              <w:t>Mary T. Barra</w:t>
            </w:r>
          </w:p>
        </w:tc>
        <w:tc>
          <w:tcPr>
            <w:tcW w:w="2520" w:type="dxa"/>
            <w:vAlign w:val="bottom"/>
          </w:tcPr>
          <w:p>
            <w:pPr>
              <w:ind w:left="580"/>
              <w:spacing w:after="0"/>
              <w:rPr>
                <w:sz w:val="20"/>
                <w:szCs w:val="20"/>
                <w:color w:val="auto"/>
              </w:rPr>
            </w:pPr>
            <w:r>
              <w:rPr>
                <w:rFonts w:ascii="Arial" w:cs="Arial" w:eastAsia="Arial" w:hAnsi="Arial"/>
                <w:sz w:val="16"/>
                <w:szCs w:val="16"/>
                <w:color w:val="auto"/>
              </w:rPr>
              <w:t>SRP</w:t>
            </w:r>
          </w:p>
        </w:tc>
        <w:tc>
          <w:tcPr>
            <w:tcW w:w="2920" w:type="dxa"/>
            <w:vAlign w:val="bottom"/>
          </w:tcPr>
          <w:p>
            <w:pPr>
              <w:jc w:val="right"/>
              <w:ind w:right="259"/>
              <w:spacing w:after="0"/>
              <w:rPr>
                <w:sz w:val="20"/>
                <w:szCs w:val="20"/>
                <w:color w:val="auto"/>
              </w:rPr>
            </w:pPr>
            <w:r>
              <w:rPr>
                <w:rFonts w:ascii="Arial" w:cs="Arial" w:eastAsia="Arial" w:hAnsi="Arial"/>
                <w:sz w:val="16"/>
                <w:szCs w:val="16"/>
                <w:color w:val="auto"/>
              </w:rPr>
              <w:t>33.3</w:t>
            </w:r>
          </w:p>
        </w:tc>
        <w:tc>
          <w:tcPr>
            <w:tcW w:w="1900" w:type="dxa"/>
            <w:vAlign w:val="bottom"/>
          </w:tcPr>
          <w:p>
            <w:pPr>
              <w:jc w:val="right"/>
              <w:ind w:right="239"/>
              <w:spacing w:after="0"/>
              <w:rPr>
                <w:sz w:val="20"/>
                <w:szCs w:val="20"/>
                <w:color w:val="auto"/>
              </w:rPr>
            </w:pPr>
            <w:r>
              <w:rPr>
                <w:rFonts w:ascii="Arial" w:cs="Arial" w:eastAsia="Arial" w:hAnsi="Arial"/>
                <w:sz w:val="16"/>
                <w:szCs w:val="16"/>
                <w:color w:val="auto"/>
              </w:rPr>
              <w:t>931,535</w:t>
            </w:r>
          </w:p>
        </w:tc>
        <w:tc>
          <w:tcPr>
            <w:tcW w:w="17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7"/>
        </w:trPr>
        <w:tc>
          <w:tcPr>
            <w:tcW w:w="226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tcPr>
          <w:p>
            <w:pPr>
              <w:ind w:left="580"/>
              <w:spacing w:after="0"/>
              <w:rPr>
                <w:sz w:val="20"/>
                <w:szCs w:val="20"/>
                <w:color w:val="auto"/>
              </w:rPr>
            </w:pPr>
            <w:r>
              <w:rPr>
                <w:rFonts w:ascii="Arial" w:cs="Arial" w:eastAsia="Arial" w:hAnsi="Arial"/>
                <w:sz w:val="16"/>
                <w:szCs w:val="16"/>
                <w:color w:val="auto"/>
              </w:rPr>
              <w:t>DB ERP</w:t>
            </w:r>
          </w:p>
        </w:tc>
        <w:tc>
          <w:tcPr>
            <w:tcW w:w="29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33.3</w:t>
            </w:r>
          </w:p>
        </w:tc>
        <w:tc>
          <w:tcPr>
            <w:tcW w:w="19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893,140</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184"/>
        </w:trPr>
        <w:tc>
          <w:tcPr>
            <w:tcW w:w="2260" w:type="dxa"/>
            <w:vAlign w:val="bottom"/>
          </w:tcPr>
          <w:p>
            <w:pPr>
              <w:ind w:left="60"/>
              <w:spacing w:after="0"/>
              <w:rPr>
                <w:sz w:val="20"/>
                <w:szCs w:val="20"/>
                <w:color w:val="auto"/>
              </w:rPr>
            </w:pPr>
            <w:r>
              <w:rPr>
                <w:rFonts w:ascii="Arial" w:cs="Arial" w:eastAsia="Arial" w:hAnsi="Arial"/>
                <w:sz w:val="16"/>
                <w:szCs w:val="16"/>
                <w:color w:val="auto"/>
              </w:rPr>
              <w:t>Charles K. Stevens, III</w:t>
            </w:r>
          </w:p>
        </w:tc>
        <w:tc>
          <w:tcPr>
            <w:tcW w:w="2520" w:type="dxa"/>
            <w:vAlign w:val="bottom"/>
          </w:tcPr>
          <w:p>
            <w:pPr>
              <w:ind w:left="580"/>
              <w:spacing w:after="0"/>
              <w:rPr>
                <w:sz w:val="20"/>
                <w:szCs w:val="20"/>
                <w:color w:val="auto"/>
              </w:rPr>
            </w:pPr>
            <w:r>
              <w:rPr>
                <w:rFonts w:ascii="Arial" w:cs="Arial" w:eastAsia="Arial" w:hAnsi="Arial"/>
                <w:sz w:val="16"/>
                <w:szCs w:val="16"/>
                <w:color w:val="auto"/>
              </w:rPr>
              <w:t>SRP</w:t>
            </w:r>
          </w:p>
        </w:tc>
        <w:tc>
          <w:tcPr>
            <w:tcW w:w="2920" w:type="dxa"/>
            <w:vAlign w:val="bottom"/>
          </w:tcPr>
          <w:p>
            <w:pPr>
              <w:jc w:val="right"/>
              <w:ind w:right="259"/>
              <w:spacing w:after="0"/>
              <w:rPr>
                <w:sz w:val="20"/>
                <w:szCs w:val="20"/>
                <w:color w:val="auto"/>
              </w:rPr>
            </w:pPr>
            <w:r>
              <w:rPr>
                <w:rFonts w:ascii="Arial" w:cs="Arial" w:eastAsia="Arial" w:hAnsi="Arial"/>
                <w:sz w:val="16"/>
                <w:szCs w:val="16"/>
                <w:color w:val="auto"/>
              </w:rPr>
              <w:t>36.5</w:t>
            </w:r>
          </w:p>
        </w:tc>
        <w:tc>
          <w:tcPr>
            <w:tcW w:w="1900" w:type="dxa"/>
            <w:vAlign w:val="bottom"/>
          </w:tcPr>
          <w:p>
            <w:pPr>
              <w:jc w:val="right"/>
              <w:ind w:right="239"/>
              <w:spacing w:after="0"/>
              <w:rPr>
                <w:sz w:val="20"/>
                <w:szCs w:val="20"/>
                <w:color w:val="auto"/>
              </w:rPr>
            </w:pPr>
            <w:r>
              <w:rPr>
                <w:rFonts w:ascii="Arial" w:cs="Arial" w:eastAsia="Arial" w:hAnsi="Arial"/>
                <w:sz w:val="16"/>
                <w:szCs w:val="16"/>
                <w:color w:val="auto"/>
              </w:rPr>
              <w:t>1,019,533</w:t>
            </w:r>
          </w:p>
        </w:tc>
        <w:tc>
          <w:tcPr>
            <w:tcW w:w="17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7"/>
        </w:trPr>
        <w:tc>
          <w:tcPr>
            <w:tcW w:w="226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tcPr>
          <w:p>
            <w:pPr>
              <w:ind w:left="580"/>
              <w:spacing w:after="0"/>
              <w:rPr>
                <w:sz w:val="20"/>
                <w:szCs w:val="20"/>
                <w:color w:val="auto"/>
              </w:rPr>
            </w:pPr>
            <w:r>
              <w:rPr>
                <w:rFonts w:ascii="Arial" w:cs="Arial" w:eastAsia="Arial" w:hAnsi="Arial"/>
                <w:sz w:val="16"/>
                <w:szCs w:val="16"/>
                <w:color w:val="auto"/>
              </w:rPr>
              <w:t>DB ERP</w:t>
            </w:r>
          </w:p>
        </w:tc>
        <w:tc>
          <w:tcPr>
            <w:tcW w:w="29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36.5</w:t>
            </w:r>
          </w:p>
        </w:tc>
        <w:tc>
          <w:tcPr>
            <w:tcW w:w="19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406,945</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2260" w:type="dxa"/>
            <w:vAlign w:val="bottom"/>
            <w:tcBorders>
              <w:bottom w:val="single" w:sz="8" w:color="auto"/>
            </w:tcBorders>
          </w:tcPr>
          <w:p>
            <w:pPr>
              <w:ind w:left="60"/>
              <w:spacing w:after="0" w:line="223" w:lineRule="exact"/>
              <w:rPr>
                <w:sz w:val="20"/>
                <w:szCs w:val="20"/>
                <w:color w:val="auto"/>
              </w:rPr>
            </w:pPr>
            <w:r>
              <w:rPr>
                <w:rFonts w:ascii="Arial" w:cs="Arial" w:eastAsia="Arial" w:hAnsi="Arial"/>
                <w:sz w:val="15"/>
                <w:szCs w:val="15"/>
                <w:color w:val="auto"/>
              </w:rPr>
              <w:t>Daniel Ammann</w:t>
            </w:r>
            <w:r>
              <w:rPr>
                <w:rFonts w:ascii="Arial" w:cs="Arial" w:eastAsia="Arial" w:hAnsi="Arial"/>
                <w:sz w:val="25"/>
                <w:szCs w:val="25"/>
                <w:color w:val="auto"/>
                <w:vertAlign w:val="superscript"/>
              </w:rPr>
              <w:t>(3)</w:t>
            </w:r>
          </w:p>
        </w:tc>
        <w:tc>
          <w:tcPr>
            <w:tcW w:w="252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9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184"/>
        </w:trPr>
        <w:tc>
          <w:tcPr>
            <w:tcW w:w="2260" w:type="dxa"/>
            <w:vAlign w:val="bottom"/>
          </w:tcPr>
          <w:p>
            <w:pPr>
              <w:ind w:left="60"/>
              <w:spacing w:after="0"/>
              <w:rPr>
                <w:sz w:val="20"/>
                <w:szCs w:val="20"/>
                <w:color w:val="auto"/>
              </w:rPr>
            </w:pPr>
            <w:r>
              <w:rPr>
                <w:rFonts w:ascii="Arial" w:cs="Arial" w:eastAsia="Arial" w:hAnsi="Arial"/>
                <w:sz w:val="16"/>
                <w:szCs w:val="16"/>
                <w:color w:val="auto"/>
              </w:rPr>
              <w:t>Mark L. Reuss</w:t>
            </w:r>
          </w:p>
        </w:tc>
        <w:tc>
          <w:tcPr>
            <w:tcW w:w="2520" w:type="dxa"/>
            <w:vAlign w:val="bottom"/>
          </w:tcPr>
          <w:p>
            <w:pPr>
              <w:ind w:left="580"/>
              <w:spacing w:after="0"/>
              <w:rPr>
                <w:sz w:val="20"/>
                <w:szCs w:val="20"/>
                <w:color w:val="auto"/>
              </w:rPr>
            </w:pPr>
            <w:r>
              <w:rPr>
                <w:rFonts w:ascii="Arial" w:cs="Arial" w:eastAsia="Arial" w:hAnsi="Arial"/>
                <w:sz w:val="16"/>
                <w:szCs w:val="16"/>
                <w:color w:val="auto"/>
              </w:rPr>
              <w:t>SRP</w:t>
            </w:r>
          </w:p>
        </w:tc>
        <w:tc>
          <w:tcPr>
            <w:tcW w:w="2920" w:type="dxa"/>
            <w:vAlign w:val="bottom"/>
          </w:tcPr>
          <w:p>
            <w:pPr>
              <w:jc w:val="right"/>
              <w:ind w:right="259"/>
              <w:spacing w:after="0"/>
              <w:rPr>
                <w:sz w:val="20"/>
                <w:szCs w:val="20"/>
                <w:color w:val="auto"/>
              </w:rPr>
            </w:pPr>
            <w:r>
              <w:rPr>
                <w:rFonts w:ascii="Arial" w:cs="Arial" w:eastAsia="Arial" w:hAnsi="Arial"/>
                <w:sz w:val="16"/>
                <w:szCs w:val="16"/>
                <w:color w:val="auto"/>
              </w:rPr>
              <w:t>28.8</w:t>
            </w:r>
          </w:p>
        </w:tc>
        <w:tc>
          <w:tcPr>
            <w:tcW w:w="1900" w:type="dxa"/>
            <w:vAlign w:val="bottom"/>
          </w:tcPr>
          <w:p>
            <w:pPr>
              <w:jc w:val="right"/>
              <w:ind w:right="239"/>
              <w:spacing w:after="0"/>
              <w:rPr>
                <w:sz w:val="20"/>
                <w:szCs w:val="20"/>
                <w:color w:val="auto"/>
              </w:rPr>
            </w:pPr>
            <w:r>
              <w:rPr>
                <w:rFonts w:ascii="Arial" w:cs="Arial" w:eastAsia="Arial" w:hAnsi="Arial"/>
                <w:sz w:val="16"/>
                <w:szCs w:val="16"/>
                <w:color w:val="auto"/>
              </w:rPr>
              <w:t>743,701</w:t>
            </w:r>
          </w:p>
        </w:tc>
        <w:tc>
          <w:tcPr>
            <w:tcW w:w="17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7"/>
        </w:trPr>
        <w:tc>
          <w:tcPr>
            <w:tcW w:w="226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tcPr>
          <w:p>
            <w:pPr>
              <w:ind w:left="580"/>
              <w:spacing w:after="0"/>
              <w:rPr>
                <w:sz w:val="20"/>
                <w:szCs w:val="20"/>
                <w:color w:val="auto"/>
              </w:rPr>
            </w:pPr>
            <w:r>
              <w:rPr>
                <w:rFonts w:ascii="Arial" w:cs="Arial" w:eastAsia="Arial" w:hAnsi="Arial"/>
                <w:sz w:val="16"/>
                <w:szCs w:val="16"/>
                <w:color w:val="auto"/>
              </w:rPr>
              <w:t>DB ERP</w:t>
            </w:r>
          </w:p>
        </w:tc>
        <w:tc>
          <w:tcPr>
            <w:tcW w:w="29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28.8</w:t>
            </w:r>
          </w:p>
        </w:tc>
        <w:tc>
          <w:tcPr>
            <w:tcW w:w="19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554,546</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2260" w:type="dxa"/>
            <w:vAlign w:val="bottom"/>
            <w:tcBorders>
              <w:bottom w:val="single" w:sz="8" w:color="08228B"/>
            </w:tcBorders>
          </w:tcPr>
          <w:p>
            <w:pPr>
              <w:ind w:left="60"/>
              <w:spacing w:after="0" w:line="223" w:lineRule="exact"/>
              <w:rPr>
                <w:sz w:val="20"/>
                <w:szCs w:val="20"/>
                <w:color w:val="auto"/>
              </w:rPr>
            </w:pPr>
            <w:r>
              <w:rPr>
                <w:rFonts w:ascii="Arial" w:cs="Arial" w:eastAsia="Arial" w:hAnsi="Arial"/>
                <w:sz w:val="15"/>
                <w:szCs w:val="15"/>
                <w:color w:val="auto"/>
              </w:rPr>
              <w:t>Craig B. Glidden</w:t>
            </w:r>
            <w:r>
              <w:rPr>
                <w:rFonts w:ascii="Arial" w:cs="Arial" w:eastAsia="Arial" w:hAnsi="Arial"/>
                <w:sz w:val="25"/>
                <w:szCs w:val="25"/>
                <w:color w:val="auto"/>
                <w:vertAlign w:val="superscript"/>
              </w:rPr>
              <w:t>(3)</w:t>
            </w:r>
          </w:p>
        </w:tc>
        <w:tc>
          <w:tcPr>
            <w:tcW w:w="2520" w:type="dxa"/>
            <w:vAlign w:val="bottom"/>
            <w:tcBorders>
              <w:bottom w:val="single" w:sz="8" w:color="08228B"/>
            </w:tcBorders>
          </w:tcPr>
          <w:p>
            <w:pPr>
              <w:spacing w:after="0"/>
              <w:rPr>
                <w:sz w:val="20"/>
                <w:szCs w:val="20"/>
                <w:color w:val="auto"/>
              </w:rPr>
            </w:pPr>
          </w:p>
        </w:tc>
        <w:tc>
          <w:tcPr>
            <w:tcW w:w="2920" w:type="dxa"/>
            <w:vAlign w:val="bottom"/>
            <w:tcBorders>
              <w:bottom w:val="single" w:sz="8" w:color="08228B"/>
            </w:tcBorders>
          </w:tcPr>
          <w:p>
            <w:pPr>
              <w:jc w:val="right"/>
              <w:ind w:right="259"/>
              <w:spacing w:after="0"/>
              <w:rPr>
                <w:sz w:val="20"/>
                <w:szCs w:val="20"/>
                <w:color w:val="auto"/>
              </w:rPr>
            </w:pPr>
            <w:r>
              <w:rPr>
                <w:rFonts w:ascii="Arial" w:cs="Arial" w:eastAsia="Arial" w:hAnsi="Arial"/>
                <w:sz w:val="16"/>
                <w:szCs w:val="16"/>
                <w:color w:val="auto"/>
              </w:rPr>
              <w:t>–</w:t>
            </w:r>
          </w:p>
        </w:tc>
        <w:tc>
          <w:tcPr>
            <w:tcW w:w="1900" w:type="dxa"/>
            <w:vAlign w:val="bottom"/>
            <w:tcBorders>
              <w:bottom w:val="single" w:sz="8" w:color="08228B"/>
            </w:tcBorders>
          </w:tcPr>
          <w:p>
            <w:pPr>
              <w:jc w:val="right"/>
              <w:ind w:right="239"/>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08228B"/>
            </w:tcBorders>
          </w:tcPr>
          <w:p>
            <w:pPr>
              <w:jc w:val="right"/>
              <w:spacing w:after="0"/>
              <w:rPr>
                <w:sz w:val="20"/>
                <w:szCs w:val="20"/>
                <w:color w:val="auto"/>
              </w:rPr>
            </w:pPr>
            <w:r>
              <w:rPr>
                <w:rFonts w:ascii="Arial" w:cs="Arial" w:eastAsia="Arial" w:hAnsi="Arial"/>
                <w:sz w:val="16"/>
                <w:szCs w:val="16"/>
                <w:color w:val="auto"/>
              </w:rPr>
              <w:t>–</w:t>
            </w:r>
          </w:p>
        </w:tc>
      </w:tr>
    </w:tbl>
    <w:p>
      <w:pPr>
        <w:spacing w:after="0" w:line="58" w:lineRule="exact"/>
        <w:rPr>
          <w:sz w:val="20"/>
          <w:szCs w:val="20"/>
          <w:color w:val="auto"/>
        </w:rPr>
      </w:pPr>
    </w:p>
    <w:p>
      <w:pPr>
        <w:ind w:left="340" w:hanging="332"/>
        <w:spacing w:after="0"/>
        <w:tabs>
          <w:tab w:leader="none" w:pos="340" w:val="left"/>
        </w:tabs>
        <w:numPr>
          <w:ilvl w:val="0"/>
          <w:numId w:val="104"/>
        </w:numPr>
        <w:rPr>
          <w:rFonts w:ascii="Arial" w:cs="Arial" w:eastAsia="Arial" w:hAnsi="Arial"/>
          <w:sz w:val="14"/>
          <w:szCs w:val="14"/>
          <w:i w:val="1"/>
          <w:iCs w:val="1"/>
          <w:color w:val="auto"/>
        </w:rPr>
      </w:pPr>
      <w:r>
        <w:rPr>
          <w:rFonts w:ascii="Arial" w:cs="Arial" w:eastAsia="Arial" w:hAnsi="Arial"/>
          <w:sz w:val="14"/>
          <w:szCs w:val="14"/>
          <w:i w:val="1"/>
          <w:iCs w:val="1"/>
          <w:color w:val="auto"/>
        </w:rPr>
        <w:t>Eligible service recognizes credited service under the frozen qualified SRP in addition to future service to determine retirement eligibility.</w:t>
      </w:r>
    </w:p>
    <w:p>
      <w:pPr>
        <w:spacing w:after="0" w:line="55" w:lineRule="exact"/>
        <w:rPr>
          <w:rFonts w:ascii="Arial" w:cs="Arial" w:eastAsia="Arial" w:hAnsi="Arial"/>
          <w:sz w:val="14"/>
          <w:szCs w:val="14"/>
          <w:i w:val="1"/>
          <w:iCs w:val="1"/>
          <w:color w:val="auto"/>
        </w:rPr>
      </w:pPr>
    </w:p>
    <w:p>
      <w:pPr>
        <w:jc w:val="both"/>
        <w:ind w:left="340" w:right="120" w:hanging="332"/>
        <w:spacing w:after="0" w:line="251" w:lineRule="auto"/>
        <w:tabs>
          <w:tab w:leader="none" w:pos="340" w:val="left"/>
        </w:tabs>
        <w:numPr>
          <w:ilvl w:val="0"/>
          <w:numId w:val="104"/>
        </w:numPr>
        <w:rPr>
          <w:rFonts w:ascii="Arial" w:cs="Arial" w:eastAsia="Arial" w:hAnsi="Arial"/>
          <w:sz w:val="14"/>
          <w:szCs w:val="14"/>
          <w:i w:val="1"/>
          <w:iCs w:val="1"/>
          <w:color w:val="auto"/>
        </w:rPr>
      </w:pPr>
      <w:r>
        <w:rPr>
          <w:rFonts w:ascii="Arial" w:cs="Arial" w:eastAsia="Arial" w:hAnsi="Arial"/>
          <w:sz w:val="14"/>
          <w:szCs w:val="14"/>
          <w:i w:val="1"/>
          <w:iCs w:val="1"/>
          <w:color w:val="auto"/>
        </w:rPr>
        <w:t>The present value of the SRP benefit amount shown takes into consideration the ability to elect a joint and survivor annuity form of payment. For SRP and DB ERP benefits, the present value represents the value of the benefit payable at age 60 (or immediately if over age 60). Benefits and present values reflect the provisions of the SRP and DB ERP as of December 31, 2015. Present values shown here are based on the mortality and discount rate assumptions used in the December 31, 2015, FASB ASC Section 718, “Compensation-Retirement Benefits” except where needed to meet proxy statement requirements. The discount rates used for the SRP are 4.43% for calculations as of December 31, 2015. The discount rates used for the ERP are 3.71% for calculations as of December 31, 2015.</w:t>
      </w:r>
    </w:p>
    <w:p>
      <w:pPr>
        <w:spacing w:after="0" w:line="22" w:lineRule="exact"/>
        <w:rPr>
          <w:rFonts w:ascii="Arial" w:cs="Arial" w:eastAsia="Arial" w:hAnsi="Arial"/>
          <w:sz w:val="14"/>
          <w:szCs w:val="14"/>
          <w:i w:val="1"/>
          <w:iCs w:val="1"/>
          <w:color w:val="auto"/>
        </w:rPr>
      </w:pPr>
    </w:p>
    <w:p>
      <w:pPr>
        <w:ind w:left="340" w:hanging="332"/>
        <w:spacing w:after="0"/>
        <w:tabs>
          <w:tab w:leader="none" w:pos="340" w:val="left"/>
        </w:tabs>
        <w:numPr>
          <w:ilvl w:val="0"/>
          <w:numId w:val="104"/>
        </w:numPr>
        <w:rPr>
          <w:rFonts w:ascii="Arial" w:cs="Arial" w:eastAsia="Arial" w:hAnsi="Arial"/>
          <w:sz w:val="14"/>
          <w:szCs w:val="14"/>
          <w:i w:val="1"/>
          <w:iCs w:val="1"/>
          <w:color w:val="auto"/>
        </w:rPr>
      </w:pPr>
      <w:r>
        <w:rPr>
          <w:rFonts w:ascii="Arial" w:cs="Arial" w:eastAsia="Arial" w:hAnsi="Arial"/>
          <w:sz w:val="14"/>
          <w:szCs w:val="14"/>
          <w:i w:val="1"/>
          <w:iCs w:val="1"/>
          <w:color w:val="auto"/>
        </w:rPr>
        <w:t>Mr. Ammann and Mr. Glidden are eligible to participate only in defined contribution plans offered by the Company.</w:t>
      </w:r>
    </w:p>
    <w:p>
      <w:pPr>
        <w:spacing w:after="0" w:line="322" w:lineRule="exact"/>
        <w:rPr>
          <w:sz w:val="20"/>
          <w:szCs w:val="20"/>
          <w:color w:val="auto"/>
        </w:rPr>
      </w:pPr>
    </w:p>
    <w:p>
      <w:pPr>
        <w:ind w:left="500" w:hanging="492"/>
        <w:spacing w:after="0"/>
        <w:tabs>
          <w:tab w:leader="none" w:pos="500" w:val="left"/>
        </w:tabs>
        <w:numPr>
          <w:ilvl w:val="0"/>
          <w:numId w:val="105"/>
        </w:numPr>
        <w:rPr>
          <w:rFonts w:ascii="Arial" w:cs="Arial" w:eastAsia="Arial" w:hAnsi="Arial"/>
          <w:sz w:val="25"/>
          <w:szCs w:val="25"/>
          <w:color w:val="08228B"/>
        </w:rPr>
      </w:pPr>
      <w:r>
        <w:rPr>
          <w:rFonts w:ascii="Arial" w:cs="Arial" w:eastAsia="Arial" w:hAnsi="Arial"/>
          <w:sz w:val="25"/>
          <w:szCs w:val="25"/>
          <w:color w:val="auto"/>
        </w:rPr>
        <w:t>Nonqualified Deferred Compensation</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We maintain certain deferred compensation programs and arrangements for executives, including the NEOs.</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color w:val="08228B"/>
        </w:rPr>
        <w:t xml:space="preserve">DC ERP </w:t>
      </w:r>
      <w:r>
        <w:rPr>
          <w:rFonts w:ascii="Arial" w:cs="Arial" w:eastAsia="Arial" w:hAnsi="Arial"/>
          <w:sz w:val="16"/>
          <w:szCs w:val="16"/>
          <w:color w:val="000000"/>
        </w:rPr>
        <w:t>– Allows for the equalization of benefits for highly compensated salaried employees under the RSP when such employees’ contribution and benefit</w:t>
      </w:r>
      <w:r>
        <w:rPr>
          <w:rFonts w:ascii="Arial" w:cs="Arial" w:eastAsia="Arial" w:hAnsi="Arial"/>
          <w:sz w:val="16"/>
          <w:szCs w:val="16"/>
          <w:b w:val="1"/>
          <w:bCs w:val="1"/>
          <w:color w:val="08228B"/>
        </w:rPr>
        <w:t xml:space="preserve"> </w:t>
      </w:r>
      <w:r>
        <w:rPr>
          <w:rFonts w:ascii="Arial" w:cs="Arial" w:eastAsia="Arial" w:hAnsi="Arial"/>
          <w:sz w:val="16"/>
          <w:szCs w:val="16"/>
          <w:color w:val="000000"/>
        </w:rPr>
        <w:t>levels exceed the maximum limitations on contributions and benefits imposed by Section 2004 of ERISA, as amended, and Section 401(a)(17) and 415 of the IRC, as amended. The DC ERP is maintained as an unfunded plan and we bear all expenses for administration of the plan and payment of amounts to participants.</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Aggregate account balances disclosed below include both vested and unvested contributions by GM. Contributions made prior to 2007 were vested immediately. Contributions made between January 1, 2007, and September 30, 2012, vest when the participant attains age 55 with 10 years of service. Contributions made on October 1, 2012, and later vest when the participant attains three years of service, regardless of age.</w:t>
      </w:r>
    </w:p>
    <w:p>
      <w:pPr>
        <w:spacing w:after="0" w:line="15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color w:val="08228B"/>
        </w:rPr>
        <w:t xml:space="preserve">Salary Stock Units (SSUs) </w:t>
      </w:r>
      <w:r>
        <w:rPr>
          <w:rFonts w:ascii="Arial" w:cs="Arial" w:eastAsia="Arial" w:hAnsi="Arial"/>
          <w:sz w:val="16"/>
          <w:szCs w:val="16"/>
          <w:color w:val="000000"/>
        </w:rPr>
        <w:t>– NEOs received a portion of their total annual compensation in the form of SSUs, which were granted each quarter while the</w:t>
      </w:r>
      <w:r>
        <w:rPr>
          <w:rFonts w:ascii="Arial" w:cs="Arial" w:eastAsia="Arial" w:hAnsi="Arial"/>
          <w:sz w:val="16"/>
          <w:szCs w:val="16"/>
          <w:b w:val="1"/>
          <w:bCs w:val="1"/>
          <w:color w:val="08228B"/>
        </w:rPr>
        <w:t xml:space="preserve"> </w:t>
      </w:r>
      <w:r>
        <w:rPr>
          <w:rFonts w:ascii="Arial" w:cs="Arial" w:eastAsia="Arial" w:hAnsi="Arial"/>
          <w:sz w:val="16"/>
          <w:szCs w:val="16"/>
          <w:color w:val="000000"/>
        </w:rPr>
        <w:t>Company was under TARP. SSUs are nonforfeitable and become deliverable quarterly in three equal installments at each of the first, second, and third anniversaries of the grant date. No SSUs have been granted since the Company exited TARP in 2013.</w:t>
      </w:r>
    </w:p>
    <w:p>
      <w:pPr>
        <w:spacing w:after="0" w:line="16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table below reflects December 31, 2015, balances for the various nonqualified deferred compensation plans, including vested but unpaid SSUs, based on the closing price of common stock ($34.01), and any contributions, earnings, and withdrawals during the year.</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13"/>
        </w:trPr>
        <w:tc>
          <w:tcPr>
            <w:tcW w:w="4340" w:type="dxa"/>
            <w:vAlign w:val="bottom"/>
            <w:tcBorders>
              <w:bottom w:val="single" w:sz="8" w:color="08228B"/>
            </w:tcBorders>
          </w:tcPr>
          <w:p>
            <w:pPr>
              <w:spacing w:after="0"/>
              <w:rPr>
                <w:sz w:val="9"/>
                <w:szCs w:val="9"/>
                <w:color w:val="auto"/>
              </w:rPr>
            </w:pPr>
          </w:p>
        </w:tc>
        <w:tc>
          <w:tcPr>
            <w:tcW w:w="2060" w:type="dxa"/>
            <w:vAlign w:val="bottom"/>
            <w:vMerge w:val="restart"/>
          </w:tcPr>
          <w:p>
            <w:pPr>
              <w:ind w:left="60"/>
              <w:spacing w:after="0"/>
              <w:rPr>
                <w:sz w:val="20"/>
                <w:szCs w:val="20"/>
                <w:color w:val="auto"/>
              </w:rPr>
            </w:pPr>
            <w:r>
              <w:rPr>
                <w:rFonts w:ascii="Arial" w:cs="Arial" w:eastAsia="Arial" w:hAnsi="Arial"/>
                <w:sz w:val="16"/>
                <w:szCs w:val="16"/>
                <w:b w:val="1"/>
                <w:bCs w:val="1"/>
                <w:color w:val="1C90D3"/>
              </w:rPr>
              <w:t xml:space="preserve">2016 </w:t>
            </w:r>
            <w:r>
              <w:rPr>
                <w:rFonts w:ascii="Arial" w:cs="Arial" w:eastAsia="Arial" w:hAnsi="Arial"/>
                <w:sz w:val="16"/>
                <w:szCs w:val="16"/>
                <w:color w:val="08228B"/>
              </w:rPr>
              <w:t>PROXY STATEMENT</w:t>
            </w:r>
          </w:p>
        </w:tc>
        <w:tc>
          <w:tcPr>
            <w:tcW w:w="2400" w:type="dxa"/>
            <w:vAlign w:val="bottom"/>
            <w:tcBorders>
              <w:bottom w:val="single" w:sz="8" w:color="08228B"/>
            </w:tcBorders>
          </w:tcPr>
          <w:p>
            <w:pPr>
              <w:spacing w:after="0"/>
              <w:rPr>
                <w:sz w:val="9"/>
                <w:szCs w:val="9"/>
                <w:color w:val="auto"/>
              </w:rPr>
            </w:pPr>
          </w:p>
        </w:tc>
        <w:tc>
          <w:tcPr>
            <w:tcW w:w="2620" w:type="dxa"/>
            <w:vAlign w:val="bottom"/>
            <w:vMerge w:val="restart"/>
          </w:tcPr>
          <w:p>
            <w:pPr>
              <w:jc w:val="right"/>
              <w:ind w:right="39"/>
              <w:spacing w:after="0"/>
              <w:rPr>
                <w:sz w:val="20"/>
                <w:szCs w:val="20"/>
                <w:color w:val="auto"/>
              </w:rPr>
            </w:pPr>
            <w:r>
              <w:rPr>
                <w:rFonts w:ascii="Arial" w:cs="Arial" w:eastAsia="Arial" w:hAnsi="Arial"/>
                <w:sz w:val="16"/>
                <w:szCs w:val="16"/>
                <w:color w:val="08228B"/>
              </w:rPr>
              <w:t>59</w:t>
            </w:r>
          </w:p>
        </w:tc>
        <w:tc>
          <w:tcPr>
            <w:tcW w:w="0" w:type="dxa"/>
            <w:vAlign w:val="bottom"/>
          </w:tcPr>
          <w:p>
            <w:pPr>
              <w:spacing w:after="0"/>
              <w:rPr>
                <w:sz w:val="1"/>
                <w:szCs w:val="1"/>
                <w:color w:val="auto"/>
              </w:rPr>
            </w:pPr>
          </w:p>
        </w:tc>
      </w:tr>
      <w:tr>
        <w:trPr>
          <w:trHeight w:val="82"/>
        </w:trPr>
        <w:tc>
          <w:tcPr>
            <w:tcW w:w="4340" w:type="dxa"/>
            <w:vAlign w:val="bottom"/>
          </w:tcPr>
          <w:p>
            <w:pPr>
              <w:spacing w:after="0"/>
              <w:rPr>
                <w:sz w:val="7"/>
                <w:szCs w:val="7"/>
                <w:color w:val="auto"/>
              </w:rPr>
            </w:pPr>
          </w:p>
        </w:tc>
        <w:tc>
          <w:tcPr>
            <w:tcW w:w="2060" w:type="dxa"/>
            <w:vAlign w:val="bottom"/>
            <w:vMerge w:val="continue"/>
          </w:tcPr>
          <w:p>
            <w:pPr>
              <w:spacing w:after="0"/>
              <w:rPr>
                <w:sz w:val="7"/>
                <w:szCs w:val="7"/>
                <w:color w:val="auto"/>
              </w:rPr>
            </w:pPr>
          </w:p>
        </w:tc>
        <w:tc>
          <w:tcPr>
            <w:tcW w:w="2400" w:type="dxa"/>
            <w:vAlign w:val="bottom"/>
          </w:tcPr>
          <w:p>
            <w:pPr>
              <w:spacing w:after="0"/>
              <w:rPr>
                <w:sz w:val="7"/>
                <w:szCs w:val="7"/>
                <w:color w:val="auto"/>
              </w:rPr>
            </w:pPr>
          </w:p>
        </w:tc>
        <w:tc>
          <w:tcPr>
            <w:tcW w:w="2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7"/>
        </w:trPr>
        <w:tc>
          <w:tcPr>
            <w:tcW w:w="4340" w:type="dxa"/>
            <w:vAlign w:val="bottom"/>
            <w:tcBorders>
              <w:bottom w:val="single" w:sz="8" w:color="C0C0C0"/>
            </w:tcBorders>
          </w:tcPr>
          <w:p>
            <w:pPr>
              <w:spacing w:after="0"/>
              <w:rPr>
                <w:sz w:val="24"/>
                <w:szCs w:val="24"/>
                <w:color w:val="auto"/>
              </w:rPr>
            </w:pPr>
          </w:p>
        </w:tc>
        <w:tc>
          <w:tcPr>
            <w:tcW w:w="2060" w:type="dxa"/>
            <w:vAlign w:val="bottom"/>
            <w:tcBorders>
              <w:bottom w:val="single" w:sz="8" w:color="C0C0C0"/>
            </w:tcBorders>
          </w:tcPr>
          <w:p>
            <w:pPr>
              <w:spacing w:after="0"/>
              <w:rPr>
                <w:sz w:val="24"/>
                <w:szCs w:val="24"/>
                <w:color w:val="auto"/>
              </w:rPr>
            </w:pPr>
          </w:p>
        </w:tc>
        <w:tc>
          <w:tcPr>
            <w:tcW w:w="2400" w:type="dxa"/>
            <w:vAlign w:val="bottom"/>
            <w:tcBorders>
              <w:bottom w:val="single" w:sz="8" w:color="C0C0C0"/>
            </w:tcBorders>
          </w:tcPr>
          <w:p>
            <w:pPr>
              <w:spacing w:after="0"/>
              <w:rPr>
                <w:sz w:val="24"/>
                <w:szCs w:val="24"/>
                <w:color w:val="auto"/>
              </w:rPr>
            </w:pPr>
          </w:p>
        </w:tc>
        <w:tc>
          <w:tcPr>
            <w:tcW w:w="262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5613400</wp:posOffset>
            </wp:positionH>
            <wp:positionV relativeFrom="paragraph">
              <wp:posOffset>-334010</wp:posOffset>
            </wp:positionV>
            <wp:extent cx="1286510" cy="8572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1286510" cy="8572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Back to Contents</w:t>
        </w:r>
      </w:hyperlink>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20" w:type="dxa"/>
            <w:vAlign w:val="bottom"/>
            <w:tcBorders>
              <w:top w:val="single" w:sz="8" w:color="1C90D3"/>
            </w:tcBorders>
          </w:tcPr>
          <w:p>
            <w:pPr>
              <w:spacing w:after="0"/>
              <w:rPr>
                <w:sz w:val="19"/>
                <w:szCs w:val="19"/>
                <w:color w:val="auto"/>
              </w:rPr>
            </w:pPr>
          </w:p>
        </w:tc>
        <w:tc>
          <w:tcPr>
            <w:tcW w:w="1440" w:type="dxa"/>
            <w:vAlign w:val="bottom"/>
            <w:tcBorders>
              <w:top w:val="single" w:sz="8" w:color="1C90D3"/>
            </w:tcBorders>
          </w:tcPr>
          <w:p>
            <w:pPr>
              <w:spacing w:after="0"/>
              <w:rPr>
                <w:sz w:val="19"/>
                <w:szCs w:val="19"/>
                <w:color w:val="auto"/>
              </w:rPr>
            </w:pPr>
          </w:p>
        </w:tc>
        <w:tc>
          <w:tcPr>
            <w:tcW w:w="1740" w:type="dxa"/>
            <w:vAlign w:val="bottom"/>
            <w:tcBorders>
              <w:top w:val="single" w:sz="8" w:color="1C90D3"/>
            </w:tcBorders>
          </w:tcPr>
          <w:p>
            <w:pPr>
              <w:spacing w:after="0"/>
              <w:rPr>
                <w:sz w:val="19"/>
                <w:szCs w:val="19"/>
                <w:color w:val="auto"/>
              </w:rPr>
            </w:pPr>
          </w:p>
        </w:tc>
        <w:tc>
          <w:tcPr>
            <w:tcW w:w="1480" w:type="dxa"/>
            <w:vAlign w:val="bottom"/>
            <w:tcBorders>
              <w:top w:val="single" w:sz="8" w:color="1C90D3"/>
            </w:tcBorders>
          </w:tcPr>
          <w:p>
            <w:pPr>
              <w:jc w:val="right"/>
              <w:ind w:right="139"/>
              <w:spacing w:after="0"/>
              <w:rPr>
                <w:sz w:val="20"/>
                <w:szCs w:val="20"/>
                <w:color w:val="auto"/>
              </w:rPr>
            </w:pPr>
            <w:r>
              <w:rPr>
                <w:rFonts w:ascii="Arial" w:cs="Arial" w:eastAsia="Arial" w:hAnsi="Arial"/>
                <w:sz w:val="16"/>
                <w:szCs w:val="16"/>
                <w:b w:val="1"/>
                <w:bCs w:val="1"/>
                <w:color w:val="1C90D3"/>
              </w:rPr>
              <w:t>Registrant</w:t>
            </w:r>
          </w:p>
        </w:tc>
        <w:tc>
          <w:tcPr>
            <w:tcW w:w="1500" w:type="dxa"/>
            <w:vAlign w:val="bottom"/>
            <w:tcBorders>
              <w:top w:val="single" w:sz="8" w:color="1C90D3"/>
            </w:tcBorders>
          </w:tcPr>
          <w:p>
            <w:pPr>
              <w:jc w:val="right"/>
              <w:ind w:right="179"/>
              <w:spacing w:after="0"/>
              <w:rPr>
                <w:sz w:val="20"/>
                <w:szCs w:val="20"/>
                <w:color w:val="auto"/>
              </w:rPr>
            </w:pPr>
            <w:r>
              <w:rPr>
                <w:rFonts w:ascii="Arial" w:cs="Arial" w:eastAsia="Arial" w:hAnsi="Arial"/>
                <w:sz w:val="16"/>
                <w:szCs w:val="16"/>
                <w:b w:val="1"/>
                <w:bCs w:val="1"/>
                <w:color w:val="1C90D3"/>
              </w:rPr>
              <w:t>Aggregate</w:t>
            </w:r>
          </w:p>
        </w:tc>
        <w:tc>
          <w:tcPr>
            <w:tcW w:w="1640" w:type="dxa"/>
            <w:vAlign w:val="bottom"/>
            <w:tcBorders>
              <w:top w:val="single" w:sz="8" w:color="1C90D3"/>
            </w:tcBorders>
          </w:tcPr>
          <w:p>
            <w:pPr>
              <w:jc w:val="right"/>
              <w:ind w:right="119"/>
              <w:spacing w:after="0"/>
              <w:rPr>
                <w:sz w:val="20"/>
                <w:szCs w:val="20"/>
                <w:color w:val="auto"/>
              </w:rPr>
            </w:pPr>
            <w:r>
              <w:rPr>
                <w:rFonts w:ascii="Arial" w:cs="Arial" w:eastAsia="Arial" w:hAnsi="Arial"/>
                <w:sz w:val="16"/>
                <w:szCs w:val="16"/>
                <w:b w:val="1"/>
                <w:bCs w:val="1"/>
                <w:color w:val="1C90D3"/>
              </w:rPr>
              <w:t>Aggregate</w:t>
            </w:r>
          </w:p>
        </w:tc>
        <w:tc>
          <w:tcPr>
            <w:tcW w:w="1480" w:type="dxa"/>
            <w:vAlign w:val="bottom"/>
            <w:tcBorders>
              <w:top w:val="single" w:sz="8" w:color="1C90D3"/>
            </w:tcBorders>
          </w:tcPr>
          <w:p>
            <w:pPr>
              <w:spacing w:after="0"/>
              <w:rPr>
                <w:sz w:val="19"/>
                <w:szCs w:val="19"/>
                <w:color w:val="auto"/>
              </w:rPr>
            </w:pPr>
          </w:p>
        </w:tc>
      </w:tr>
      <w:tr>
        <w:trPr>
          <w:trHeight w:val="203"/>
        </w:trPr>
        <w:tc>
          <w:tcPr>
            <w:tcW w:w="20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740" w:type="dxa"/>
            <w:vAlign w:val="bottom"/>
          </w:tcPr>
          <w:p>
            <w:pPr>
              <w:jc w:val="right"/>
              <w:ind w:right="119"/>
              <w:spacing w:after="0"/>
              <w:rPr>
                <w:sz w:val="20"/>
                <w:szCs w:val="20"/>
                <w:color w:val="auto"/>
              </w:rPr>
            </w:pPr>
            <w:r>
              <w:rPr>
                <w:rFonts w:ascii="Arial" w:cs="Arial" w:eastAsia="Arial" w:hAnsi="Arial"/>
                <w:sz w:val="16"/>
                <w:szCs w:val="16"/>
                <w:b w:val="1"/>
                <w:bCs w:val="1"/>
                <w:color w:val="1C90D3"/>
              </w:rPr>
              <w:t>Executive</w:t>
            </w:r>
          </w:p>
        </w:tc>
        <w:tc>
          <w:tcPr>
            <w:tcW w:w="1480" w:type="dxa"/>
            <w:vAlign w:val="bottom"/>
          </w:tcPr>
          <w:p>
            <w:pPr>
              <w:jc w:val="right"/>
              <w:ind w:right="139"/>
              <w:spacing w:after="0"/>
              <w:rPr>
                <w:sz w:val="20"/>
                <w:szCs w:val="20"/>
                <w:color w:val="auto"/>
              </w:rPr>
            </w:pPr>
            <w:r>
              <w:rPr>
                <w:rFonts w:ascii="Arial" w:cs="Arial" w:eastAsia="Arial" w:hAnsi="Arial"/>
                <w:sz w:val="16"/>
                <w:szCs w:val="16"/>
                <w:b w:val="1"/>
                <w:bCs w:val="1"/>
                <w:color w:val="1C90D3"/>
              </w:rPr>
              <w:t>Contributions</w:t>
            </w:r>
          </w:p>
        </w:tc>
        <w:tc>
          <w:tcPr>
            <w:tcW w:w="1500" w:type="dxa"/>
            <w:vAlign w:val="bottom"/>
          </w:tcPr>
          <w:p>
            <w:pPr>
              <w:jc w:val="right"/>
              <w:ind w:right="179"/>
              <w:spacing w:after="0"/>
              <w:rPr>
                <w:sz w:val="20"/>
                <w:szCs w:val="20"/>
                <w:color w:val="auto"/>
              </w:rPr>
            </w:pPr>
            <w:r>
              <w:rPr>
                <w:rFonts w:ascii="Arial" w:cs="Arial" w:eastAsia="Arial" w:hAnsi="Arial"/>
                <w:sz w:val="16"/>
                <w:szCs w:val="16"/>
                <w:b w:val="1"/>
                <w:bCs w:val="1"/>
                <w:color w:val="1C90D3"/>
              </w:rPr>
              <w:t>Earnings</w:t>
            </w:r>
          </w:p>
        </w:tc>
        <w:tc>
          <w:tcPr>
            <w:tcW w:w="1640" w:type="dxa"/>
            <w:vAlign w:val="bottom"/>
          </w:tcPr>
          <w:p>
            <w:pPr>
              <w:jc w:val="right"/>
              <w:ind w:right="119"/>
              <w:spacing w:after="0"/>
              <w:rPr>
                <w:sz w:val="20"/>
                <w:szCs w:val="20"/>
                <w:color w:val="auto"/>
              </w:rPr>
            </w:pPr>
            <w:r>
              <w:rPr>
                <w:rFonts w:ascii="Arial" w:cs="Arial" w:eastAsia="Arial" w:hAnsi="Arial"/>
                <w:sz w:val="16"/>
                <w:szCs w:val="16"/>
                <w:b w:val="1"/>
                <w:bCs w:val="1"/>
                <w:color w:val="1C90D3"/>
              </w:rPr>
              <w:t>Withdrawals</w:t>
            </w:r>
          </w:p>
        </w:tc>
        <w:tc>
          <w:tcPr>
            <w:tcW w:w="1480" w:type="dxa"/>
            <w:vAlign w:val="bottom"/>
          </w:tcPr>
          <w:p>
            <w:pPr>
              <w:jc w:val="right"/>
              <w:spacing w:after="0"/>
              <w:rPr>
                <w:sz w:val="20"/>
                <w:szCs w:val="20"/>
                <w:color w:val="auto"/>
              </w:rPr>
            </w:pPr>
            <w:r>
              <w:rPr>
                <w:rFonts w:ascii="Arial" w:cs="Arial" w:eastAsia="Arial" w:hAnsi="Arial"/>
                <w:sz w:val="16"/>
                <w:szCs w:val="16"/>
                <w:b w:val="1"/>
                <w:bCs w:val="1"/>
                <w:color w:val="1C90D3"/>
              </w:rPr>
              <w:t>Aggregate</w:t>
            </w:r>
          </w:p>
        </w:tc>
      </w:tr>
      <w:tr>
        <w:trPr>
          <w:trHeight w:val="191"/>
        </w:trPr>
        <w:tc>
          <w:tcPr>
            <w:tcW w:w="20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740" w:type="dxa"/>
            <w:vAlign w:val="bottom"/>
          </w:tcPr>
          <w:p>
            <w:pPr>
              <w:jc w:val="right"/>
              <w:ind w:right="119"/>
              <w:spacing w:after="0"/>
              <w:rPr>
                <w:sz w:val="20"/>
                <w:szCs w:val="20"/>
                <w:color w:val="auto"/>
              </w:rPr>
            </w:pPr>
            <w:r>
              <w:rPr>
                <w:rFonts w:ascii="Arial" w:cs="Arial" w:eastAsia="Arial" w:hAnsi="Arial"/>
                <w:sz w:val="16"/>
                <w:szCs w:val="16"/>
                <w:b w:val="1"/>
                <w:bCs w:val="1"/>
                <w:color w:val="1C90D3"/>
              </w:rPr>
              <w:t>Contributions</w:t>
            </w:r>
          </w:p>
        </w:tc>
        <w:tc>
          <w:tcPr>
            <w:tcW w:w="1480" w:type="dxa"/>
            <w:vAlign w:val="bottom"/>
          </w:tcPr>
          <w:p>
            <w:pPr>
              <w:jc w:val="right"/>
              <w:ind w:right="139"/>
              <w:spacing w:after="0"/>
              <w:rPr>
                <w:sz w:val="20"/>
                <w:szCs w:val="20"/>
                <w:color w:val="auto"/>
              </w:rPr>
            </w:pPr>
            <w:r>
              <w:rPr>
                <w:rFonts w:ascii="Arial" w:cs="Arial" w:eastAsia="Arial" w:hAnsi="Arial"/>
                <w:sz w:val="16"/>
                <w:szCs w:val="16"/>
                <w:b w:val="1"/>
                <w:bCs w:val="1"/>
                <w:color w:val="1C90D3"/>
              </w:rPr>
              <w:t>in the Last</w:t>
            </w:r>
          </w:p>
        </w:tc>
        <w:tc>
          <w:tcPr>
            <w:tcW w:w="1500" w:type="dxa"/>
            <w:vAlign w:val="bottom"/>
          </w:tcPr>
          <w:p>
            <w:pPr>
              <w:jc w:val="right"/>
              <w:ind w:right="179"/>
              <w:spacing w:after="0"/>
              <w:rPr>
                <w:sz w:val="20"/>
                <w:szCs w:val="20"/>
                <w:color w:val="auto"/>
              </w:rPr>
            </w:pPr>
            <w:r>
              <w:rPr>
                <w:rFonts w:ascii="Arial" w:cs="Arial" w:eastAsia="Arial" w:hAnsi="Arial"/>
                <w:sz w:val="16"/>
                <w:szCs w:val="16"/>
                <w:b w:val="1"/>
                <w:bCs w:val="1"/>
                <w:color w:val="1C90D3"/>
              </w:rPr>
              <w:t>in the Last</w:t>
            </w:r>
          </w:p>
        </w:tc>
        <w:tc>
          <w:tcPr>
            <w:tcW w:w="1640" w:type="dxa"/>
            <w:vAlign w:val="bottom"/>
          </w:tcPr>
          <w:p>
            <w:pPr>
              <w:jc w:val="right"/>
              <w:ind w:right="119"/>
              <w:spacing w:after="0"/>
              <w:rPr>
                <w:sz w:val="20"/>
                <w:szCs w:val="20"/>
                <w:color w:val="auto"/>
              </w:rPr>
            </w:pPr>
            <w:r>
              <w:rPr>
                <w:rFonts w:ascii="Arial" w:cs="Arial" w:eastAsia="Arial" w:hAnsi="Arial"/>
                <w:sz w:val="16"/>
                <w:szCs w:val="16"/>
                <w:b w:val="1"/>
                <w:bCs w:val="1"/>
                <w:color w:val="1C90D3"/>
              </w:rPr>
              <w:t>and</w:t>
            </w:r>
          </w:p>
        </w:tc>
        <w:tc>
          <w:tcPr>
            <w:tcW w:w="1480" w:type="dxa"/>
            <w:vAlign w:val="bottom"/>
          </w:tcPr>
          <w:p>
            <w:pPr>
              <w:jc w:val="right"/>
              <w:spacing w:after="0"/>
              <w:rPr>
                <w:sz w:val="20"/>
                <w:szCs w:val="20"/>
                <w:color w:val="auto"/>
              </w:rPr>
            </w:pPr>
            <w:r>
              <w:rPr>
                <w:rFonts w:ascii="Arial" w:cs="Arial" w:eastAsia="Arial" w:hAnsi="Arial"/>
                <w:sz w:val="16"/>
                <w:szCs w:val="16"/>
                <w:b w:val="1"/>
                <w:bCs w:val="1"/>
                <w:color w:val="1C90D3"/>
              </w:rPr>
              <w:t>Balance at 2015</w:t>
            </w:r>
          </w:p>
        </w:tc>
      </w:tr>
      <w:tr>
        <w:trPr>
          <w:trHeight w:val="228"/>
        </w:trPr>
        <w:tc>
          <w:tcPr>
            <w:tcW w:w="20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740" w:type="dxa"/>
            <w:vAlign w:val="bottom"/>
          </w:tcPr>
          <w:p>
            <w:pPr>
              <w:jc w:val="right"/>
              <w:ind w:right="119"/>
              <w:spacing w:after="0"/>
              <w:rPr>
                <w:sz w:val="20"/>
                <w:szCs w:val="20"/>
                <w:color w:val="auto"/>
              </w:rPr>
            </w:pPr>
            <w:r>
              <w:rPr>
                <w:rFonts w:ascii="Arial" w:cs="Arial" w:eastAsia="Arial" w:hAnsi="Arial"/>
                <w:sz w:val="16"/>
                <w:szCs w:val="16"/>
                <w:b w:val="1"/>
                <w:bCs w:val="1"/>
                <w:color w:val="1C90D3"/>
              </w:rPr>
              <w:t>in the Last</w:t>
            </w:r>
          </w:p>
        </w:tc>
        <w:tc>
          <w:tcPr>
            <w:tcW w:w="1480" w:type="dxa"/>
            <w:vAlign w:val="bottom"/>
          </w:tcPr>
          <w:p>
            <w:pPr>
              <w:jc w:val="right"/>
              <w:ind w:right="139"/>
              <w:spacing w:after="0" w:line="228" w:lineRule="exact"/>
              <w:rPr>
                <w:sz w:val="20"/>
                <w:szCs w:val="20"/>
                <w:color w:val="auto"/>
              </w:rPr>
            </w:pPr>
            <w:r>
              <w:rPr>
                <w:rFonts w:ascii="Arial" w:cs="Arial" w:eastAsia="Arial" w:hAnsi="Arial"/>
                <w:sz w:val="16"/>
                <w:szCs w:val="16"/>
                <w:b w:val="1"/>
                <w:bCs w:val="1"/>
                <w:color w:val="1C90D3"/>
              </w:rPr>
              <w:t>Fiscal Year</w:t>
            </w:r>
            <w:r>
              <w:rPr>
                <w:rFonts w:ascii="Arial" w:cs="Arial" w:eastAsia="Arial" w:hAnsi="Arial"/>
                <w:sz w:val="26"/>
                <w:szCs w:val="26"/>
                <w:b w:val="1"/>
                <w:bCs w:val="1"/>
                <w:color w:val="1C90D3"/>
                <w:vertAlign w:val="superscript"/>
              </w:rPr>
              <w:t>(1)</w:t>
            </w:r>
          </w:p>
        </w:tc>
        <w:tc>
          <w:tcPr>
            <w:tcW w:w="1500" w:type="dxa"/>
            <w:vAlign w:val="bottom"/>
          </w:tcPr>
          <w:p>
            <w:pPr>
              <w:jc w:val="right"/>
              <w:ind w:right="179"/>
              <w:spacing w:after="0" w:line="228" w:lineRule="exact"/>
              <w:rPr>
                <w:sz w:val="20"/>
                <w:szCs w:val="20"/>
                <w:color w:val="auto"/>
              </w:rPr>
            </w:pPr>
            <w:r>
              <w:rPr>
                <w:rFonts w:ascii="Arial" w:cs="Arial" w:eastAsia="Arial" w:hAnsi="Arial"/>
                <w:sz w:val="16"/>
                <w:szCs w:val="16"/>
                <w:b w:val="1"/>
                <w:bCs w:val="1"/>
                <w:color w:val="1C90D3"/>
              </w:rPr>
              <w:t>Fiscal Year</w:t>
            </w:r>
            <w:r>
              <w:rPr>
                <w:rFonts w:ascii="Arial" w:cs="Arial" w:eastAsia="Arial" w:hAnsi="Arial"/>
                <w:sz w:val="26"/>
                <w:szCs w:val="26"/>
                <w:b w:val="1"/>
                <w:bCs w:val="1"/>
                <w:color w:val="1C90D3"/>
                <w:vertAlign w:val="superscript"/>
              </w:rPr>
              <w:t>(2)</w:t>
            </w:r>
          </w:p>
        </w:tc>
        <w:tc>
          <w:tcPr>
            <w:tcW w:w="1640" w:type="dxa"/>
            <w:vAlign w:val="bottom"/>
          </w:tcPr>
          <w:p>
            <w:pPr>
              <w:jc w:val="right"/>
              <w:ind w:right="119"/>
              <w:spacing w:after="0" w:line="228" w:lineRule="exact"/>
              <w:rPr>
                <w:sz w:val="20"/>
                <w:szCs w:val="20"/>
                <w:color w:val="auto"/>
              </w:rPr>
            </w:pPr>
            <w:r>
              <w:rPr>
                <w:rFonts w:ascii="Arial" w:cs="Arial" w:eastAsia="Arial" w:hAnsi="Arial"/>
                <w:sz w:val="16"/>
                <w:szCs w:val="16"/>
                <w:b w:val="1"/>
                <w:bCs w:val="1"/>
                <w:color w:val="1C90D3"/>
              </w:rPr>
              <w:t>Distributions</w:t>
            </w:r>
            <w:r>
              <w:rPr>
                <w:rFonts w:ascii="Arial" w:cs="Arial" w:eastAsia="Arial" w:hAnsi="Arial"/>
                <w:sz w:val="26"/>
                <w:szCs w:val="26"/>
                <w:b w:val="1"/>
                <w:bCs w:val="1"/>
                <w:color w:val="1C90D3"/>
                <w:vertAlign w:val="superscript"/>
              </w:rPr>
              <w:t>(3)</w:t>
            </w:r>
          </w:p>
        </w:tc>
        <w:tc>
          <w:tcPr>
            <w:tcW w:w="1480" w:type="dxa"/>
            <w:vAlign w:val="bottom"/>
          </w:tcPr>
          <w:p>
            <w:pPr>
              <w:jc w:val="right"/>
              <w:spacing w:after="0"/>
              <w:rPr>
                <w:sz w:val="20"/>
                <w:szCs w:val="20"/>
                <w:color w:val="auto"/>
              </w:rPr>
            </w:pPr>
            <w:r>
              <w:rPr>
                <w:rFonts w:ascii="Arial" w:cs="Arial" w:eastAsia="Arial" w:hAnsi="Arial"/>
                <w:sz w:val="16"/>
                <w:szCs w:val="16"/>
                <w:b w:val="1"/>
                <w:bCs w:val="1"/>
                <w:color w:val="1C90D3"/>
              </w:rPr>
              <w:t>Fiscal Year End</w:t>
            </w:r>
          </w:p>
        </w:tc>
      </w:tr>
      <w:tr>
        <w:trPr>
          <w:trHeight w:val="214"/>
        </w:trPr>
        <w:tc>
          <w:tcPr>
            <w:tcW w:w="2020" w:type="dxa"/>
            <w:vAlign w:val="bottom"/>
            <w:tcBorders>
              <w:bottom w:val="single" w:sz="8" w:color="1C90D3"/>
            </w:tcBorders>
          </w:tcPr>
          <w:p>
            <w:pPr>
              <w:ind w:left="60"/>
              <w:spacing w:after="0"/>
              <w:rPr>
                <w:sz w:val="20"/>
                <w:szCs w:val="20"/>
                <w:color w:val="auto"/>
              </w:rPr>
            </w:pPr>
            <w:r>
              <w:rPr>
                <w:rFonts w:ascii="Arial" w:cs="Arial" w:eastAsia="Arial" w:hAnsi="Arial"/>
                <w:sz w:val="16"/>
                <w:szCs w:val="16"/>
                <w:b w:val="1"/>
                <w:bCs w:val="1"/>
                <w:color w:val="1C90D3"/>
              </w:rPr>
              <w:t>Name</w:t>
            </w:r>
          </w:p>
        </w:tc>
        <w:tc>
          <w:tcPr>
            <w:tcW w:w="1440" w:type="dxa"/>
            <w:vAlign w:val="bottom"/>
            <w:tcBorders>
              <w:bottom w:val="single" w:sz="8" w:color="1C90D3"/>
            </w:tcBorders>
          </w:tcPr>
          <w:p>
            <w:pPr>
              <w:ind w:left="360"/>
              <w:spacing w:after="0"/>
              <w:rPr>
                <w:sz w:val="20"/>
                <w:szCs w:val="20"/>
                <w:color w:val="auto"/>
              </w:rPr>
            </w:pPr>
            <w:r>
              <w:rPr>
                <w:rFonts w:ascii="Arial" w:cs="Arial" w:eastAsia="Arial" w:hAnsi="Arial"/>
                <w:sz w:val="16"/>
                <w:szCs w:val="16"/>
                <w:b w:val="1"/>
                <w:bCs w:val="1"/>
                <w:color w:val="1C90D3"/>
              </w:rPr>
              <w:t>Plan</w:t>
            </w:r>
          </w:p>
        </w:tc>
        <w:tc>
          <w:tcPr>
            <w:tcW w:w="1740" w:type="dxa"/>
            <w:vAlign w:val="bottom"/>
            <w:tcBorders>
              <w:bottom w:val="single" w:sz="8" w:color="1C90D3"/>
            </w:tcBorders>
          </w:tcPr>
          <w:p>
            <w:pPr>
              <w:jc w:val="right"/>
              <w:ind w:right="119"/>
              <w:spacing w:after="0"/>
              <w:rPr>
                <w:sz w:val="20"/>
                <w:szCs w:val="20"/>
                <w:color w:val="auto"/>
              </w:rPr>
            </w:pPr>
            <w:r>
              <w:rPr>
                <w:rFonts w:ascii="Arial" w:cs="Arial" w:eastAsia="Arial" w:hAnsi="Arial"/>
                <w:sz w:val="16"/>
                <w:szCs w:val="16"/>
                <w:b w:val="1"/>
                <w:bCs w:val="1"/>
                <w:color w:val="1C90D3"/>
              </w:rPr>
              <w:t>Fiscal Year</w:t>
            </w:r>
          </w:p>
        </w:tc>
        <w:tc>
          <w:tcPr>
            <w:tcW w:w="1480" w:type="dxa"/>
            <w:vAlign w:val="bottom"/>
            <w:tcBorders>
              <w:bottom w:val="single" w:sz="8" w:color="1C90D3"/>
            </w:tcBorders>
          </w:tcPr>
          <w:p>
            <w:pPr>
              <w:jc w:val="right"/>
              <w:ind w:right="139"/>
              <w:spacing w:after="0"/>
              <w:rPr>
                <w:sz w:val="20"/>
                <w:szCs w:val="20"/>
                <w:color w:val="auto"/>
              </w:rPr>
            </w:pPr>
            <w:r>
              <w:rPr>
                <w:rFonts w:ascii="Arial" w:cs="Arial" w:eastAsia="Arial" w:hAnsi="Arial"/>
                <w:sz w:val="16"/>
                <w:szCs w:val="16"/>
                <w:b w:val="1"/>
                <w:bCs w:val="1"/>
                <w:color w:val="1C90D3"/>
              </w:rPr>
              <w:t>($)</w:t>
            </w:r>
          </w:p>
        </w:tc>
        <w:tc>
          <w:tcPr>
            <w:tcW w:w="1500" w:type="dxa"/>
            <w:vAlign w:val="bottom"/>
            <w:tcBorders>
              <w:bottom w:val="single" w:sz="8" w:color="1C90D3"/>
            </w:tcBorders>
          </w:tcPr>
          <w:p>
            <w:pPr>
              <w:jc w:val="right"/>
              <w:ind w:right="179"/>
              <w:spacing w:after="0"/>
              <w:rPr>
                <w:sz w:val="20"/>
                <w:szCs w:val="20"/>
                <w:color w:val="auto"/>
              </w:rPr>
            </w:pPr>
            <w:r>
              <w:rPr>
                <w:rFonts w:ascii="Arial" w:cs="Arial" w:eastAsia="Arial" w:hAnsi="Arial"/>
                <w:sz w:val="16"/>
                <w:szCs w:val="16"/>
                <w:b w:val="1"/>
                <w:bCs w:val="1"/>
                <w:color w:val="1C90D3"/>
              </w:rPr>
              <w:t>($)</w:t>
            </w:r>
          </w:p>
        </w:tc>
        <w:tc>
          <w:tcPr>
            <w:tcW w:w="1640" w:type="dxa"/>
            <w:vAlign w:val="bottom"/>
            <w:tcBorders>
              <w:bottom w:val="single" w:sz="8" w:color="1C90D3"/>
            </w:tcBorders>
          </w:tcPr>
          <w:p>
            <w:pPr>
              <w:jc w:val="right"/>
              <w:ind w:right="119"/>
              <w:spacing w:after="0"/>
              <w:rPr>
                <w:sz w:val="20"/>
                <w:szCs w:val="20"/>
                <w:color w:val="auto"/>
              </w:rPr>
            </w:pPr>
            <w:r>
              <w:rPr>
                <w:rFonts w:ascii="Arial" w:cs="Arial" w:eastAsia="Arial" w:hAnsi="Arial"/>
                <w:sz w:val="16"/>
                <w:szCs w:val="16"/>
                <w:b w:val="1"/>
                <w:bCs w:val="1"/>
                <w:color w:val="1C90D3"/>
              </w:rPr>
              <w:t>($)</w:t>
            </w:r>
          </w:p>
        </w:tc>
        <w:tc>
          <w:tcPr>
            <w:tcW w:w="1480" w:type="dxa"/>
            <w:vAlign w:val="bottom"/>
            <w:tcBorders>
              <w:bottom w:val="single" w:sz="8" w:color="1C90D3"/>
            </w:tcBorders>
          </w:tcPr>
          <w:p>
            <w:pPr>
              <w:jc w:val="right"/>
              <w:spacing w:after="0"/>
              <w:rPr>
                <w:sz w:val="20"/>
                <w:szCs w:val="20"/>
                <w:color w:val="auto"/>
              </w:rPr>
            </w:pPr>
            <w:r>
              <w:rPr>
                <w:rFonts w:ascii="Arial" w:cs="Arial" w:eastAsia="Arial" w:hAnsi="Arial"/>
                <w:sz w:val="16"/>
                <w:szCs w:val="16"/>
                <w:b w:val="1"/>
                <w:bCs w:val="1"/>
                <w:color w:val="1C90D3"/>
              </w:rPr>
              <w:t>($)</w:t>
            </w:r>
          </w:p>
        </w:tc>
      </w:tr>
      <w:tr>
        <w:trPr>
          <w:trHeight w:val="197"/>
        </w:trPr>
        <w:tc>
          <w:tcPr>
            <w:tcW w:w="2020" w:type="dxa"/>
            <w:vAlign w:val="bottom"/>
          </w:tcPr>
          <w:p>
            <w:pPr>
              <w:ind w:left="60"/>
              <w:spacing w:after="0"/>
              <w:rPr>
                <w:sz w:val="20"/>
                <w:szCs w:val="20"/>
                <w:color w:val="auto"/>
              </w:rPr>
            </w:pPr>
            <w:r>
              <w:rPr>
                <w:rFonts w:ascii="Arial" w:cs="Arial" w:eastAsia="Arial" w:hAnsi="Arial"/>
                <w:sz w:val="16"/>
                <w:szCs w:val="16"/>
                <w:color w:val="auto"/>
              </w:rPr>
              <w:t>Mary T. Barra</w:t>
            </w:r>
          </w:p>
        </w:tc>
        <w:tc>
          <w:tcPr>
            <w:tcW w:w="1440" w:type="dxa"/>
            <w:vAlign w:val="bottom"/>
          </w:tcPr>
          <w:p>
            <w:pPr>
              <w:ind w:left="360"/>
              <w:spacing w:after="0"/>
              <w:rPr>
                <w:sz w:val="20"/>
                <w:szCs w:val="20"/>
                <w:color w:val="auto"/>
              </w:rPr>
            </w:pPr>
            <w:r>
              <w:rPr>
                <w:rFonts w:ascii="Arial" w:cs="Arial" w:eastAsia="Arial" w:hAnsi="Arial"/>
                <w:sz w:val="16"/>
                <w:szCs w:val="16"/>
                <w:color w:val="auto"/>
              </w:rPr>
              <w:t>SSU</w:t>
            </w:r>
          </w:p>
        </w:tc>
        <w:tc>
          <w:tcPr>
            <w:tcW w:w="17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179"/>
              <w:spacing w:after="0"/>
              <w:rPr>
                <w:sz w:val="20"/>
                <w:szCs w:val="20"/>
                <w:color w:val="auto"/>
              </w:rPr>
            </w:pPr>
            <w:r>
              <w:rPr>
                <w:rFonts w:ascii="Arial" w:cs="Arial" w:eastAsia="Arial" w:hAnsi="Arial"/>
                <w:sz w:val="16"/>
                <w:szCs w:val="16"/>
                <w:color w:val="auto"/>
              </w:rPr>
              <w:t>(96,225)</w:t>
            </w:r>
          </w:p>
        </w:tc>
        <w:tc>
          <w:tcPr>
            <w:tcW w:w="1640" w:type="dxa"/>
            <w:vAlign w:val="bottom"/>
          </w:tcPr>
          <w:p>
            <w:pPr>
              <w:jc w:val="right"/>
              <w:ind w:right="119"/>
              <w:spacing w:after="0"/>
              <w:rPr>
                <w:sz w:val="20"/>
                <w:szCs w:val="20"/>
                <w:color w:val="auto"/>
              </w:rPr>
            </w:pPr>
            <w:r>
              <w:rPr>
                <w:rFonts w:ascii="Arial" w:cs="Arial" w:eastAsia="Arial" w:hAnsi="Arial"/>
                <w:sz w:val="16"/>
                <w:szCs w:val="16"/>
                <w:color w:val="auto"/>
              </w:rPr>
              <w:t>(2,146,575)</w:t>
            </w:r>
          </w:p>
        </w:tc>
        <w:tc>
          <w:tcPr>
            <w:tcW w:w="1480" w:type="dxa"/>
            <w:vAlign w:val="bottom"/>
          </w:tcPr>
          <w:p>
            <w:pPr>
              <w:jc w:val="right"/>
              <w:spacing w:after="0"/>
              <w:rPr>
                <w:sz w:val="20"/>
                <w:szCs w:val="20"/>
                <w:color w:val="auto"/>
              </w:rPr>
            </w:pPr>
            <w:r>
              <w:rPr>
                <w:rFonts w:ascii="Arial" w:cs="Arial" w:eastAsia="Arial" w:hAnsi="Arial"/>
                <w:sz w:val="16"/>
                <w:szCs w:val="16"/>
                <w:color w:val="auto"/>
              </w:rPr>
              <w:t>946,158</w:t>
            </w:r>
          </w:p>
        </w:tc>
      </w:tr>
      <w:tr>
        <w:trPr>
          <w:trHeight w:val="195"/>
        </w:trPr>
        <w:tc>
          <w:tcPr>
            <w:tcW w:w="20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DC ERP</w:t>
            </w:r>
          </w:p>
        </w:tc>
        <w:tc>
          <w:tcPr>
            <w:tcW w:w="17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285,216</w:t>
            </w:r>
          </w:p>
        </w:tc>
        <w:tc>
          <w:tcPr>
            <w:tcW w:w="15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(8,050)</w:t>
            </w:r>
          </w:p>
        </w:tc>
        <w:tc>
          <w:tcPr>
            <w:tcW w:w="16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473,042</w:t>
            </w:r>
          </w:p>
        </w:tc>
      </w:tr>
      <w:tr>
        <w:trPr>
          <w:trHeight w:val="190"/>
        </w:trPr>
        <w:tc>
          <w:tcPr>
            <w:tcW w:w="2020" w:type="dxa"/>
            <w:vAlign w:val="bottom"/>
          </w:tcPr>
          <w:p>
            <w:pPr>
              <w:ind w:left="60"/>
              <w:spacing w:after="0"/>
              <w:rPr>
                <w:sz w:val="20"/>
                <w:szCs w:val="20"/>
                <w:color w:val="auto"/>
              </w:rPr>
            </w:pPr>
            <w:r>
              <w:rPr>
                <w:rFonts w:ascii="Arial" w:cs="Arial" w:eastAsia="Arial" w:hAnsi="Arial"/>
                <w:sz w:val="16"/>
                <w:szCs w:val="16"/>
                <w:color w:val="auto"/>
              </w:rPr>
              <w:t>Charles K. Stevens, III</w:t>
            </w:r>
          </w:p>
        </w:tc>
        <w:tc>
          <w:tcPr>
            <w:tcW w:w="1440" w:type="dxa"/>
            <w:vAlign w:val="bottom"/>
          </w:tcPr>
          <w:p>
            <w:pPr>
              <w:ind w:left="360"/>
              <w:spacing w:after="0"/>
              <w:rPr>
                <w:sz w:val="20"/>
                <w:szCs w:val="20"/>
                <w:color w:val="auto"/>
              </w:rPr>
            </w:pPr>
            <w:r>
              <w:rPr>
                <w:rFonts w:ascii="Arial" w:cs="Arial" w:eastAsia="Arial" w:hAnsi="Arial"/>
                <w:sz w:val="16"/>
                <w:szCs w:val="16"/>
                <w:color w:val="auto"/>
              </w:rPr>
              <w:t>SSU</w:t>
            </w:r>
          </w:p>
        </w:tc>
        <w:tc>
          <w:tcPr>
            <w:tcW w:w="17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179"/>
              <w:spacing w:after="0"/>
              <w:rPr>
                <w:sz w:val="20"/>
                <w:szCs w:val="20"/>
                <w:color w:val="auto"/>
              </w:rPr>
            </w:pPr>
            <w:r>
              <w:rPr>
                <w:rFonts w:ascii="Arial" w:cs="Arial" w:eastAsia="Arial" w:hAnsi="Arial"/>
                <w:sz w:val="16"/>
                <w:szCs w:val="16"/>
                <w:color w:val="auto"/>
              </w:rPr>
              <w:t>(1,732)</w:t>
            </w:r>
          </w:p>
        </w:tc>
        <w:tc>
          <w:tcPr>
            <w:tcW w:w="1640" w:type="dxa"/>
            <w:vAlign w:val="bottom"/>
          </w:tcPr>
          <w:p>
            <w:pPr>
              <w:jc w:val="right"/>
              <w:ind w:right="119"/>
              <w:spacing w:after="0"/>
              <w:rPr>
                <w:sz w:val="20"/>
                <w:szCs w:val="20"/>
                <w:color w:val="auto"/>
              </w:rPr>
            </w:pPr>
            <w:r>
              <w:rPr>
                <w:rFonts w:ascii="Arial" w:cs="Arial" w:eastAsia="Arial" w:hAnsi="Arial"/>
                <w:sz w:val="16"/>
                <w:szCs w:val="16"/>
                <w:color w:val="auto"/>
              </w:rPr>
              <w:t>(41,315)</w:t>
            </w:r>
          </w:p>
        </w:tc>
        <w:tc>
          <w:tcPr>
            <w:tcW w:w="1480" w:type="dxa"/>
            <w:vAlign w:val="bottom"/>
          </w:tcPr>
          <w:p>
            <w:pPr>
              <w:jc w:val="right"/>
              <w:spacing w:after="0"/>
              <w:rPr>
                <w:sz w:val="20"/>
                <w:szCs w:val="20"/>
                <w:color w:val="auto"/>
              </w:rPr>
            </w:pPr>
            <w:r>
              <w:rPr>
                <w:rFonts w:ascii="Arial" w:cs="Arial" w:eastAsia="Arial" w:hAnsi="Arial"/>
                <w:sz w:val="16"/>
                <w:szCs w:val="16"/>
                <w:color w:val="auto"/>
              </w:rPr>
              <w:t>15,917</w:t>
            </w:r>
          </w:p>
        </w:tc>
      </w:tr>
      <w:tr>
        <w:trPr>
          <w:trHeight w:val="195"/>
        </w:trPr>
        <w:tc>
          <w:tcPr>
            <w:tcW w:w="20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DC ERP</w:t>
            </w:r>
          </w:p>
        </w:tc>
        <w:tc>
          <w:tcPr>
            <w:tcW w:w="17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127,767</w:t>
            </w:r>
          </w:p>
        </w:tc>
        <w:tc>
          <w:tcPr>
            <w:tcW w:w="15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(6,180)</w:t>
            </w:r>
          </w:p>
        </w:tc>
        <w:tc>
          <w:tcPr>
            <w:tcW w:w="16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211,923</w:t>
            </w:r>
          </w:p>
        </w:tc>
      </w:tr>
      <w:tr>
        <w:trPr>
          <w:trHeight w:val="190"/>
        </w:trPr>
        <w:tc>
          <w:tcPr>
            <w:tcW w:w="2020" w:type="dxa"/>
            <w:vAlign w:val="bottom"/>
          </w:tcPr>
          <w:p>
            <w:pPr>
              <w:ind w:left="60"/>
              <w:spacing w:after="0"/>
              <w:rPr>
                <w:sz w:val="20"/>
                <w:szCs w:val="20"/>
                <w:color w:val="auto"/>
              </w:rPr>
            </w:pPr>
            <w:r>
              <w:rPr>
                <w:rFonts w:ascii="Arial" w:cs="Arial" w:eastAsia="Arial" w:hAnsi="Arial"/>
                <w:sz w:val="16"/>
                <w:szCs w:val="16"/>
                <w:color w:val="auto"/>
              </w:rPr>
              <w:t>Daniel Ammann</w:t>
            </w:r>
          </w:p>
        </w:tc>
        <w:tc>
          <w:tcPr>
            <w:tcW w:w="1440" w:type="dxa"/>
            <w:vAlign w:val="bottom"/>
          </w:tcPr>
          <w:p>
            <w:pPr>
              <w:ind w:left="360"/>
              <w:spacing w:after="0"/>
              <w:rPr>
                <w:sz w:val="20"/>
                <w:szCs w:val="20"/>
                <w:color w:val="auto"/>
              </w:rPr>
            </w:pPr>
            <w:r>
              <w:rPr>
                <w:rFonts w:ascii="Arial" w:cs="Arial" w:eastAsia="Arial" w:hAnsi="Arial"/>
                <w:sz w:val="16"/>
                <w:szCs w:val="16"/>
                <w:color w:val="auto"/>
              </w:rPr>
              <w:t>SSU</w:t>
            </w:r>
          </w:p>
        </w:tc>
        <w:tc>
          <w:tcPr>
            <w:tcW w:w="17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179"/>
              <w:spacing w:after="0"/>
              <w:rPr>
                <w:sz w:val="20"/>
                <w:szCs w:val="20"/>
                <w:color w:val="auto"/>
              </w:rPr>
            </w:pPr>
            <w:r>
              <w:rPr>
                <w:rFonts w:ascii="Arial" w:cs="Arial" w:eastAsia="Arial" w:hAnsi="Arial"/>
                <w:sz w:val="16"/>
                <w:szCs w:val="16"/>
                <w:color w:val="auto"/>
              </w:rPr>
              <w:t>(97,423)</w:t>
            </w:r>
          </w:p>
        </w:tc>
        <w:tc>
          <w:tcPr>
            <w:tcW w:w="1640" w:type="dxa"/>
            <w:vAlign w:val="bottom"/>
          </w:tcPr>
          <w:p>
            <w:pPr>
              <w:jc w:val="right"/>
              <w:ind w:right="119"/>
              <w:spacing w:after="0"/>
              <w:rPr>
                <w:sz w:val="20"/>
                <w:szCs w:val="20"/>
                <w:color w:val="auto"/>
              </w:rPr>
            </w:pPr>
            <w:r>
              <w:rPr>
                <w:rFonts w:ascii="Arial" w:cs="Arial" w:eastAsia="Arial" w:hAnsi="Arial"/>
                <w:sz w:val="16"/>
                <w:szCs w:val="16"/>
                <w:color w:val="auto"/>
              </w:rPr>
              <w:t>(2,194,762)</w:t>
            </w:r>
          </w:p>
        </w:tc>
        <w:tc>
          <w:tcPr>
            <w:tcW w:w="1480" w:type="dxa"/>
            <w:vAlign w:val="bottom"/>
          </w:tcPr>
          <w:p>
            <w:pPr>
              <w:jc w:val="right"/>
              <w:spacing w:after="0"/>
              <w:rPr>
                <w:sz w:val="20"/>
                <w:szCs w:val="20"/>
                <w:color w:val="auto"/>
              </w:rPr>
            </w:pPr>
            <w:r>
              <w:rPr>
                <w:rFonts w:ascii="Arial" w:cs="Arial" w:eastAsia="Arial" w:hAnsi="Arial"/>
                <w:sz w:val="16"/>
                <w:szCs w:val="16"/>
                <w:color w:val="auto"/>
              </w:rPr>
              <w:t>943,029</w:t>
            </w:r>
          </w:p>
        </w:tc>
      </w:tr>
      <w:tr>
        <w:trPr>
          <w:trHeight w:val="195"/>
        </w:trPr>
        <w:tc>
          <w:tcPr>
            <w:tcW w:w="20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DC ERP</w:t>
            </w:r>
          </w:p>
        </w:tc>
        <w:tc>
          <w:tcPr>
            <w:tcW w:w="17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114,400</w:t>
            </w:r>
          </w:p>
        </w:tc>
        <w:tc>
          <w:tcPr>
            <w:tcW w:w="15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4,516</w:t>
            </w:r>
          </w:p>
        </w:tc>
        <w:tc>
          <w:tcPr>
            <w:tcW w:w="16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183,565</w:t>
            </w:r>
          </w:p>
        </w:tc>
      </w:tr>
      <w:tr>
        <w:trPr>
          <w:trHeight w:val="190"/>
        </w:trPr>
        <w:tc>
          <w:tcPr>
            <w:tcW w:w="2020" w:type="dxa"/>
            <w:vAlign w:val="bottom"/>
          </w:tcPr>
          <w:p>
            <w:pPr>
              <w:ind w:left="60"/>
              <w:spacing w:after="0"/>
              <w:rPr>
                <w:sz w:val="20"/>
                <w:szCs w:val="20"/>
                <w:color w:val="auto"/>
              </w:rPr>
            </w:pPr>
            <w:r>
              <w:rPr>
                <w:rFonts w:ascii="Arial" w:cs="Arial" w:eastAsia="Arial" w:hAnsi="Arial"/>
                <w:sz w:val="16"/>
                <w:szCs w:val="16"/>
                <w:color w:val="auto"/>
              </w:rPr>
              <w:t>Mark L. Reuss</w:t>
            </w:r>
          </w:p>
        </w:tc>
        <w:tc>
          <w:tcPr>
            <w:tcW w:w="1440" w:type="dxa"/>
            <w:vAlign w:val="bottom"/>
          </w:tcPr>
          <w:p>
            <w:pPr>
              <w:ind w:left="360"/>
              <w:spacing w:after="0"/>
              <w:rPr>
                <w:sz w:val="20"/>
                <w:szCs w:val="20"/>
                <w:color w:val="auto"/>
              </w:rPr>
            </w:pPr>
            <w:r>
              <w:rPr>
                <w:rFonts w:ascii="Arial" w:cs="Arial" w:eastAsia="Arial" w:hAnsi="Arial"/>
                <w:sz w:val="16"/>
                <w:szCs w:val="16"/>
                <w:color w:val="auto"/>
              </w:rPr>
              <w:t>SSU</w:t>
            </w:r>
          </w:p>
        </w:tc>
        <w:tc>
          <w:tcPr>
            <w:tcW w:w="17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179"/>
              <w:spacing w:after="0"/>
              <w:rPr>
                <w:sz w:val="20"/>
                <w:szCs w:val="20"/>
                <w:color w:val="auto"/>
              </w:rPr>
            </w:pPr>
            <w:r>
              <w:rPr>
                <w:rFonts w:ascii="Arial" w:cs="Arial" w:eastAsia="Arial" w:hAnsi="Arial"/>
                <w:sz w:val="16"/>
                <w:szCs w:val="16"/>
                <w:color w:val="auto"/>
              </w:rPr>
              <w:t>(81,647)</w:t>
            </w:r>
          </w:p>
        </w:tc>
        <w:tc>
          <w:tcPr>
            <w:tcW w:w="1640" w:type="dxa"/>
            <w:vAlign w:val="bottom"/>
          </w:tcPr>
          <w:p>
            <w:pPr>
              <w:jc w:val="right"/>
              <w:ind w:right="119"/>
              <w:spacing w:after="0"/>
              <w:rPr>
                <w:sz w:val="20"/>
                <w:szCs w:val="20"/>
                <w:color w:val="auto"/>
              </w:rPr>
            </w:pPr>
            <w:r>
              <w:rPr>
                <w:rFonts w:ascii="Arial" w:cs="Arial" w:eastAsia="Arial" w:hAnsi="Arial"/>
                <w:sz w:val="16"/>
                <w:szCs w:val="16"/>
                <w:color w:val="auto"/>
              </w:rPr>
              <w:t>(1,842,417)</w:t>
            </w:r>
          </w:p>
        </w:tc>
        <w:tc>
          <w:tcPr>
            <w:tcW w:w="1480" w:type="dxa"/>
            <w:vAlign w:val="bottom"/>
          </w:tcPr>
          <w:p>
            <w:pPr>
              <w:jc w:val="right"/>
              <w:spacing w:after="0"/>
              <w:rPr>
                <w:sz w:val="20"/>
                <w:szCs w:val="20"/>
                <w:color w:val="auto"/>
              </w:rPr>
            </w:pPr>
            <w:r>
              <w:rPr>
                <w:rFonts w:ascii="Arial" w:cs="Arial" w:eastAsia="Arial" w:hAnsi="Arial"/>
                <w:sz w:val="16"/>
                <w:szCs w:val="16"/>
                <w:color w:val="auto"/>
              </w:rPr>
              <w:t>803,350</w:t>
            </w:r>
          </w:p>
        </w:tc>
      </w:tr>
      <w:tr>
        <w:trPr>
          <w:trHeight w:val="195"/>
        </w:trPr>
        <w:tc>
          <w:tcPr>
            <w:tcW w:w="20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DC ERP</w:t>
            </w:r>
          </w:p>
        </w:tc>
        <w:tc>
          <w:tcPr>
            <w:tcW w:w="17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133,945</w:t>
            </w:r>
          </w:p>
        </w:tc>
        <w:tc>
          <w:tcPr>
            <w:tcW w:w="15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(6,075)</w:t>
            </w:r>
          </w:p>
        </w:tc>
        <w:tc>
          <w:tcPr>
            <w:tcW w:w="16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198,797</w:t>
            </w:r>
          </w:p>
        </w:tc>
      </w:tr>
      <w:tr>
        <w:trPr>
          <w:trHeight w:val="190"/>
        </w:trPr>
        <w:tc>
          <w:tcPr>
            <w:tcW w:w="2020" w:type="dxa"/>
            <w:vAlign w:val="bottom"/>
            <w:tcBorders>
              <w:bottom w:val="single" w:sz="8" w:color="08228B"/>
            </w:tcBorders>
          </w:tcPr>
          <w:p>
            <w:pPr>
              <w:ind w:left="60"/>
              <w:spacing w:after="0" w:line="183" w:lineRule="exact"/>
              <w:rPr>
                <w:sz w:val="20"/>
                <w:szCs w:val="20"/>
                <w:color w:val="auto"/>
              </w:rPr>
            </w:pPr>
            <w:r>
              <w:rPr>
                <w:rFonts w:ascii="Arial" w:cs="Arial" w:eastAsia="Arial" w:hAnsi="Arial"/>
                <w:sz w:val="16"/>
                <w:szCs w:val="16"/>
                <w:color w:val="auto"/>
              </w:rPr>
              <w:t>Craig B. Glidden</w:t>
            </w:r>
          </w:p>
        </w:tc>
        <w:tc>
          <w:tcPr>
            <w:tcW w:w="1440" w:type="dxa"/>
            <w:vAlign w:val="bottom"/>
            <w:tcBorders>
              <w:bottom w:val="single" w:sz="8" w:color="08228B"/>
            </w:tcBorders>
          </w:tcPr>
          <w:p>
            <w:pPr>
              <w:ind w:left="360"/>
              <w:spacing w:after="0" w:line="183" w:lineRule="exact"/>
              <w:rPr>
                <w:sz w:val="20"/>
                <w:szCs w:val="20"/>
                <w:color w:val="auto"/>
              </w:rPr>
            </w:pPr>
            <w:r>
              <w:rPr>
                <w:rFonts w:ascii="Arial" w:cs="Arial" w:eastAsia="Arial" w:hAnsi="Arial"/>
                <w:sz w:val="16"/>
                <w:szCs w:val="16"/>
                <w:color w:val="auto"/>
              </w:rPr>
              <w:t>DC ERP</w:t>
            </w:r>
          </w:p>
        </w:tc>
        <w:tc>
          <w:tcPr>
            <w:tcW w:w="1740" w:type="dxa"/>
            <w:vAlign w:val="bottom"/>
            <w:tcBorders>
              <w:bottom w:val="single" w:sz="8" w:color="08228B"/>
            </w:tcBorders>
          </w:tcPr>
          <w:p>
            <w:pPr>
              <w:jc w:val="right"/>
              <w:ind w:right="119"/>
              <w:spacing w:after="0" w:line="183" w:lineRule="exact"/>
              <w:rPr>
                <w:sz w:val="20"/>
                <w:szCs w:val="20"/>
                <w:color w:val="auto"/>
              </w:rPr>
            </w:pPr>
            <w:r>
              <w:rPr>
                <w:rFonts w:ascii="Arial" w:cs="Arial" w:eastAsia="Arial" w:hAnsi="Arial"/>
                <w:sz w:val="16"/>
                <w:szCs w:val="16"/>
                <w:color w:val="auto"/>
              </w:rPr>
              <w:t>–</w:t>
            </w:r>
          </w:p>
        </w:tc>
        <w:tc>
          <w:tcPr>
            <w:tcW w:w="1480" w:type="dxa"/>
            <w:vAlign w:val="bottom"/>
            <w:tcBorders>
              <w:bottom w:val="single" w:sz="8" w:color="08228B"/>
            </w:tcBorders>
          </w:tcPr>
          <w:p>
            <w:pPr>
              <w:jc w:val="right"/>
              <w:ind w:right="139"/>
              <w:spacing w:after="0" w:line="183" w:lineRule="exact"/>
              <w:rPr>
                <w:sz w:val="20"/>
                <w:szCs w:val="20"/>
                <w:color w:val="auto"/>
              </w:rPr>
            </w:pPr>
            <w:r>
              <w:rPr>
                <w:rFonts w:ascii="Arial" w:cs="Arial" w:eastAsia="Arial" w:hAnsi="Arial"/>
                <w:sz w:val="16"/>
                <w:szCs w:val="16"/>
                <w:color w:val="auto"/>
              </w:rPr>
              <w:t>25,467</w:t>
            </w:r>
          </w:p>
        </w:tc>
        <w:tc>
          <w:tcPr>
            <w:tcW w:w="1500" w:type="dxa"/>
            <w:vAlign w:val="bottom"/>
            <w:tcBorders>
              <w:bottom w:val="single" w:sz="8" w:color="08228B"/>
            </w:tcBorders>
          </w:tcPr>
          <w:p>
            <w:pPr>
              <w:jc w:val="right"/>
              <w:ind w:right="179"/>
              <w:spacing w:after="0" w:line="183" w:lineRule="exact"/>
              <w:rPr>
                <w:sz w:val="20"/>
                <w:szCs w:val="20"/>
                <w:color w:val="auto"/>
              </w:rPr>
            </w:pPr>
            <w:r>
              <w:rPr>
                <w:rFonts w:ascii="Arial" w:cs="Arial" w:eastAsia="Arial" w:hAnsi="Arial"/>
                <w:sz w:val="16"/>
                <w:szCs w:val="16"/>
                <w:color w:val="auto"/>
              </w:rPr>
              <w:t>(210)</w:t>
            </w:r>
          </w:p>
        </w:tc>
        <w:tc>
          <w:tcPr>
            <w:tcW w:w="1640" w:type="dxa"/>
            <w:vAlign w:val="bottom"/>
            <w:tcBorders>
              <w:bottom w:val="single" w:sz="8" w:color="08228B"/>
            </w:tcBorders>
          </w:tcPr>
          <w:p>
            <w:pPr>
              <w:jc w:val="right"/>
              <w:ind w:right="119"/>
              <w:spacing w:after="0" w:line="183" w:lineRule="exact"/>
              <w:rPr>
                <w:sz w:val="20"/>
                <w:szCs w:val="20"/>
                <w:color w:val="auto"/>
              </w:rPr>
            </w:pPr>
            <w:r>
              <w:rPr>
                <w:rFonts w:ascii="Arial" w:cs="Arial" w:eastAsia="Arial" w:hAnsi="Arial"/>
                <w:sz w:val="16"/>
                <w:szCs w:val="16"/>
                <w:color w:val="auto"/>
              </w:rPr>
              <w:t>–</w:t>
            </w:r>
          </w:p>
        </w:tc>
        <w:tc>
          <w:tcPr>
            <w:tcW w:w="1480" w:type="dxa"/>
            <w:vAlign w:val="bottom"/>
            <w:tcBorders>
              <w:bottom w:val="single" w:sz="8" w:color="08228B"/>
            </w:tcBorders>
          </w:tcPr>
          <w:p>
            <w:pPr>
              <w:jc w:val="right"/>
              <w:spacing w:after="0" w:line="183" w:lineRule="exact"/>
              <w:rPr>
                <w:sz w:val="20"/>
                <w:szCs w:val="20"/>
                <w:color w:val="auto"/>
              </w:rPr>
            </w:pPr>
            <w:r>
              <w:rPr>
                <w:rFonts w:ascii="Arial" w:cs="Arial" w:eastAsia="Arial" w:hAnsi="Arial"/>
                <w:sz w:val="16"/>
                <w:szCs w:val="16"/>
                <w:color w:val="auto"/>
              </w:rPr>
              <w:t>25,257</w:t>
            </w:r>
          </w:p>
        </w:tc>
      </w:tr>
    </w:tbl>
    <w:p>
      <w:pPr>
        <w:spacing w:after="0" w:line="58" w:lineRule="exact"/>
        <w:rPr>
          <w:sz w:val="20"/>
          <w:szCs w:val="20"/>
          <w:color w:val="auto"/>
        </w:rPr>
      </w:pPr>
    </w:p>
    <w:p>
      <w:pPr>
        <w:ind w:left="340" w:right="140" w:hanging="332"/>
        <w:spacing w:after="0" w:line="279" w:lineRule="auto"/>
        <w:tabs>
          <w:tab w:leader="none" w:pos="340" w:val="left"/>
        </w:tabs>
        <w:numPr>
          <w:ilvl w:val="0"/>
          <w:numId w:val="106"/>
        </w:numPr>
        <w:rPr>
          <w:rFonts w:ascii="Arial" w:cs="Arial" w:eastAsia="Arial" w:hAnsi="Arial"/>
          <w:sz w:val="14"/>
          <w:szCs w:val="14"/>
          <w:i w:val="1"/>
          <w:iCs w:val="1"/>
          <w:color w:val="auto"/>
        </w:rPr>
      </w:pPr>
      <w:r>
        <w:rPr>
          <w:rFonts w:ascii="Arial" w:cs="Arial" w:eastAsia="Arial" w:hAnsi="Arial"/>
          <w:sz w:val="14"/>
          <w:szCs w:val="14"/>
          <w:i w:val="1"/>
          <w:iCs w:val="1"/>
          <w:color w:val="auto"/>
        </w:rPr>
        <w:t>No SSUs were granted in 2015, as the Company was no longer under TARP. The full amount shown under Registrant Contributions is included in the Employer Contributions to Savings Plans for each NEO, shown above in the All Other Compensation table.</w:t>
      </w:r>
    </w:p>
    <w:p>
      <w:pPr>
        <w:spacing w:after="0" w:line="3" w:lineRule="exact"/>
        <w:rPr>
          <w:rFonts w:ascii="Arial" w:cs="Arial" w:eastAsia="Arial" w:hAnsi="Arial"/>
          <w:sz w:val="14"/>
          <w:szCs w:val="14"/>
          <w:i w:val="1"/>
          <w:iCs w:val="1"/>
          <w:color w:val="auto"/>
        </w:rPr>
      </w:pPr>
    </w:p>
    <w:p>
      <w:pPr>
        <w:ind w:left="340" w:right="140" w:hanging="332"/>
        <w:spacing w:after="0" w:line="279" w:lineRule="auto"/>
        <w:tabs>
          <w:tab w:leader="none" w:pos="340" w:val="left"/>
        </w:tabs>
        <w:numPr>
          <w:ilvl w:val="0"/>
          <w:numId w:val="106"/>
        </w:numPr>
        <w:rPr>
          <w:rFonts w:ascii="Arial" w:cs="Arial" w:eastAsia="Arial" w:hAnsi="Arial"/>
          <w:sz w:val="14"/>
          <w:szCs w:val="14"/>
          <w:i w:val="1"/>
          <w:iCs w:val="1"/>
          <w:color w:val="auto"/>
        </w:rPr>
      </w:pPr>
      <w:r>
        <w:rPr>
          <w:rFonts w:ascii="Arial" w:cs="Arial" w:eastAsia="Arial" w:hAnsi="Arial"/>
          <w:sz w:val="14"/>
          <w:szCs w:val="14"/>
          <w:i w:val="1"/>
          <w:iCs w:val="1"/>
          <w:color w:val="auto"/>
        </w:rPr>
        <w:t>Earnings that may be included in the Aggregate Earnings in the Last Fiscal Year column are not reported in the Change in Pension Value and Non-qualified Deferred Compensation totals in the Summary Compensation Table, because we do not pay above-market earnings on deferred compensation.</w:t>
      </w:r>
    </w:p>
    <w:p>
      <w:pPr>
        <w:spacing w:after="0" w:line="3" w:lineRule="exact"/>
        <w:rPr>
          <w:rFonts w:ascii="Arial" w:cs="Arial" w:eastAsia="Arial" w:hAnsi="Arial"/>
          <w:sz w:val="14"/>
          <w:szCs w:val="14"/>
          <w:i w:val="1"/>
          <w:iCs w:val="1"/>
          <w:color w:val="auto"/>
        </w:rPr>
      </w:pPr>
    </w:p>
    <w:p>
      <w:pPr>
        <w:ind w:left="340" w:hanging="332"/>
        <w:spacing w:after="0"/>
        <w:tabs>
          <w:tab w:leader="none" w:pos="340" w:val="left"/>
        </w:tabs>
        <w:numPr>
          <w:ilvl w:val="0"/>
          <w:numId w:val="106"/>
        </w:numPr>
        <w:rPr>
          <w:rFonts w:ascii="Arial" w:cs="Arial" w:eastAsia="Arial" w:hAnsi="Arial"/>
          <w:sz w:val="14"/>
          <w:szCs w:val="14"/>
          <w:i w:val="1"/>
          <w:iCs w:val="1"/>
          <w:color w:val="auto"/>
        </w:rPr>
      </w:pPr>
      <w:r>
        <w:rPr>
          <w:rFonts w:ascii="Arial" w:cs="Arial" w:eastAsia="Arial" w:hAnsi="Arial"/>
          <w:sz w:val="14"/>
          <w:szCs w:val="14"/>
          <w:i w:val="1"/>
          <w:iCs w:val="1"/>
          <w:color w:val="auto"/>
        </w:rPr>
        <w:t>Payments of SSUs granted on various dates and at various share prices were made to each of the NEOs pursuant to TARP restrictions.</w:t>
      </w:r>
    </w:p>
    <w:p>
      <w:pPr>
        <w:spacing w:after="0" w:line="322" w:lineRule="exact"/>
        <w:rPr>
          <w:sz w:val="20"/>
          <w:szCs w:val="20"/>
          <w:color w:val="auto"/>
        </w:rPr>
      </w:pPr>
    </w:p>
    <w:p>
      <w:pPr>
        <w:ind w:left="500" w:hanging="492"/>
        <w:spacing w:after="0"/>
        <w:tabs>
          <w:tab w:leader="none" w:pos="500" w:val="left"/>
        </w:tabs>
        <w:numPr>
          <w:ilvl w:val="0"/>
          <w:numId w:val="107"/>
        </w:numPr>
        <w:rPr>
          <w:rFonts w:ascii="Arial" w:cs="Arial" w:eastAsia="Arial" w:hAnsi="Arial"/>
          <w:sz w:val="25"/>
          <w:szCs w:val="25"/>
          <w:color w:val="08228B"/>
        </w:rPr>
      </w:pPr>
      <w:r>
        <w:rPr>
          <w:rFonts w:ascii="Arial" w:cs="Arial" w:eastAsia="Arial" w:hAnsi="Arial"/>
          <w:sz w:val="25"/>
          <w:szCs w:val="25"/>
          <w:color w:val="auto"/>
        </w:rPr>
        <w:t>Potential Payments Upon Termination</w:t>
      </w:r>
    </w:p>
    <w:p>
      <w:pPr>
        <w:spacing w:after="0" w:line="21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Company does not maintain individual employment agreements with any NEO that provides guaranteed payments in the event of a termination of employment or change in control. In the event that an NEO’s position with the Company is eliminated, including the elimination of the NEO’s position as a result of a change in control, the NEO would be eligible for severance pay under the GM Executive Severance Program.</w:t>
      </w:r>
    </w:p>
    <w:p>
      <w:pPr>
        <w:spacing w:after="0" w:line="17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table below shows the potential payments to each NEO assuming a termination of employment on December 31, 2015, due to each of the following: voluntary separation or termination for cause; Executive Severance Program (as amended on February 1, 2016); full career status retirement; disability; death; and change in control with termination of employment. Each of the separation events is described in more detail below. These provisions are generally applicable to participants in each of the applicable plans, and they are not reserved only for NEOs. The payments below are in addition to the present value of the accumulated benefits from each NEOs qualified and nonqualified pension plans shown in the Pension Benefits table on page 59, and the aggregate balance due to each NEO that is shown in the Nonqualified Deferred Compensation table above.</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For purposes of the following table, the Company describes these terminations and potential payments:</w:t>
      </w:r>
    </w:p>
    <w:p>
      <w:pPr>
        <w:spacing w:after="0" w:line="174" w:lineRule="exact"/>
        <w:rPr>
          <w:sz w:val="20"/>
          <w:szCs w:val="20"/>
          <w:color w:val="auto"/>
        </w:rPr>
      </w:pPr>
    </w:p>
    <w:p>
      <w:pPr>
        <w:jc w:val="both"/>
        <w:ind w:left="180" w:right="120" w:hanging="172"/>
        <w:spacing w:after="0" w:line="256" w:lineRule="auto"/>
        <w:tabs>
          <w:tab w:leader="none" w:pos="180" w:val="left"/>
        </w:tabs>
        <w:numPr>
          <w:ilvl w:val="0"/>
          <w:numId w:val="108"/>
        </w:numPr>
        <w:rPr>
          <w:rFonts w:ascii="Arial" w:cs="Arial" w:eastAsia="Arial" w:hAnsi="Arial"/>
          <w:sz w:val="16"/>
          <w:szCs w:val="16"/>
          <w:color w:val="08228B"/>
        </w:rPr>
      </w:pPr>
      <w:r>
        <w:rPr>
          <w:rFonts w:ascii="Arial" w:cs="Arial" w:eastAsia="Arial" w:hAnsi="Arial"/>
          <w:sz w:val="16"/>
          <w:szCs w:val="16"/>
          <w:b w:val="1"/>
          <w:bCs w:val="1"/>
          <w:color w:val="auto"/>
        </w:rPr>
        <w:t xml:space="preserve">Voluntary Separation or Termination for Cause </w:t>
      </w:r>
      <w:r>
        <w:rPr>
          <w:rFonts w:ascii="Arial" w:cs="Arial" w:eastAsia="Arial" w:hAnsi="Arial"/>
          <w:sz w:val="16"/>
          <w:szCs w:val="16"/>
          <w:color w:val="auto"/>
        </w:rPr>
        <w:t>– A voluntary separation occurs when an executive voluntarily terminates employment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A termination for cause occurs when an executive is dismissed from employment by the Company for cause, which is considered to include, but is not limited to, the executive’s gross negligence, willful misconduct, or violation of state or federal securities laws. Under each of these scenarios, executives generally forfeit all outstanding equity awards and are not eligible for any award or payment under the STIP. Full career status retirements receive different treatment, as discussed below.</w:t>
      </w:r>
    </w:p>
    <w:p>
      <w:pPr>
        <w:spacing w:after="0" w:line="153" w:lineRule="exact"/>
        <w:rPr>
          <w:rFonts w:ascii="Arial" w:cs="Arial" w:eastAsia="Arial" w:hAnsi="Arial"/>
          <w:sz w:val="16"/>
          <w:szCs w:val="16"/>
          <w:color w:val="08228B"/>
        </w:rPr>
      </w:pPr>
    </w:p>
    <w:p>
      <w:pPr>
        <w:jc w:val="both"/>
        <w:ind w:left="180" w:right="120" w:hanging="172"/>
        <w:spacing w:after="0" w:line="256" w:lineRule="auto"/>
        <w:tabs>
          <w:tab w:leader="none" w:pos="180" w:val="left"/>
        </w:tabs>
        <w:numPr>
          <w:ilvl w:val="0"/>
          <w:numId w:val="108"/>
        </w:numPr>
        <w:rPr>
          <w:rFonts w:ascii="Arial" w:cs="Arial" w:eastAsia="Arial" w:hAnsi="Arial"/>
          <w:sz w:val="16"/>
          <w:szCs w:val="16"/>
          <w:color w:val="08228B"/>
        </w:rPr>
      </w:pPr>
      <w:r>
        <w:rPr>
          <w:rFonts w:ascii="Arial" w:cs="Arial" w:eastAsia="Arial" w:hAnsi="Arial"/>
          <w:sz w:val="16"/>
          <w:szCs w:val="16"/>
          <w:b w:val="1"/>
          <w:bCs w:val="1"/>
          <w:color w:val="auto"/>
        </w:rPr>
        <w:t xml:space="preserve">Executive Severance Program </w:t>
      </w:r>
      <w:r>
        <w:rPr>
          <w:rFonts w:ascii="Arial" w:cs="Arial" w:eastAsia="Arial" w:hAnsi="Arial"/>
          <w:sz w:val="16"/>
          <w:szCs w:val="16"/>
          <w:color w:val="auto"/>
        </w:rPr>
        <w:t>– A separation occurs when an executive’s position is eliminated or the Company and an executive agree to mutually end</w:t>
      </w:r>
      <w:r>
        <w:rPr>
          <w:rFonts w:ascii="Arial" w:cs="Arial" w:eastAsia="Arial" w:hAnsi="Arial"/>
          <w:sz w:val="16"/>
          <w:szCs w:val="16"/>
          <w:b w:val="1"/>
          <w:bCs w:val="1"/>
          <w:color w:val="auto"/>
        </w:rPr>
        <w:t xml:space="preserve"> </w:t>
      </w:r>
      <w:r>
        <w:rPr>
          <w:rFonts w:ascii="Arial" w:cs="Arial" w:eastAsia="Arial" w:hAnsi="Arial"/>
          <w:sz w:val="16"/>
          <w:szCs w:val="16"/>
          <w:color w:val="auto"/>
        </w:rPr>
        <w:t>the employment relationship. An executive will be eligible to receive severance pay from the Company calculated based on their position and reflected as a multiple of base salary, STIP, and COBRA. An executive will receive cash payments of the value of the equity awards that vest within the next year after separation at the time of vesting if the executive enters into a mutual separation agreement. All unvested stock options are usually forfeited. An executive is also eligible for outplacement assistance based on their position.</w:t>
      </w:r>
    </w:p>
    <w:p>
      <w:pPr>
        <w:spacing w:after="0" w:line="153" w:lineRule="exact"/>
        <w:rPr>
          <w:rFonts w:ascii="Arial" w:cs="Arial" w:eastAsia="Arial" w:hAnsi="Arial"/>
          <w:sz w:val="16"/>
          <w:szCs w:val="16"/>
          <w:color w:val="08228B"/>
        </w:rPr>
      </w:pPr>
    </w:p>
    <w:p>
      <w:pPr>
        <w:jc w:val="both"/>
        <w:ind w:left="180" w:right="120" w:hanging="172"/>
        <w:spacing w:after="0" w:line="250" w:lineRule="auto"/>
        <w:tabs>
          <w:tab w:leader="none" w:pos="180" w:val="left"/>
        </w:tabs>
        <w:numPr>
          <w:ilvl w:val="0"/>
          <w:numId w:val="108"/>
        </w:numPr>
        <w:rPr>
          <w:rFonts w:ascii="Arial" w:cs="Arial" w:eastAsia="Arial" w:hAnsi="Arial"/>
          <w:sz w:val="16"/>
          <w:szCs w:val="16"/>
          <w:color w:val="08228B"/>
        </w:rPr>
      </w:pPr>
      <w:r>
        <w:rPr>
          <w:rFonts w:ascii="Arial" w:cs="Arial" w:eastAsia="Arial" w:hAnsi="Arial"/>
          <w:sz w:val="16"/>
          <w:szCs w:val="16"/>
          <w:b w:val="1"/>
          <w:bCs w:val="1"/>
          <w:color w:val="auto"/>
        </w:rPr>
        <w:t xml:space="preserve">Full Career Status Retirement </w:t>
      </w:r>
      <w:r>
        <w:rPr>
          <w:rFonts w:ascii="Arial" w:cs="Arial" w:eastAsia="Arial" w:hAnsi="Arial"/>
          <w:sz w:val="16"/>
          <w:szCs w:val="16"/>
          <w:color w:val="auto"/>
        </w:rPr>
        <w:t>– A full career status retirement occurs when an executive reaches the age of 55 with 10 or more years of continuous</w:t>
      </w:r>
      <w:r>
        <w:rPr>
          <w:rFonts w:ascii="Arial" w:cs="Arial" w:eastAsia="Arial" w:hAnsi="Arial"/>
          <w:sz w:val="16"/>
          <w:szCs w:val="16"/>
          <w:b w:val="1"/>
          <w:bCs w:val="1"/>
          <w:color w:val="auto"/>
        </w:rPr>
        <w:t xml:space="preserve"> </w:t>
      </w:r>
      <w:r>
        <w:rPr>
          <w:rFonts w:ascii="Arial" w:cs="Arial" w:eastAsia="Arial" w:hAnsi="Arial"/>
          <w:sz w:val="16"/>
          <w:szCs w:val="16"/>
          <w:color w:val="auto"/>
        </w:rPr>
        <w:t>service or age 62 or older and the executive voluntarily separates from the Company. If an executive enters into a separation or severance agreement, they cannot also elect full career status retirement. In the event of full career status retirement, the executive is generally eligible for a prorated STIP award based on months of active service in the performance year as of their termination date and once final performance has been determined. RSUs granted within one year prior to the date of retirement are prorated based on months of active service prior to the date of retirement. RSUs granted more than one year prior to the date of retirement continue to vest in accordance with their vesting schedule. PSUs granted within one year prior to the date of retirement are prorated based on months of active service prior to the date of retirement and will be adjusted for final corporate performance against the performance measures contained in the awards; such awards will be payable following approval of such performance. PSUs granted more than one year prior to the date of retirement will remain outstanding until the end of the performance period, at which time they will be adjusted for final corporate performance and be settled following approval of such performance. Stock options granted within one year prior to the date of retirement are prorated based on months of active service prior to the date of retirement. Stock options granted more than one year prior to the date of retirement will continue to vest in accordance with their vesting schedule. As of December 31, 2015, only Mr. Stevens was eligible for full career status retirement.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13"/>
        </w:trPr>
        <w:tc>
          <w:tcPr>
            <w:tcW w:w="4340" w:type="dxa"/>
            <w:vAlign w:val="bottom"/>
            <w:tcBorders>
              <w:bottom w:val="single" w:sz="8" w:color="08228B"/>
            </w:tcBorders>
          </w:tcPr>
          <w:p>
            <w:pPr>
              <w:spacing w:after="0"/>
              <w:rPr>
                <w:sz w:val="9"/>
                <w:szCs w:val="9"/>
                <w:color w:val="auto"/>
              </w:rPr>
            </w:pPr>
          </w:p>
        </w:tc>
        <w:tc>
          <w:tcPr>
            <w:tcW w:w="2060" w:type="dxa"/>
            <w:vAlign w:val="bottom"/>
            <w:vMerge w:val="restart"/>
          </w:tcPr>
          <w:p>
            <w:pPr>
              <w:ind w:left="60"/>
              <w:spacing w:after="0"/>
              <w:rPr>
                <w:sz w:val="20"/>
                <w:szCs w:val="20"/>
                <w:color w:val="auto"/>
              </w:rPr>
            </w:pPr>
            <w:r>
              <w:rPr>
                <w:rFonts w:ascii="Arial" w:cs="Arial" w:eastAsia="Arial" w:hAnsi="Arial"/>
                <w:sz w:val="16"/>
                <w:szCs w:val="16"/>
                <w:b w:val="1"/>
                <w:bCs w:val="1"/>
                <w:color w:val="1C90D3"/>
              </w:rPr>
              <w:t xml:space="preserve">2016 </w:t>
            </w:r>
            <w:r>
              <w:rPr>
                <w:rFonts w:ascii="Arial" w:cs="Arial" w:eastAsia="Arial" w:hAnsi="Arial"/>
                <w:sz w:val="16"/>
                <w:szCs w:val="16"/>
                <w:color w:val="08228B"/>
              </w:rPr>
              <w:t>PROXY STATEMENT</w:t>
            </w:r>
          </w:p>
        </w:tc>
        <w:tc>
          <w:tcPr>
            <w:tcW w:w="2400" w:type="dxa"/>
            <w:vAlign w:val="bottom"/>
            <w:tcBorders>
              <w:bottom w:val="single" w:sz="8" w:color="08228B"/>
            </w:tcBorders>
          </w:tcPr>
          <w:p>
            <w:pPr>
              <w:spacing w:after="0"/>
              <w:rPr>
                <w:sz w:val="9"/>
                <w:szCs w:val="9"/>
                <w:color w:val="auto"/>
              </w:rPr>
            </w:pPr>
          </w:p>
        </w:tc>
        <w:tc>
          <w:tcPr>
            <w:tcW w:w="2620" w:type="dxa"/>
            <w:vAlign w:val="bottom"/>
            <w:vMerge w:val="restart"/>
          </w:tcPr>
          <w:p>
            <w:pPr>
              <w:jc w:val="right"/>
              <w:ind w:right="39"/>
              <w:spacing w:after="0"/>
              <w:rPr>
                <w:sz w:val="20"/>
                <w:szCs w:val="20"/>
                <w:color w:val="auto"/>
              </w:rPr>
            </w:pPr>
            <w:r>
              <w:rPr>
                <w:rFonts w:ascii="Arial" w:cs="Arial" w:eastAsia="Arial" w:hAnsi="Arial"/>
                <w:sz w:val="16"/>
                <w:szCs w:val="16"/>
                <w:color w:val="08228B"/>
              </w:rPr>
              <w:t>60</w:t>
            </w:r>
          </w:p>
        </w:tc>
        <w:tc>
          <w:tcPr>
            <w:tcW w:w="0" w:type="dxa"/>
            <w:vAlign w:val="bottom"/>
          </w:tcPr>
          <w:p>
            <w:pPr>
              <w:spacing w:after="0"/>
              <w:rPr>
                <w:sz w:val="1"/>
                <w:szCs w:val="1"/>
                <w:color w:val="auto"/>
              </w:rPr>
            </w:pPr>
          </w:p>
        </w:tc>
      </w:tr>
      <w:tr>
        <w:trPr>
          <w:trHeight w:val="82"/>
        </w:trPr>
        <w:tc>
          <w:tcPr>
            <w:tcW w:w="4340" w:type="dxa"/>
            <w:vAlign w:val="bottom"/>
          </w:tcPr>
          <w:p>
            <w:pPr>
              <w:spacing w:after="0"/>
              <w:rPr>
                <w:sz w:val="7"/>
                <w:szCs w:val="7"/>
                <w:color w:val="auto"/>
              </w:rPr>
            </w:pPr>
          </w:p>
        </w:tc>
        <w:tc>
          <w:tcPr>
            <w:tcW w:w="2060" w:type="dxa"/>
            <w:vAlign w:val="bottom"/>
            <w:vMerge w:val="continue"/>
          </w:tcPr>
          <w:p>
            <w:pPr>
              <w:spacing w:after="0"/>
              <w:rPr>
                <w:sz w:val="7"/>
                <w:szCs w:val="7"/>
                <w:color w:val="auto"/>
              </w:rPr>
            </w:pPr>
          </w:p>
        </w:tc>
        <w:tc>
          <w:tcPr>
            <w:tcW w:w="2400" w:type="dxa"/>
            <w:vAlign w:val="bottom"/>
          </w:tcPr>
          <w:p>
            <w:pPr>
              <w:spacing w:after="0"/>
              <w:rPr>
                <w:sz w:val="7"/>
                <w:szCs w:val="7"/>
                <w:color w:val="auto"/>
              </w:rPr>
            </w:pPr>
          </w:p>
        </w:tc>
        <w:tc>
          <w:tcPr>
            <w:tcW w:w="2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7"/>
        </w:trPr>
        <w:tc>
          <w:tcPr>
            <w:tcW w:w="4340" w:type="dxa"/>
            <w:vAlign w:val="bottom"/>
            <w:tcBorders>
              <w:bottom w:val="single" w:sz="8" w:color="C0C0C0"/>
            </w:tcBorders>
          </w:tcPr>
          <w:p>
            <w:pPr>
              <w:spacing w:after="0"/>
              <w:rPr>
                <w:sz w:val="24"/>
                <w:szCs w:val="24"/>
                <w:color w:val="auto"/>
              </w:rPr>
            </w:pPr>
          </w:p>
        </w:tc>
        <w:tc>
          <w:tcPr>
            <w:tcW w:w="2060" w:type="dxa"/>
            <w:vAlign w:val="bottom"/>
            <w:tcBorders>
              <w:bottom w:val="single" w:sz="8" w:color="C0C0C0"/>
            </w:tcBorders>
          </w:tcPr>
          <w:p>
            <w:pPr>
              <w:spacing w:after="0"/>
              <w:rPr>
                <w:sz w:val="24"/>
                <w:szCs w:val="24"/>
                <w:color w:val="auto"/>
              </w:rPr>
            </w:pPr>
          </w:p>
        </w:tc>
        <w:tc>
          <w:tcPr>
            <w:tcW w:w="2400" w:type="dxa"/>
            <w:vAlign w:val="bottom"/>
            <w:tcBorders>
              <w:bottom w:val="single" w:sz="8" w:color="C0C0C0"/>
            </w:tcBorders>
          </w:tcPr>
          <w:p>
            <w:pPr>
              <w:spacing w:after="0"/>
              <w:rPr>
                <w:sz w:val="24"/>
                <w:szCs w:val="24"/>
                <w:color w:val="auto"/>
              </w:rPr>
            </w:pPr>
          </w:p>
        </w:tc>
        <w:tc>
          <w:tcPr>
            <w:tcW w:w="262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5613400</wp:posOffset>
            </wp:positionH>
            <wp:positionV relativeFrom="paragraph">
              <wp:posOffset>-334010</wp:posOffset>
            </wp:positionV>
            <wp:extent cx="1286510" cy="8572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1286510" cy="8572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Back to Contents</w:t>
        </w:r>
      </w:hyperlink>
    </w:p>
    <w:p>
      <w:pPr>
        <w:spacing w:after="0" w:line="176" w:lineRule="exact"/>
        <w:rPr>
          <w:sz w:val="20"/>
          <w:szCs w:val="20"/>
          <w:color w:val="auto"/>
        </w:rPr>
      </w:pPr>
    </w:p>
    <w:p>
      <w:pPr>
        <w:jc w:val="both"/>
        <w:ind w:left="180" w:right="120" w:hanging="172"/>
        <w:spacing w:after="0" w:line="254" w:lineRule="auto"/>
        <w:tabs>
          <w:tab w:leader="none" w:pos="180" w:val="left"/>
        </w:tabs>
        <w:numPr>
          <w:ilvl w:val="0"/>
          <w:numId w:val="109"/>
        </w:numPr>
        <w:rPr>
          <w:rFonts w:ascii="Arial" w:cs="Arial" w:eastAsia="Arial" w:hAnsi="Arial"/>
          <w:sz w:val="16"/>
          <w:szCs w:val="16"/>
          <w:color w:val="08228B"/>
        </w:rPr>
      </w:pPr>
      <w:r>
        <w:rPr>
          <w:rFonts w:ascii="Arial" w:cs="Arial" w:eastAsia="Arial" w:hAnsi="Arial"/>
          <w:sz w:val="16"/>
          <w:szCs w:val="16"/>
          <w:b w:val="1"/>
          <w:bCs w:val="1"/>
          <w:color w:val="auto"/>
        </w:rPr>
        <w:t xml:space="preserve">Disability </w:t>
      </w:r>
      <w:r>
        <w:rPr>
          <w:rFonts w:ascii="Arial" w:cs="Arial" w:eastAsia="Arial" w:hAnsi="Arial"/>
          <w:sz w:val="16"/>
          <w:szCs w:val="16"/>
          <w:color w:val="auto"/>
        </w:rPr>
        <w:t>– Disability occurs when an executive terminates employment by reason of their inability to engage in any gainful activity due to a medically</w:t>
      </w:r>
      <w:r>
        <w:rPr>
          <w:rFonts w:ascii="Arial" w:cs="Arial" w:eastAsia="Arial" w:hAnsi="Arial"/>
          <w:sz w:val="16"/>
          <w:szCs w:val="16"/>
          <w:b w:val="1"/>
          <w:bCs w:val="1"/>
          <w:color w:val="auto"/>
        </w:rPr>
        <w:t xml:space="preserve"> </w:t>
      </w:r>
      <w:r>
        <w:rPr>
          <w:rFonts w:ascii="Arial" w:cs="Arial" w:eastAsia="Arial" w:hAnsi="Arial"/>
          <w:sz w:val="16"/>
          <w:szCs w:val="16"/>
          <w:color w:val="auto"/>
        </w:rPr>
        <w:t>determinable physical or mental impairment that can be expected to result in death or can be expected to last for a continuous period of not less than 12 months. Executives are eligible for a full-year STIP award related to the year in which termination occurs once final performance has been determined. Unvested RSUs and TARP RSUs continue to vest according to their vesting schedule. Unvested PSUs vest immediately upon such termination and will remain outstanding until the end of the performance period, at which time they will be adjusted for final corporate performance and be settled following approval of such performance. Stock options will continue to vest in accordance with their vesting schedule.</w:t>
      </w:r>
    </w:p>
    <w:p>
      <w:pPr>
        <w:spacing w:after="0" w:line="168" w:lineRule="exact"/>
        <w:rPr>
          <w:rFonts w:ascii="Arial" w:cs="Arial" w:eastAsia="Arial" w:hAnsi="Arial"/>
          <w:sz w:val="16"/>
          <w:szCs w:val="16"/>
          <w:color w:val="08228B"/>
        </w:rPr>
      </w:pPr>
    </w:p>
    <w:p>
      <w:pPr>
        <w:jc w:val="both"/>
        <w:ind w:left="180" w:right="120" w:hanging="172"/>
        <w:spacing w:after="0" w:line="256" w:lineRule="auto"/>
        <w:tabs>
          <w:tab w:leader="none" w:pos="180" w:val="left"/>
        </w:tabs>
        <w:numPr>
          <w:ilvl w:val="0"/>
          <w:numId w:val="109"/>
        </w:numPr>
        <w:rPr>
          <w:rFonts w:ascii="Arial" w:cs="Arial" w:eastAsia="Arial" w:hAnsi="Arial"/>
          <w:sz w:val="16"/>
          <w:szCs w:val="16"/>
          <w:color w:val="08228B"/>
        </w:rPr>
      </w:pPr>
      <w:r>
        <w:rPr>
          <w:rFonts w:ascii="Arial" w:cs="Arial" w:eastAsia="Arial" w:hAnsi="Arial"/>
          <w:sz w:val="16"/>
          <w:szCs w:val="16"/>
          <w:b w:val="1"/>
          <w:bCs w:val="1"/>
          <w:color w:val="auto"/>
        </w:rPr>
        <w:t xml:space="preserve">Death </w:t>
      </w:r>
      <w:r>
        <w:rPr>
          <w:rFonts w:ascii="Arial" w:cs="Arial" w:eastAsia="Arial" w:hAnsi="Arial"/>
          <w:sz w:val="16"/>
          <w:szCs w:val="16"/>
          <w:color w:val="auto"/>
        </w:rPr>
        <w:t>– Following the death of an executive, the beneficiary of the executive will be eligible to receive the target STIP award subject to adjustment for final</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corporate and individual performance following determination of the final award. RSUs immediately vest in full and are settled within 90 days of death. PSUs vest immediately upon death and will remain outstanding until the end of the performance period, at which time they will be adjusted for final corporate performance and be settled following approval of such performance. Stock options immediately vest upon death. TARP RSUs are prorated for months of active service and settled as soon as possible.</w:t>
      </w:r>
    </w:p>
    <w:p>
      <w:pPr>
        <w:spacing w:after="0" w:line="166" w:lineRule="exact"/>
        <w:rPr>
          <w:rFonts w:ascii="Arial" w:cs="Arial" w:eastAsia="Arial" w:hAnsi="Arial"/>
          <w:sz w:val="16"/>
          <w:szCs w:val="16"/>
          <w:color w:val="08228B"/>
        </w:rPr>
      </w:pPr>
    </w:p>
    <w:p>
      <w:pPr>
        <w:jc w:val="both"/>
        <w:ind w:left="180" w:right="120" w:hanging="172"/>
        <w:spacing w:after="0" w:line="253" w:lineRule="auto"/>
        <w:tabs>
          <w:tab w:leader="none" w:pos="180" w:val="left"/>
        </w:tabs>
        <w:numPr>
          <w:ilvl w:val="0"/>
          <w:numId w:val="109"/>
        </w:numPr>
        <w:rPr>
          <w:rFonts w:ascii="Arial" w:cs="Arial" w:eastAsia="Arial" w:hAnsi="Arial"/>
          <w:sz w:val="16"/>
          <w:szCs w:val="16"/>
          <w:color w:val="08228B"/>
        </w:rPr>
      </w:pPr>
      <w:r>
        <w:rPr>
          <w:rFonts w:ascii="Arial" w:cs="Arial" w:eastAsia="Arial" w:hAnsi="Arial"/>
          <w:sz w:val="16"/>
          <w:szCs w:val="16"/>
          <w:b w:val="1"/>
          <w:bCs w:val="1"/>
          <w:color w:val="auto"/>
        </w:rPr>
        <w:t xml:space="preserve">Change in Control </w:t>
      </w:r>
      <w:r>
        <w:rPr>
          <w:rFonts w:ascii="Arial" w:cs="Arial" w:eastAsia="Arial" w:hAnsi="Arial"/>
          <w:sz w:val="16"/>
          <w:szCs w:val="16"/>
          <w:color w:val="auto"/>
        </w:rPr>
        <w:t>– In the event of a termination of employment resulting from a change in control, an executive will be eligible for severance under the</w:t>
      </w:r>
      <w:r>
        <w:rPr>
          <w:rFonts w:ascii="Arial" w:cs="Arial" w:eastAsia="Arial" w:hAnsi="Arial"/>
          <w:sz w:val="16"/>
          <w:szCs w:val="16"/>
          <w:b w:val="1"/>
          <w:bCs w:val="1"/>
          <w:color w:val="auto"/>
        </w:rPr>
        <w:t xml:space="preserve"> </w:t>
      </w:r>
      <w:r>
        <w:rPr>
          <w:rFonts w:ascii="Arial" w:cs="Arial" w:eastAsia="Arial" w:hAnsi="Arial"/>
          <w:sz w:val="16"/>
          <w:szCs w:val="16"/>
          <w:color w:val="auto"/>
        </w:rPr>
        <w:t>GM Executive Severance Program that provides a severance payment based on position and multiple of base salary and COBRA. Executives also receive a STIP award at target and the STIP award for the prior year, if such award has been determined, but not paid. If the STIP award for the prior year has not been determined, the award shall be determined at target and paid. All RSU awards will generally vest and become payable immediately prior to the change in control. For PSUs, the performance period will end immediately prior to the change in control and awards will be determined based on actual performance and converted to a time-based award. Stock options immediately vest and are exercisable upon termination as a result of a change in control. TARP RSU awards are not subject to change in control provisions, and unvested awards are forfeited.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500" w:type="dxa"/>
            <w:vAlign w:val="bottom"/>
            <w:tcBorders>
              <w:top w:val="single" w:sz="8" w:color="1C90D3"/>
            </w:tcBorders>
          </w:tcPr>
          <w:p>
            <w:pPr>
              <w:spacing w:after="0"/>
              <w:rPr>
                <w:sz w:val="17"/>
                <w:szCs w:val="17"/>
                <w:color w:val="auto"/>
              </w:rPr>
            </w:pPr>
          </w:p>
        </w:tc>
        <w:tc>
          <w:tcPr>
            <w:tcW w:w="1460" w:type="dxa"/>
            <w:vAlign w:val="bottom"/>
            <w:tcBorders>
              <w:top w:val="single" w:sz="8" w:color="1C90D3"/>
            </w:tcBorders>
          </w:tcPr>
          <w:p>
            <w:pPr>
              <w:spacing w:after="0"/>
              <w:rPr>
                <w:sz w:val="17"/>
                <w:szCs w:val="17"/>
                <w:color w:val="auto"/>
              </w:rPr>
            </w:pPr>
          </w:p>
        </w:tc>
        <w:tc>
          <w:tcPr>
            <w:tcW w:w="1380" w:type="dxa"/>
            <w:vAlign w:val="bottom"/>
            <w:tcBorders>
              <w:top w:val="single" w:sz="8" w:color="1C90D3"/>
            </w:tcBorders>
          </w:tcPr>
          <w:p>
            <w:pPr>
              <w:jc w:val="right"/>
              <w:ind w:right="139"/>
              <w:spacing w:after="0"/>
              <w:rPr>
                <w:sz w:val="20"/>
                <w:szCs w:val="20"/>
                <w:color w:val="auto"/>
              </w:rPr>
            </w:pPr>
            <w:r>
              <w:rPr>
                <w:rFonts w:ascii="Arial" w:cs="Arial" w:eastAsia="Arial" w:hAnsi="Arial"/>
                <w:sz w:val="16"/>
                <w:szCs w:val="16"/>
                <w:b w:val="1"/>
                <w:bCs w:val="1"/>
                <w:color w:val="1C90D3"/>
              </w:rPr>
              <w:t>Voluntary</w:t>
            </w:r>
          </w:p>
        </w:tc>
        <w:tc>
          <w:tcPr>
            <w:tcW w:w="1160" w:type="dxa"/>
            <w:vAlign w:val="bottom"/>
            <w:tcBorders>
              <w:top w:val="single" w:sz="8" w:color="1C90D3"/>
            </w:tcBorders>
          </w:tcPr>
          <w:p>
            <w:pPr>
              <w:spacing w:after="0"/>
              <w:rPr>
                <w:sz w:val="17"/>
                <w:szCs w:val="17"/>
                <w:color w:val="auto"/>
              </w:rPr>
            </w:pPr>
          </w:p>
        </w:tc>
        <w:tc>
          <w:tcPr>
            <w:tcW w:w="1320" w:type="dxa"/>
            <w:vAlign w:val="bottom"/>
            <w:tcBorders>
              <w:top w:val="single" w:sz="8" w:color="1C90D3"/>
            </w:tcBorders>
          </w:tcPr>
          <w:p>
            <w:pPr>
              <w:spacing w:after="0"/>
              <w:rPr>
                <w:sz w:val="17"/>
                <w:szCs w:val="17"/>
                <w:color w:val="auto"/>
              </w:rPr>
            </w:pPr>
          </w:p>
        </w:tc>
        <w:tc>
          <w:tcPr>
            <w:tcW w:w="1220" w:type="dxa"/>
            <w:vAlign w:val="bottom"/>
            <w:tcBorders>
              <w:top w:val="single" w:sz="8" w:color="1C90D3"/>
            </w:tcBorders>
          </w:tcPr>
          <w:p>
            <w:pPr>
              <w:spacing w:after="0"/>
              <w:rPr>
                <w:sz w:val="17"/>
                <w:szCs w:val="17"/>
                <w:color w:val="auto"/>
              </w:rPr>
            </w:pPr>
          </w:p>
        </w:tc>
        <w:tc>
          <w:tcPr>
            <w:tcW w:w="1140" w:type="dxa"/>
            <w:vAlign w:val="bottom"/>
            <w:tcBorders>
              <w:top w:val="single" w:sz="8" w:color="1C90D3"/>
            </w:tcBorders>
          </w:tcPr>
          <w:p>
            <w:pPr>
              <w:spacing w:after="0"/>
              <w:rPr>
                <w:sz w:val="17"/>
                <w:szCs w:val="17"/>
                <w:color w:val="auto"/>
              </w:rPr>
            </w:pPr>
          </w:p>
        </w:tc>
        <w:tc>
          <w:tcPr>
            <w:tcW w:w="1120" w:type="dxa"/>
            <w:vAlign w:val="bottom"/>
            <w:tcBorders>
              <w:top w:val="single" w:sz="8" w:color="1C90D3"/>
            </w:tcBorders>
          </w:tcPr>
          <w:p>
            <w:pPr>
              <w:spacing w:after="0"/>
              <w:rPr>
                <w:sz w:val="17"/>
                <w:szCs w:val="17"/>
                <w:color w:val="auto"/>
              </w:rPr>
            </w:pPr>
          </w:p>
        </w:tc>
      </w:tr>
      <w:tr>
        <w:trPr>
          <w:trHeight w:val="189"/>
        </w:trPr>
        <w:tc>
          <w:tcPr>
            <w:tcW w:w="25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380" w:type="dxa"/>
            <w:vAlign w:val="bottom"/>
          </w:tcPr>
          <w:p>
            <w:pPr>
              <w:jc w:val="right"/>
              <w:ind w:right="139"/>
              <w:spacing w:after="0"/>
              <w:rPr>
                <w:sz w:val="20"/>
                <w:szCs w:val="20"/>
                <w:color w:val="auto"/>
              </w:rPr>
            </w:pPr>
            <w:r>
              <w:rPr>
                <w:rFonts w:ascii="Arial" w:cs="Arial" w:eastAsia="Arial" w:hAnsi="Arial"/>
                <w:sz w:val="16"/>
                <w:szCs w:val="16"/>
                <w:b w:val="1"/>
                <w:bCs w:val="1"/>
                <w:color w:val="1C90D3"/>
              </w:rPr>
              <w:t>Separation or</w:t>
            </w:r>
          </w:p>
        </w:tc>
        <w:tc>
          <w:tcPr>
            <w:tcW w:w="1160" w:type="dxa"/>
            <w:vAlign w:val="bottom"/>
          </w:tcPr>
          <w:p>
            <w:pPr>
              <w:jc w:val="right"/>
              <w:ind w:right="39"/>
              <w:spacing w:after="0"/>
              <w:rPr>
                <w:sz w:val="20"/>
                <w:szCs w:val="20"/>
                <w:color w:val="auto"/>
              </w:rPr>
            </w:pPr>
            <w:r>
              <w:rPr>
                <w:rFonts w:ascii="Arial" w:cs="Arial" w:eastAsia="Arial" w:hAnsi="Arial"/>
                <w:sz w:val="16"/>
                <w:szCs w:val="16"/>
                <w:b w:val="1"/>
                <w:bCs w:val="1"/>
                <w:color w:val="1C90D3"/>
              </w:rPr>
              <w:t>Executive</w:t>
            </w:r>
          </w:p>
        </w:tc>
        <w:tc>
          <w:tcPr>
            <w:tcW w:w="13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1C90D3"/>
              </w:rPr>
              <w:t>Change in</w:t>
            </w:r>
          </w:p>
        </w:tc>
      </w:tr>
      <w:tr>
        <w:trPr>
          <w:trHeight w:val="191"/>
        </w:trPr>
        <w:tc>
          <w:tcPr>
            <w:tcW w:w="2500" w:type="dxa"/>
            <w:vAlign w:val="bottom"/>
          </w:tcPr>
          <w:p>
            <w:pPr>
              <w:spacing w:after="0"/>
              <w:rPr>
                <w:sz w:val="16"/>
                <w:szCs w:val="16"/>
                <w:color w:val="auto"/>
              </w:rPr>
            </w:pPr>
          </w:p>
        </w:tc>
        <w:tc>
          <w:tcPr>
            <w:tcW w:w="1460" w:type="dxa"/>
            <w:vAlign w:val="bottom"/>
          </w:tcPr>
          <w:p>
            <w:pPr>
              <w:ind w:left="220"/>
              <w:spacing w:after="0"/>
              <w:rPr>
                <w:sz w:val="20"/>
                <w:szCs w:val="20"/>
                <w:color w:val="auto"/>
              </w:rPr>
            </w:pPr>
            <w:r>
              <w:rPr>
                <w:rFonts w:ascii="Arial" w:cs="Arial" w:eastAsia="Arial" w:hAnsi="Arial"/>
                <w:sz w:val="16"/>
                <w:szCs w:val="16"/>
                <w:b w:val="1"/>
                <w:bCs w:val="1"/>
                <w:color w:val="1C90D3"/>
              </w:rPr>
              <w:t>Compensation</w:t>
            </w:r>
          </w:p>
        </w:tc>
        <w:tc>
          <w:tcPr>
            <w:tcW w:w="1380" w:type="dxa"/>
            <w:vAlign w:val="bottom"/>
          </w:tcPr>
          <w:p>
            <w:pPr>
              <w:jc w:val="right"/>
              <w:ind w:right="139"/>
              <w:spacing w:after="0"/>
              <w:rPr>
                <w:sz w:val="20"/>
                <w:szCs w:val="20"/>
                <w:color w:val="auto"/>
              </w:rPr>
            </w:pPr>
            <w:r>
              <w:rPr>
                <w:rFonts w:ascii="Arial" w:cs="Arial" w:eastAsia="Arial" w:hAnsi="Arial"/>
                <w:sz w:val="16"/>
                <w:szCs w:val="16"/>
                <w:b w:val="1"/>
                <w:bCs w:val="1"/>
                <w:color w:val="1C90D3"/>
              </w:rPr>
              <w:t>Termination</w:t>
            </w:r>
          </w:p>
        </w:tc>
        <w:tc>
          <w:tcPr>
            <w:tcW w:w="1160" w:type="dxa"/>
            <w:vAlign w:val="bottom"/>
          </w:tcPr>
          <w:p>
            <w:pPr>
              <w:jc w:val="right"/>
              <w:ind w:right="39"/>
              <w:spacing w:after="0"/>
              <w:rPr>
                <w:sz w:val="20"/>
                <w:szCs w:val="20"/>
                <w:color w:val="auto"/>
              </w:rPr>
            </w:pPr>
            <w:r>
              <w:rPr>
                <w:rFonts w:ascii="Arial" w:cs="Arial" w:eastAsia="Arial" w:hAnsi="Arial"/>
                <w:sz w:val="16"/>
                <w:szCs w:val="16"/>
                <w:b w:val="1"/>
                <w:bCs w:val="1"/>
                <w:color w:val="1C90D3"/>
              </w:rPr>
              <w:t>Severance</w:t>
            </w:r>
          </w:p>
        </w:tc>
        <w:tc>
          <w:tcPr>
            <w:tcW w:w="13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1C90D3"/>
              </w:rPr>
              <w:t>Control with</w:t>
            </w:r>
          </w:p>
        </w:tc>
      </w:tr>
      <w:tr>
        <w:trPr>
          <w:trHeight w:val="253"/>
        </w:trPr>
        <w:tc>
          <w:tcPr>
            <w:tcW w:w="2500" w:type="dxa"/>
            <w:vAlign w:val="bottom"/>
            <w:tcBorders>
              <w:bottom w:val="single" w:sz="8" w:color="1C90D3"/>
            </w:tcBorders>
          </w:tcPr>
          <w:p>
            <w:pPr>
              <w:ind w:left="60"/>
              <w:spacing w:after="0"/>
              <w:rPr>
                <w:sz w:val="20"/>
                <w:szCs w:val="20"/>
                <w:color w:val="auto"/>
              </w:rPr>
            </w:pPr>
            <w:r>
              <w:rPr>
                <w:rFonts w:ascii="Arial" w:cs="Arial" w:eastAsia="Arial" w:hAnsi="Arial"/>
                <w:sz w:val="16"/>
                <w:szCs w:val="16"/>
                <w:b w:val="1"/>
                <w:bCs w:val="1"/>
                <w:color w:val="1C90D3"/>
              </w:rPr>
              <w:t>Name</w:t>
            </w:r>
          </w:p>
        </w:tc>
        <w:tc>
          <w:tcPr>
            <w:tcW w:w="1460" w:type="dxa"/>
            <w:vAlign w:val="bottom"/>
            <w:tcBorders>
              <w:bottom w:val="single" w:sz="8" w:color="1C90D3"/>
            </w:tcBorders>
          </w:tcPr>
          <w:p>
            <w:pPr>
              <w:ind w:left="220"/>
              <w:spacing w:after="0" w:line="246" w:lineRule="exact"/>
              <w:rPr>
                <w:sz w:val="20"/>
                <w:szCs w:val="20"/>
                <w:color w:val="auto"/>
              </w:rPr>
            </w:pPr>
            <w:r>
              <w:rPr>
                <w:rFonts w:ascii="Arial" w:cs="Arial" w:eastAsia="Arial" w:hAnsi="Arial"/>
                <w:sz w:val="28"/>
                <w:szCs w:val="28"/>
                <w:b w:val="1"/>
                <w:bCs w:val="1"/>
                <w:color w:val="1C90D3"/>
                <w:vertAlign w:val="subscript"/>
              </w:rPr>
              <w:t>Element</w:t>
            </w:r>
            <w:r>
              <w:rPr>
                <w:rFonts w:ascii="Arial" w:cs="Arial" w:eastAsia="Arial" w:hAnsi="Arial"/>
                <w:sz w:val="12"/>
                <w:szCs w:val="12"/>
                <w:b w:val="1"/>
                <w:bCs w:val="1"/>
                <w:color w:val="1C90D3"/>
              </w:rPr>
              <w:t>(1)(2)(3)</w:t>
            </w:r>
          </w:p>
        </w:tc>
        <w:tc>
          <w:tcPr>
            <w:tcW w:w="1380" w:type="dxa"/>
            <w:vAlign w:val="bottom"/>
            <w:tcBorders>
              <w:bottom w:val="single" w:sz="8" w:color="1C90D3"/>
            </w:tcBorders>
          </w:tcPr>
          <w:p>
            <w:pPr>
              <w:jc w:val="right"/>
              <w:ind w:right="139"/>
              <w:spacing w:after="0"/>
              <w:rPr>
                <w:sz w:val="20"/>
                <w:szCs w:val="20"/>
                <w:color w:val="auto"/>
              </w:rPr>
            </w:pPr>
            <w:r>
              <w:rPr>
                <w:rFonts w:ascii="Arial" w:cs="Arial" w:eastAsia="Arial" w:hAnsi="Arial"/>
                <w:sz w:val="16"/>
                <w:szCs w:val="16"/>
                <w:b w:val="1"/>
                <w:bCs w:val="1"/>
                <w:color w:val="1C90D3"/>
              </w:rPr>
              <w:t>for Cause</w:t>
            </w:r>
          </w:p>
        </w:tc>
        <w:tc>
          <w:tcPr>
            <w:tcW w:w="1160" w:type="dxa"/>
            <w:vAlign w:val="bottom"/>
            <w:tcBorders>
              <w:bottom w:val="single" w:sz="8" w:color="1C90D3"/>
            </w:tcBorders>
          </w:tcPr>
          <w:p>
            <w:pPr>
              <w:jc w:val="right"/>
              <w:ind w:right="39"/>
              <w:spacing w:after="0"/>
              <w:rPr>
                <w:sz w:val="20"/>
                <w:szCs w:val="20"/>
                <w:color w:val="auto"/>
              </w:rPr>
            </w:pPr>
            <w:r>
              <w:rPr>
                <w:rFonts w:ascii="Arial" w:cs="Arial" w:eastAsia="Arial" w:hAnsi="Arial"/>
                <w:sz w:val="16"/>
                <w:szCs w:val="16"/>
                <w:b w:val="1"/>
                <w:bCs w:val="1"/>
                <w:color w:val="1C90D3"/>
              </w:rPr>
              <w:t>Program</w:t>
            </w:r>
          </w:p>
        </w:tc>
        <w:tc>
          <w:tcPr>
            <w:tcW w:w="1320" w:type="dxa"/>
            <w:vAlign w:val="bottom"/>
            <w:tcBorders>
              <w:bottom w:val="single" w:sz="8" w:color="1C90D3"/>
            </w:tcBorders>
          </w:tcPr>
          <w:p>
            <w:pPr>
              <w:jc w:val="right"/>
              <w:ind w:right="119"/>
              <w:spacing w:after="0" w:line="246" w:lineRule="exact"/>
              <w:rPr>
                <w:sz w:val="20"/>
                <w:szCs w:val="20"/>
                <w:color w:val="auto"/>
              </w:rPr>
            </w:pPr>
            <w:r>
              <w:rPr>
                <w:rFonts w:ascii="Arial" w:cs="Arial" w:eastAsia="Arial" w:hAnsi="Arial"/>
                <w:sz w:val="16"/>
                <w:szCs w:val="16"/>
                <w:b w:val="1"/>
                <w:bCs w:val="1"/>
                <w:color w:val="1C90D3"/>
              </w:rPr>
              <w:t>Retirement</w:t>
            </w:r>
            <w:r>
              <w:rPr>
                <w:rFonts w:ascii="Arial" w:cs="Arial" w:eastAsia="Arial" w:hAnsi="Arial"/>
                <w:sz w:val="27"/>
                <w:szCs w:val="27"/>
                <w:b w:val="1"/>
                <w:bCs w:val="1"/>
                <w:color w:val="1C90D3"/>
                <w:vertAlign w:val="superscript"/>
              </w:rPr>
              <w:t>(4)</w:t>
            </w:r>
          </w:p>
        </w:tc>
        <w:tc>
          <w:tcPr>
            <w:tcW w:w="1220" w:type="dxa"/>
            <w:vAlign w:val="bottom"/>
            <w:tcBorders>
              <w:bottom w:val="single" w:sz="8" w:color="1C90D3"/>
            </w:tcBorders>
          </w:tcPr>
          <w:p>
            <w:pPr>
              <w:jc w:val="right"/>
              <w:ind w:right="119"/>
              <w:spacing w:after="0"/>
              <w:rPr>
                <w:sz w:val="20"/>
                <w:szCs w:val="20"/>
                <w:color w:val="auto"/>
              </w:rPr>
            </w:pPr>
            <w:r>
              <w:rPr>
                <w:rFonts w:ascii="Arial" w:cs="Arial" w:eastAsia="Arial" w:hAnsi="Arial"/>
                <w:sz w:val="16"/>
                <w:szCs w:val="16"/>
                <w:b w:val="1"/>
                <w:bCs w:val="1"/>
                <w:color w:val="1C90D3"/>
              </w:rPr>
              <w:t>Disability</w:t>
            </w:r>
          </w:p>
        </w:tc>
        <w:tc>
          <w:tcPr>
            <w:tcW w:w="1140" w:type="dxa"/>
            <w:vAlign w:val="bottom"/>
            <w:tcBorders>
              <w:bottom w:val="single" w:sz="8" w:color="1C90D3"/>
            </w:tcBorders>
          </w:tcPr>
          <w:p>
            <w:pPr>
              <w:jc w:val="right"/>
              <w:ind w:right="39"/>
              <w:spacing w:after="0"/>
              <w:rPr>
                <w:sz w:val="20"/>
                <w:szCs w:val="20"/>
                <w:color w:val="auto"/>
              </w:rPr>
            </w:pPr>
            <w:r>
              <w:rPr>
                <w:rFonts w:ascii="Arial" w:cs="Arial" w:eastAsia="Arial" w:hAnsi="Arial"/>
                <w:sz w:val="16"/>
                <w:szCs w:val="16"/>
                <w:b w:val="1"/>
                <w:bCs w:val="1"/>
                <w:color w:val="1C90D3"/>
              </w:rPr>
              <w:t>Death</w:t>
            </w:r>
          </w:p>
        </w:tc>
        <w:tc>
          <w:tcPr>
            <w:tcW w:w="1120" w:type="dxa"/>
            <w:vAlign w:val="bottom"/>
            <w:tcBorders>
              <w:bottom w:val="single" w:sz="8" w:color="1C90D3"/>
            </w:tcBorders>
          </w:tcPr>
          <w:p>
            <w:pPr>
              <w:jc w:val="right"/>
              <w:spacing w:after="0"/>
              <w:rPr>
                <w:sz w:val="20"/>
                <w:szCs w:val="20"/>
                <w:color w:val="auto"/>
              </w:rPr>
            </w:pPr>
            <w:r>
              <w:rPr>
                <w:rFonts w:ascii="Arial" w:cs="Arial" w:eastAsia="Arial" w:hAnsi="Arial"/>
                <w:sz w:val="16"/>
                <w:szCs w:val="16"/>
                <w:b w:val="1"/>
                <w:bCs w:val="1"/>
                <w:color w:val="1C90D3"/>
              </w:rPr>
              <w:t>Termination</w:t>
            </w:r>
          </w:p>
        </w:tc>
      </w:tr>
      <w:tr>
        <w:trPr>
          <w:trHeight w:val="203"/>
        </w:trPr>
        <w:tc>
          <w:tcPr>
            <w:tcW w:w="2500" w:type="dxa"/>
            <w:vAlign w:val="bottom"/>
          </w:tcPr>
          <w:p>
            <w:pPr>
              <w:ind w:left="60"/>
              <w:spacing w:after="0"/>
              <w:rPr>
                <w:sz w:val="20"/>
                <w:szCs w:val="20"/>
                <w:color w:val="auto"/>
              </w:rPr>
            </w:pPr>
            <w:r>
              <w:rPr>
                <w:rFonts w:ascii="Arial" w:cs="Arial" w:eastAsia="Arial" w:hAnsi="Arial"/>
                <w:sz w:val="16"/>
                <w:szCs w:val="16"/>
                <w:color w:val="auto"/>
              </w:rPr>
              <w:t>Mary T. Barra</w:t>
            </w:r>
          </w:p>
        </w:tc>
        <w:tc>
          <w:tcPr>
            <w:tcW w:w="146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Cash</w:t>
            </w:r>
          </w:p>
        </w:tc>
        <w:tc>
          <w:tcPr>
            <w:tcW w:w="1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3,553,994</w:t>
            </w:r>
          </w:p>
        </w:tc>
        <w:tc>
          <w:tcPr>
            <w:tcW w:w="1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3,538,994</w:t>
            </w:r>
          </w:p>
        </w:tc>
      </w:tr>
      <w:tr>
        <w:trPr>
          <w:trHeight w:val="183"/>
        </w:trPr>
        <w:tc>
          <w:tcPr>
            <w:tcW w:w="2500" w:type="dxa"/>
            <w:vAlign w:val="bottom"/>
          </w:tcPr>
          <w:p>
            <w:pPr>
              <w:spacing w:after="0"/>
              <w:rPr>
                <w:sz w:val="15"/>
                <w:szCs w:val="15"/>
                <w:color w:val="auto"/>
              </w:rPr>
            </w:pPr>
          </w:p>
        </w:tc>
        <w:tc>
          <w:tcPr>
            <w:tcW w:w="1460" w:type="dxa"/>
            <w:vAlign w:val="bottom"/>
            <w:tcBorders>
              <w:bottom w:val="single" w:sz="8" w:color="auto"/>
            </w:tcBorders>
          </w:tcPr>
          <w:p>
            <w:pPr>
              <w:ind w:left="220"/>
              <w:spacing w:after="0" w:line="183" w:lineRule="exact"/>
              <w:rPr>
                <w:sz w:val="20"/>
                <w:szCs w:val="20"/>
                <w:color w:val="auto"/>
              </w:rPr>
            </w:pPr>
            <w:r>
              <w:rPr>
                <w:rFonts w:ascii="Arial" w:cs="Arial" w:eastAsia="Arial" w:hAnsi="Arial"/>
                <w:sz w:val="16"/>
                <w:szCs w:val="16"/>
                <w:color w:val="auto"/>
              </w:rPr>
              <w:t>STIP</w:t>
            </w:r>
          </w:p>
        </w:tc>
        <w:tc>
          <w:tcPr>
            <w:tcW w:w="1380" w:type="dxa"/>
            <w:vAlign w:val="bottom"/>
            <w:tcBorders>
              <w:bottom w:val="single" w:sz="8" w:color="auto"/>
            </w:tcBorders>
          </w:tcPr>
          <w:p>
            <w:pPr>
              <w:jc w:val="right"/>
              <w:ind w:right="139"/>
              <w:spacing w:after="0" w:line="183" w:lineRule="exact"/>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3,062,500</w:t>
            </w:r>
          </w:p>
        </w:tc>
        <w:tc>
          <w:tcPr>
            <w:tcW w:w="1320" w:type="dxa"/>
            <w:vAlign w:val="bottom"/>
            <w:tcBorders>
              <w:bottom w:val="single" w:sz="8" w:color="auto"/>
            </w:tcBorders>
          </w:tcPr>
          <w:p>
            <w:pPr>
              <w:jc w:val="right"/>
              <w:ind w:right="119"/>
              <w:spacing w:after="0" w:line="183" w:lineRule="exact"/>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119"/>
              <w:spacing w:after="0" w:line="183" w:lineRule="exact"/>
              <w:rPr>
                <w:sz w:val="20"/>
                <w:szCs w:val="20"/>
                <w:color w:val="auto"/>
              </w:rPr>
            </w:pPr>
            <w:r>
              <w:rPr>
                <w:rFonts w:ascii="Arial" w:cs="Arial" w:eastAsia="Arial" w:hAnsi="Arial"/>
                <w:sz w:val="16"/>
                <w:szCs w:val="16"/>
                <w:color w:val="auto"/>
              </w:rPr>
              <w:t>3,062,500</w:t>
            </w:r>
          </w:p>
        </w:tc>
        <w:tc>
          <w:tcPr>
            <w:tcW w:w="114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3,062,500</w:t>
            </w:r>
          </w:p>
        </w:tc>
        <w:tc>
          <w:tcPr>
            <w:tcW w:w="11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3,062,500</w:t>
            </w:r>
          </w:p>
        </w:tc>
      </w:tr>
      <w:tr>
        <w:trPr>
          <w:trHeight w:val="183"/>
        </w:trPr>
        <w:tc>
          <w:tcPr>
            <w:tcW w:w="2500" w:type="dxa"/>
            <w:vAlign w:val="bottom"/>
          </w:tcPr>
          <w:p>
            <w:pPr>
              <w:spacing w:after="0"/>
              <w:rPr>
                <w:sz w:val="15"/>
                <w:szCs w:val="15"/>
                <w:color w:val="auto"/>
              </w:rPr>
            </w:pPr>
          </w:p>
        </w:tc>
        <w:tc>
          <w:tcPr>
            <w:tcW w:w="1460" w:type="dxa"/>
            <w:vAlign w:val="bottom"/>
            <w:tcBorders>
              <w:bottom w:val="single" w:sz="8" w:color="auto"/>
            </w:tcBorders>
          </w:tcPr>
          <w:p>
            <w:pPr>
              <w:ind w:left="220"/>
              <w:spacing w:after="0" w:line="183" w:lineRule="exact"/>
              <w:rPr>
                <w:sz w:val="20"/>
                <w:szCs w:val="20"/>
                <w:color w:val="auto"/>
              </w:rPr>
            </w:pPr>
            <w:r>
              <w:rPr>
                <w:rFonts w:ascii="Arial" w:cs="Arial" w:eastAsia="Arial" w:hAnsi="Arial"/>
                <w:sz w:val="16"/>
                <w:szCs w:val="16"/>
                <w:color w:val="auto"/>
              </w:rPr>
              <w:t>LTIP</w:t>
            </w:r>
          </w:p>
        </w:tc>
        <w:tc>
          <w:tcPr>
            <w:tcW w:w="1380" w:type="dxa"/>
            <w:vAlign w:val="bottom"/>
            <w:tcBorders>
              <w:bottom w:val="single" w:sz="8" w:color="auto"/>
            </w:tcBorders>
          </w:tcPr>
          <w:p>
            <w:pPr>
              <w:jc w:val="right"/>
              <w:ind w:right="139"/>
              <w:spacing w:after="0" w:line="183" w:lineRule="exact"/>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1,687,542</w:t>
            </w:r>
          </w:p>
        </w:tc>
        <w:tc>
          <w:tcPr>
            <w:tcW w:w="1320" w:type="dxa"/>
            <w:vAlign w:val="bottom"/>
            <w:tcBorders>
              <w:bottom w:val="single" w:sz="8" w:color="auto"/>
            </w:tcBorders>
          </w:tcPr>
          <w:p>
            <w:pPr>
              <w:jc w:val="right"/>
              <w:ind w:right="119"/>
              <w:spacing w:after="0" w:line="183" w:lineRule="exact"/>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119"/>
              <w:spacing w:after="0" w:line="183" w:lineRule="exact"/>
              <w:rPr>
                <w:sz w:val="20"/>
                <w:szCs w:val="20"/>
                <w:color w:val="auto"/>
              </w:rPr>
            </w:pPr>
            <w:r>
              <w:rPr>
                <w:rFonts w:ascii="Arial" w:cs="Arial" w:eastAsia="Arial" w:hAnsi="Arial"/>
                <w:sz w:val="16"/>
                <w:szCs w:val="16"/>
                <w:color w:val="auto"/>
              </w:rPr>
              <w:t>28,244,848</w:t>
            </w:r>
          </w:p>
        </w:tc>
        <w:tc>
          <w:tcPr>
            <w:tcW w:w="114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27,756,293</w:t>
            </w:r>
          </w:p>
        </w:tc>
        <w:tc>
          <w:tcPr>
            <w:tcW w:w="11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26,467,486</w:t>
            </w:r>
          </w:p>
        </w:tc>
      </w:tr>
      <w:tr>
        <w:trPr>
          <w:trHeight w:val="183"/>
        </w:trPr>
        <w:tc>
          <w:tcPr>
            <w:tcW w:w="25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ind w:left="220"/>
              <w:spacing w:after="0" w:line="183" w:lineRule="exact"/>
              <w:rPr>
                <w:sz w:val="20"/>
                <w:szCs w:val="20"/>
                <w:color w:val="auto"/>
              </w:rPr>
            </w:pPr>
            <w:r>
              <w:rPr>
                <w:rFonts w:ascii="Arial" w:cs="Arial" w:eastAsia="Arial" w:hAnsi="Arial"/>
                <w:sz w:val="16"/>
                <w:szCs w:val="16"/>
                <w:b w:val="1"/>
                <w:bCs w:val="1"/>
                <w:color w:val="auto"/>
              </w:rPr>
              <w:t>TOTAL</w:t>
            </w:r>
          </w:p>
        </w:tc>
        <w:tc>
          <w:tcPr>
            <w:tcW w:w="1380" w:type="dxa"/>
            <w:vAlign w:val="bottom"/>
            <w:tcBorders>
              <w:bottom w:val="single" w:sz="8" w:color="auto"/>
            </w:tcBorders>
          </w:tcPr>
          <w:p>
            <w:pPr>
              <w:jc w:val="right"/>
              <w:ind w:right="139"/>
              <w:spacing w:after="0" w:line="183" w:lineRule="exact"/>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b w:val="1"/>
                <w:bCs w:val="1"/>
                <w:color w:val="auto"/>
              </w:rPr>
              <w:t>8,304,036</w:t>
            </w:r>
          </w:p>
        </w:tc>
        <w:tc>
          <w:tcPr>
            <w:tcW w:w="1320" w:type="dxa"/>
            <w:vAlign w:val="bottom"/>
            <w:tcBorders>
              <w:bottom w:val="single" w:sz="8" w:color="auto"/>
            </w:tcBorders>
          </w:tcPr>
          <w:p>
            <w:pPr>
              <w:jc w:val="right"/>
              <w:ind w:right="119"/>
              <w:spacing w:after="0" w:line="183" w:lineRule="exact"/>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auto"/>
            </w:tcBorders>
          </w:tcPr>
          <w:p>
            <w:pPr>
              <w:jc w:val="right"/>
              <w:ind w:right="119"/>
              <w:spacing w:after="0" w:line="183" w:lineRule="exact"/>
              <w:rPr>
                <w:sz w:val="20"/>
                <w:szCs w:val="20"/>
                <w:color w:val="auto"/>
              </w:rPr>
            </w:pPr>
            <w:r>
              <w:rPr>
                <w:rFonts w:ascii="Arial" w:cs="Arial" w:eastAsia="Arial" w:hAnsi="Arial"/>
                <w:sz w:val="16"/>
                <w:szCs w:val="16"/>
                <w:b w:val="1"/>
                <w:bCs w:val="1"/>
                <w:color w:val="auto"/>
              </w:rPr>
              <w:t>31,307,348</w:t>
            </w:r>
          </w:p>
        </w:tc>
        <w:tc>
          <w:tcPr>
            <w:tcW w:w="114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b w:val="1"/>
                <w:bCs w:val="1"/>
                <w:color w:val="auto"/>
              </w:rPr>
              <w:t>30,818,793</w:t>
            </w:r>
          </w:p>
        </w:tc>
        <w:tc>
          <w:tcPr>
            <w:tcW w:w="11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33,068,980</w:t>
            </w:r>
          </w:p>
        </w:tc>
      </w:tr>
      <w:tr>
        <w:trPr>
          <w:trHeight w:val="196"/>
        </w:trPr>
        <w:tc>
          <w:tcPr>
            <w:tcW w:w="2500" w:type="dxa"/>
            <w:vAlign w:val="bottom"/>
          </w:tcPr>
          <w:p>
            <w:pPr>
              <w:ind w:left="60"/>
              <w:spacing w:after="0"/>
              <w:rPr>
                <w:sz w:val="20"/>
                <w:szCs w:val="20"/>
                <w:color w:val="auto"/>
              </w:rPr>
            </w:pPr>
            <w:r>
              <w:rPr>
                <w:rFonts w:ascii="Arial" w:cs="Arial" w:eastAsia="Arial" w:hAnsi="Arial"/>
                <w:sz w:val="16"/>
                <w:szCs w:val="16"/>
                <w:color w:val="auto"/>
              </w:rPr>
              <w:t>Charles K. Stevens, III</w:t>
            </w:r>
          </w:p>
        </w:tc>
        <w:tc>
          <w:tcPr>
            <w:tcW w:w="146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Cash</w:t>
            </w:r>
          </w:p>
        </w:tc>
        <w:tc>
          <w:tcPr>
            <w:tcW w:w="1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1,544,246</w:t>
            </w:r>
          </w:p>
        </w:tc>
        <w:tc>
          <w:tcPr>
            <w:tcW w:w="1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1,529,246</w:t>
            </w:r>
          </w:p>
        </w:tc>
      </w:tr>
      <w:tr>
        <w:trPr>
          <w:trHeight w:val="183"/>
        </w:trPr>
        <w:tc>
          <w:tcPr>
            <w:tcW w:w="2500" w:type="dxa"/>
            <w:vAlign w:val="bottom"/>
          </w:tcPr>
          <w:p>
            <w:pPr>
              <w:spacing w:after="0"/>
              <w:rPr>
                <w:sz w:val="15"/>
                <w:szCs w:val="15"/>
                <w:color w:val="auto"/>
              </w:rPr>
            </w:pPr>
          </w:p>
        </w:tc>
        <w:tc>
          <w:tcPr>
            <w:tcW w:w="1460" w:type="dxa"/>
            <w:vAlign w:val="bottom"/>
            <w:tcBorders>
              <w:bottom w:val="single" w:sz="8" w:color="auto"/>
            </w:tcBorders>
          </w:tcPr>
          <w:p>
            <w:pPr>
              <w:ind w:left="220"/>
              <w:spacing w:after="0" w:line="183" w:lineRule="exact"/>
              <w:rPr>
                <w:sz w:val="20"/>
                <w:szCs w:val="20"/>
                <w:color w:val="auto"/>
              </w:rPr>
            </w:pPr>
            <w:r>
              <w:rPr>
                <w:rFonts w:ascii="Arial" w:cs="Arial" w:eastAsia="Arial" w:hAnsi="Arial"/>
                <w:sz w:val="16"/>
                <w:szCs w:val="16"/>
                <w:color w:val="auto"/>
              </w:rPr>
              <w:t>STIP</w:t>
            </w:r>
          </w:p>
        </w:tc>
        <w:tc>
          <w:tcPr>
            <w:tcW w:w="1380" w:type="dxa"/>
            <w:vAlign w:val="bottom"/>
            <w:tcBorders>
              <w:bottom w:val="single" w:sz="8" w:color="auto"/>
            </w:tcBorders>
          </w:tcPr>
          <w:p>
            <w:pPr>
              <w:jc w:val="right"/>
              <w:ind w:right="139"/>
              <w:spacing w:after="0" w:line="183" w:lineRule="exact"/>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1,250,000</w:t>
            </w:r>
          </w:p>
        </w:tc>
        <w:tc>
          <w:tcPr>
            <w:tcW w:w="1320" w:type="dxa"/>
            <w:vAlign w:val="bottom"/>
            <w:tcBorders>
              <w:bottom w:val="single" w:sz="8" w:color="auto"/>
            </w:tcBorders>
          </w:tcPr>
          <w:p>
            <w:pPr>
              <w:jc w:val="right"/>
              <w:ind w:right="119"/>
              <w:spacing w:after="0" w:line="183" w:lineRule="exact"/>
              <w:rPr>
                <w:sz w:val="20"/>
                <w:szCs w:val="20"/>
                <w:color w:val="auto"/>
              </w:rPr>
            </w:pPr>
            <w:r>
              <w:rPr>
                <w:rFonts w:ascii="Arial" w:cs="Arial" w:eastAsia="Arial" w:hAnsi="Arial"/>
                <w:sz w:val="16"/>
                <w:szCs w:val="16"/>
                <w:color w:val="auto"/>
              </w:rPr>
              <w:t>1,250,000</w:t>
            </w:r>
          </w:p>
        </w:tc>
        <w:tc>
          <w:tcPr>
            <w:tcW w:w="1220" w:type="dxa"/>
            <w:vAlign w:val="bottom"/>
            <w:tcBorders>
              <w:bottom w:val="single" w:sz="8" w:color="auto"/>
            </w:tcBorders>
          </w:tcPr>
          <w:p>
            <w:pPr>
              <w:jc w:val="right"/>
              <w:ind w:right="119"/>
              <w:spacing w:after="0" w:line="183" w:lineRule="exact"/>
              <w:rPr>
                <w:sz w:val="20"/>
                <w:szCs w:val="20"/>
                <w:color w:val="auto"/>
              </w:rPr>
            </w:pPr>
            <w:r>
              <w:rPr>
                <w:rFonts w:ascii="Arial" w:cs="Arial" w:eastAsia="Arial" w:hAnsi="Arial"/>
                <w:sz w:val="16"/>
                <w:szCs w:val="16"/>
                <w:color w:val="auto"/>
              </w:rPr>
              <w:t>1,250,000</w:t>
            </w:r>
          </w:p>
        </w:tc>
        <w:tc>
          <w:tcPr>
            <w:tcW w:w="114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1,250,000</w:t>
            </w:r>
          </w:p>
        </w:tc>
        <w:tc>
          <w:tcPr>
            <w:tcW w:w="11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1,250,000</w:t>
            </w:r>
          </w:p>
        </w:tc>
      </w:tr>
      <w:tr>
        <w:trPr>
          <w:trHeight w:val="183"/>
        </w:trPr>
        <w:tc>
          <w:tcPr>
            <w:tcW w:w="2500" w:type="dxa"/>
            <w:vAlign w:val="bottom"/>
          </w:tcPr>
          <w:p>
            <w:pPr>
              <w:spacing w:after="0"/>
              <w:rPr>
                <w:sz w:val="15"/>
                <w:szCs w:val="15"/>
                <w:color w:val="auto"/>
              </w:rPr>
            </w:pPr>
          </w:p>
        </w:tc>
        <w:tc>
          <w:tcPr>
            <w:tcW w:w="1460" w:type="dxa"/>
            <w:vAlign w:val="bottom"/>
            <w:tcBorders>
              <w:bottom w:val="single" w:sz="8" w:color="auto"/>
            </w:tcBorders>
          </w:tcPr>
          <w:p>
            <w:pPr>
              <w:ind w:left="220"/>
              <w:spacing w:after="0" w:line="183" w:lineRule="exact"/>
              <w:rPr>
                <w:sz w:val="20"/>
                <w:szCs w:val="20"/>
                <w:color w:val="auto"/>
              </w:rPr>
            </w:pPr>
            <w:r>
              <w:rPr>
                <w:rFonts w:ascii="Arial" w:cs="Arial" w:eastAsia="Arial" w:hAnsi="Arial"/>
                <w:sz w:val="16"/>
                <w:szCs w:val="16"/>
                <w:color w:val="auto"/>
              </w:rPr>
              <w:t>LTIP</w:t>
            </w:r>
          </w:p>
        </w:tc>
        <w:tc>
          <w:tcPr>
            <w:tcW w:w="1380" w:type="dxa"/>
            <w:vAlign w:val="bottom"/>
            <w:tcBorders>
              <w:bottom w:val="single" w:sz="8" w:color="auto"/>
            </w:tcBorders>
          </w:tcPr>
          <w:p>
            <w:pPr>
              <w:jc w:val="right"/>
              <w:ind w:right="139"/>
              <w:spacing w:after="0" w:line="183" w:lineRule="exact"/>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1,046,216</w:t>
            </w:r>
          </w:p>
        </w:tc>
        <w:tc>
          <w:tcPr>
            <w:tcW w:w="1320" w:type="dxa"/>
            <w:vAlign w:val="bottom"/>
            <w:tcBorders>
              <w:bottom w:val="single" w:sz="8" w:color="auto"/>
            </w:tcBorders>
          </w:tcPr>
          <w:p>
            <w:pPr>
              <w:jc w:val="right"/>
              <w:ind w:right="119"/>
              <w:spacing w:after="0" w:line="183" w:lineRule="exact"/>
              <w:rPr>
                <w:sz w:val="20"/>
                <w:szCs w:val="20"/>
                <w:color w:val="auto"/>
              </w:rPr>
            </w:pPr>
            <w:r>
              <w:rPr>
                <w:rFonts w:ascii="Arial" w:cs="Arial" w:eastAsia="Arial" w:hAnsi="Arial"/>
                <w:sz w:val="16"/>
                <w:szCs w:val="16"/>
                <w:color w:val="auto"/>
              </w:rPr>
              <w:t>3,903,216</w:t>
            </w:r>
          </w:p>
        </w:tc>
        <w:tc>
          <w:tcPr>
            <w:tcW w:w="1220" w:type="dxa"/>
            <w:vAlign w:val="bottom"/>
            <w:tcBorders>
              <w:bottom w:val="single" w:sz="8" w:color="auto"/>
            </w:tcBorders>
          </w:tcPr>
          <w:p>
            <w:pPr>
              <w:jc w:val="right"/>
              <w:ind w:right="119"/>
              <w:spacing w:after="0" w:line="183" w:lineRule="exact"/>
              <w:rPr>
                <w:sz w:val="20"/>
                <w:szCs w:val="20"/>
                <w:color w:val="auto"/>
              </w:rPr>
            </w:pPr>
            <w:r>
              <w:rPr>
                <w:rFonts w:ascii="Arial" w:cs="Arial" w:eastAsia="Arial" w:hAnsi="Arial"/>
                <w:sz w:val="16"/>
                <w:szCs w:val="16"/>
                <w:color w:val="auto"/>
              </w:rPr>
              <w:t>7,200,387</w:t>
            </w:r>
          </w:p>
        </w:tc>
        <w:tc>
          <w:tcPr>
            <w:tcW w:w="114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6,975,853</w:t>
            </w:r>
          </w:p>
        </w:tc>
        <w:tc>
          <w:tcPr>
            <w:tcW w:w="11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7,200,387</w:t>
            </w:r>
          </w:p>
        </w:tc>
      </w:tr>
      <w:tr>
        <w:trPr>
          <w:trHeight w:val="183"/>
        </w:trPr>
        <w:tc>
          <w:tcPr>
            <w:tcW w:w="25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ind w:left="220"/>
              <w:spacing w:after="0" w:line="183" w:lineRule="exact"/>
              <w:rPr>
                <w:sz w:val="20"/>
                <w:szCs w:val="20"/>
                <w:color w:val="auto"/>
              </w:rPr>
            </w:pPr>
            <w:r>
              <w:rPr>
                <w:rFonts w:ascii="Arial" w:cs="Arial" w:eastAsia="Arial" w:hAnsi="Arial"/>
                <w:sz w:val="16"/>
                <w:szCs w:val="16"/>
                <w:b w:val="1"/>
                <w:bCs w:val="1"/>
                <w:color w:val="auto"/>
              </w:rPr>
              <w:t>TOTAL</w:t>
            </w:r>
          </w:p>
        </w:tc>
        <w:tc>
          <w:tcPr>
            <w:tcW w:w="1380" w:type="dxa"/>
            <w:vAlign w:val="bottom"/>
            <w:tcBorders>
              <w:bottom w:val="single" w:sz="8" w:color="auto"/>
            </w:tcBorders>
          </w:tcPr>
          <w:p>
            <w:pPr>
              <w:jc w:val="right"/>
              <w:ind w:right="139"/>
              <w:spacing w:after="0" w:line="183" w:lineRule="exact"/>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b w:val="1"/>
                <w:bCs w:val="1"/>
                <w:color w:val="auto"/>
              </w:rPr>
              <w:t>3,840,462</w:t>
            </w:r>
          </w:p>
        </w:tc>
        <w:tc>
          <w:tcPr>
            <w:tcW w:w="1320" w:type="dxa"/>
            <w:vAlign w:val="bottom"/>
            <w:tcBorders>
              <w:bottom w:val="single" w:sz="8" w:color="auto"/>
            </w:tcBorders>
          </w:tcPr>
          <w:p>
            <w:pPr>
              <w:jc w:val="right"/>
              <w:ind w:right="119"/>
              <w:spacing w:after="0" w:line="183" w:lineRule="exact"/>
              <w:rPr>
                <w:sz w:val="20"/>
                <w:szCs w:val="20"/>
                <w:color w:val="auto"/>
              </w:rPr>
            </w:pPr>
            <w:r>
              <w:rPr>
                <w:rFonts w:ascii="Arial" w:cs="Arial" w:eastAsia="Arial" w:hAnsi="Arial"/>
                <w:sz w:val="16"/>
                <w:szCs w:val="16"/>
                <w:b w:val="1"/>
                <w:bCs w:val="1"/>
                <w:color w:val="auto"/>
              </w:rPr>
              <w:t>5,153,216</w:t>
            </w:r>
          </w:p>
        </w:tc>
        <w:tc>
          <w:tcPr>
            <w:tcW w:w="1220" w:type="dxa"/>
            <w:vAlign w:val="bottom"/>
            <w:tcBorders>
              <w:bottom w:val="single" w:sz="8" w:color="auto"/>
            </w:tcBorders>
          </w:tcPr>
          <w:p>
            <w:pPr>
              <w:jc w:val="right"/>
              <w:ind w:right="119"/>
              <w:spacing w:after="0" w:line="183" w:lineRule="exact"/>
              <w:rPr>
                <w:sz w:val="20"/>
                <w:szCs w:val="20"/>
                <w:color w:val="auto"/>
              </w:rPr>
            </w:pPr>
            <w:r>
              <w:rPr>
                <w:rFonts w:ascii="Arial" w:cs="Arial" w:eastAsia="Arial" w:hAnsi="Arial"/>
                <w:sz w:val="16"/>
                <w:szCs w:val="16"/>
                <w:b w:val="1"/>
                <w:bCs w:val="1"/>
                <w:color w:val="auto"/>
              </w:rPr>
              <w:t>8,450,387</w:t>
            </w:r>
          </w:p>
        </w:tc>
        <w:tc>
          <w:tcPr>
            <w:tcW w:w="114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b w:val="1"/>
                <w:bCs w:val="1"/>
                <w:color w:val="auto"/>
              </w:rPr>
              <w:t>8,225,853</w:t>
            </w:r>
          </w:p>
        </w:tc>
        <w:tc>
          <w:tcPr>
            <w:tcW w:w="11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9,979,633</w:t>
            </w:r>
          </w:p>
        </w:tc>
      </w:tr>
      <w:tr>
        <w:trPr>
          <w:trHeight w:val="196"/>
        </w:trPr>
        <w:tc>
          <w:tcPr>
            <w:tcW w:w="2500" w:type="dxa"/>
            <w:vAlign w:val="bottom"/>
          </w:tcPr>
          <w:p>
            <w:pPr>
              <w:ind w:left="60"/>
              <w:spacing w:after="0"/>
              <w:rPr>
                <w:sz w:val="20"/>
                <w:szCs w:val="20"/>
                <w:color w:val="auto"/>
              </w:rPr>
            </w:pPr>
            <w:r>
              <w:rPr>
                <w:rFonts w:ascii="Arial" w:cs="Arial" w:eastAsia="Arial" w:hAnsi="Arial"/>
                <w:sz w:val="16"/>
                <w:szCs w:val="16"/>
                <w:color w:val="auto"/>
              </w:rPr>
              <w:t>Daniel Ammann</w:t>
            </w:r>
          </w:p>
        </w:tc>
        <w:tc>
          <w:tcPr>
            <w:tcW w:w="146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Cash</w:t>
            </w:r>
          </w:p>
        </w:tc>
        <w:tc>
          <w:tcPr>
            <w:tcW w:w="1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1,844,246</w:t>
            </w:r>
          </w:p>
        </w:tc>
        <w:tc>
          <w:tcPr>
            <w:tcW w:w="1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1,829,246</w:t>
            </w:r>
          </w:p>
        </w:tc>
      </w:tr>
      <w:tr>
        <w:trPr>
          <w:trHeight w:val="183"/>
        </w:trPr>
        <w:tc>
          <w:tcPr>
            <w:tcW w:w="2500" w:type="dxa"/>
            <w:vAlign w:val="bottom"/>
          </w:tcPr>
          <w:p>
            <w:pPr>
              <w:spacing w:after="0"/>
              <w:rPr>
                <w:sz w:val="15"/>
                <w:szCs w:val="15"/>
                <w:color w:val="auto"/>
              </w:rPr>
            </w:pPr>
          </w:p>
        </w:tc>
        <w:tc>
          <w:tcPr>
            <w:tcW w:w="1460" w:type="dxa"/>
            <w:vAlign w:val="bottom"/>
            <w:tcBorders>
              <w:bottom w:val="single" w:sz="8" w:color="auto"/>
            </w:tcBorders>
          </w:tcPr>
          <w:p>
            <w:pPr>
              <w:ind w:left="220"/>
              <w:spacing w:after="0" w:line="183" w:lineRule="exact"/>
              <w:rPr>
                <w:sz w:val="20"/>
                <w:szCs w:val="20"/>
                <w:color w:val="auto"/>
              </w:rPr>
            </w:pPr>
            <w:r>
              <w:rPr>
                <w:rFonts w:ascii="Arial" w:cs="Arial" w:eastAsia="Arial" w:hAnsi="Arial"/>
                <w:sz w:val="16"/>
                <w:szCs w:val="16"/>
                <w:color w:val="auto"/>
              </w:rPr>
              <w:t>STIP</w:t>
            </w:r>
          </w:p>
        </w:tc>
        <w:tc>
          <w:tcPr>
            <w:tcW w:w="1380" w:type="dxa"/>
            <w:vAlign w:val="bottom"/>
            <w:tcBorders>
              <w:bottom w:val="single" w:sz="8" w:color="auto"/>
            </w:tcBorders>
          </w:tcPr>
          <w:p>
            <w:pPr>
              <w:jc w:val="right"/>
              <w:ind w:right="139"/>
              <w:spacing w:after="0" w:line="183" w:lineRule="exact"/>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1,500,000</w:t>
            </w:r>
          </w:p>
        </w:tc>
        <w:tc>
          <w:tcPr>
            <w:tcW w:w="1320" w:type="dxa"/>
            <w:vAlign w:val="bottom"/>
            <w:tcBorders>
              <w:bottom w:val="single" w:sz="8" w:color="auto"/>
            </w:tcBorders>
          </w:tcPr>
          <w:p>
            <w:pPr>
              <w:jc w:val="right"/>
              <w:ind w:right="119"/>
              <w:spacing w:after="0" w:line="183" w:lineRule="exact"/>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119"/>
              <w:spacing w:after="0" w:line="183" w:lineRule="exact"/>
              <w:rPr>
                <w:sz w:val="20"/>
                <w:szCs w:val="20"/>
                <w:color w:val="auto"/>
              </w:rPr>
            </w:pPr>
            <w:r>
              <w:rPr>
                <w:rFonts w:ascii="Arial" w:cs="Arial" w:eastAsia="Arial" w:hAnsi="Arial"/>
                <w:sz w:val="16"/>
                <w:szCs w:val="16"/>
                <w:color w:val="auto"/>
              </w:rPr>
              <w:t>1,500,000</w:t>
            </w:r>
          </w:p>
        </w:tc>
        <w:tc>
          <w:tcPr>
            <w:tcW w:w="114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1,500,000</w:t>
            </w:r>
          </w:p>
        </w:tc>
        <w:tc>
          <w:tcPr>
            <w:tcW w:w="11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1,500,000</w:t>
            </w:r>
          </w:p>
        </w:tc>
      </w:tr>
      <w:tr>
        <w:trPr>
          <w:trHeight w:val="183"/>
        </w:trPr>
        <w:tc>
          <w:tcPr>
            <w:tcW w:w="2500" w:type="dxa"/>
            <w:vAlign w:val="bottom"/>
          </w:tcPr>
          <w:p>
            <w:pPr>
              <w:spacing w:after="0"/>
              <w:rPr>
                <w:sz w:val="15"/>
                <w:szCs w:val="15"/>
                <w:color w:val="auto"/>
              </w:rPr>
            </w:pPr>
          </w:p>
        </w:tc>
        <w:tc>
          <w:tcPr>
            <w:tcW w:w="1460" w:type="dxa"/>
            <w:vAlign w:val="bottom"/>
            <w:tcBorders>
              <w:bottom w:val="single" w:sz="8" w:color="auto"/>
            </w:tcBorders>
          </w:tcPr>
          <w:p>
            <w:pPr>
              <w:ind w:left="220"/>
              <w:spacing w:after="0" w:line="183" w:lineRule="exact"/>
              <w:rPr>
                <w:sz w:val="20"/>
                <w:szCs w:val="20"/>
                <w:color w:val="auto"/>
              </w:rPr>
            </w:pPr>
            <w:r>
              <w:rPr>
                <w:rFonts w:ascii="Arial" w:cs="Arial" w:eastAsia="Arial" w:hAnsi="Arial"/>
                <w:sz w:val="16"/>
                <w:szCs w:val="16"/>
                <w:color w:val="auto"/>
              </w:rPr>
              <w:t>LTIP</w:t>
            </w:r>
          </w:p>
        </w:tc>
        <w:tc>
          <w:tcPr>
            <w:tcW w:w="1380" w:type="dxa"/>
            <w:vAlign w:val="bottom"/>
            <w:tcBorders>
              <w:bottom w:val="single" w:sz="8" w:color="auto"/>
            </w:tcBorders>
          </w:tcPr>
          <w:p>
            <w:pPr>
              <w:jc w:val="right"/>
              <w:ind w:right="139"/>
              <w:spacing w:after="0" w:line="183" w:lineRule="exact"/>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695,573</w:t>
            </w:r>
          </w:p>
        </w:tc>
        <w:tc>
          <w:tcPr>
            <w:tcW w:w="1320" w:type="dxa"/>
            <w:vAlign w:val="bottom"/>
            <w:tcBorders>
              <w:bottom w:val="single" w:sz="8" w:color="auto"/>
            </w:tcBorders>
          </w:tcPr>
          <w:p>
            <w:pPr>
              <w:jc w:val="right"/>
              <w:ind w:right="119"/>
              <w:spacing w:after="0" w:line="183" w:lineRule="exact"/>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119"/>
              <w:spacing w:after="0" w:line="183" w:lineRule="exact"/>
              <w:rPr>
                <w:sz w:val="20"/>
                <w:szCs w:val="20"/>
                <w:color w:val="auto"/>
              </w:rPr>
            </w:pPr>
            <w:r>
              <w:rPr>
                <w:rFonts w:ascii="Arial" w:cs="Arial" w:eastAsia="Arial" w:hAnsi="Arial"/>
                <w:sz w:val="16"/>
                <w:szCs w:val="16"/>
                <w:color w:val="auto"/>
              </w:rPr>
              <w:t>12,408,859</w:t>
            </w:r>
          </w:p>
        </w:tc>
        <w:tc>
          <w:tcPr>
            <w:tcW w:w="114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11,919,433</w:t>
            </w:r>
          </w:p>
        </w:tc>
        <w:tc>
          <w:tcPr>
            <w:tcW w:w="11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10,615,818</w:t>
            </w:r>
          </w:p>
        </w:tc>
      </w:tr>
      <w:tr>
        <w:trPr>
          <w:trHeight w:val="183"/>
        </w:trPr>
        <w:tc>
          <w:tcPr>
            <w:tcW w:w="25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ind w:left="220"/>
              <w:spacing w:after="0" w:line="183" w:lineRule="exact"/>
              <w:rPr>
                <w:sz w:val="20"/>
                <w:szCs w:val="20"/>
                <w:color w:val="auto"/>
              </w:rPr>
            </w:pPr>
            <w:r>
              <w:rPr>
                <w:rFonts w:ascii="Arial" w:cs="Arial" w:eastAsia="Arial" w:hAnsi="Arial"/>
                <w:sz w:val="16"/>
                <w:szCs w:val="16"/>
                <w:b w:val="1"/>
                <w:bCs w:val="1"/>
                <w:color w:val="auto"/>
              </w:rPr>
              <w:t>TOTAL</w:t>
            </w:r>
          </w:p>
        </w:tc>
        <w:tc>
          <w:tcPr>
            <w:tcW w:w="1380" w:type="dxa"/>
            <w:vAlign w:val="bottom"/>
            <w:tcBorders>
              <w:bottom w:val="single" w:sz="8" w:color="auto"/>
            </w:tcBorders>
          </w:tcPr>
          <w:p>
            <w:pPr>
              <w:jc w:val="right"/>
              <w:ind w:right="139"/>
              <w:spacing w:after="0" w:line="183" w:lineRule="exact"/>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b w:val="1"/>
                <w:bCs w:val="1"/>
                <w:color w:val="auto"/>
              </w:rPr>
              <w:t>4,039,819</w:t>
            </w:r>
          </w:p>
        </w:tc>
        <w:tc>
          <w:tcPr>
            <w:tcW w:w="1320" w:type="dxa"/>
            <w:vAlign w:val="bottom"/>
            <w:tcBorders>
              <w:bottom w:val="single" w:sz="8" w:color="auto"/>
            </w:tcBorders>
          </w:tcPr>
          <w:p>
            <w:pPr>
              <w:jc w:val="right"/>
              <w:ind w:right="119"/>
              <w:spacing w:after="0" w:line="183" w:lineRule="exact"/>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auto"/>
            </w:tcBorders>
          </w:tcPr>
          <w:p>
            <w:pPr>
              <w:jc w:val="right"/>
              <w:ind w:right="119"/>
              <w:spacing w:after="0" w:line="183" w:lineRule="exact"/>
              <w:rPr>
                <w:sz w:val="20"/>
                <w:szCs w:val="20"/>
                <w:color w:val="auto"/>
              </w:rPr>
            </w:pPr>
            <w:r>
              <w:rPr>
                <w:rFonts w:ascii="Arial" w:cs="Arial" w:eastAsia="Arial" w:hAnsi="Arial"/>
                <w:sz w:val="16"/>
                <w:szCs w:val="16"/>
                <w:b w:val="1"/>
                <w:bCs w:val="1"/>
                <w:color w:val="auto"/>
              </w:rPr>
              <w:t>13,908,859</w:t>
            </w:r>
          </w:p>
        </w:tc>
        <w:tc>
          <w:tcPr>
            <w:tcW w:w="114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b w:val="1"/>
                <w:bCs w:val="1"/>
                <w:color w:val="auto"/>
              </w:rPr>
              <w:t>13,419,433</w:t>
            </w:r>
          </w:p>
        </w:tc>
        <w:tc>
          <w:tcPr>
            <w:tcW w:w="11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13,945,064</w:t>
            </w:r>
          </w:p>
        </w:tc>
      </w:tr>
      <w:tr>
        <w:trPr>
          <w:trHeight w:val="196"/>
        </w:trPr>
        <w:tc>
          <w:tcPr>
            <w:tcW w:w="2500" w:type="dxa"/>
            <w:vAlign w:val="bottom"/>
          </w:tcPr>
          <w:p>
            <w:pPr>
              <w:ind w:left="60"/>
              <w:spacing w:after="0"/>
              <w:rPr>
                <w:sz w:val="20"/>
                <w:szCs w:val="20"/>
                <w:color w:val="auto"/>
              </w:rPr>
            </w:pPr>
            <w:r>
              <w:rPr>
                <w:rFonts w:ascii="Arial" w:cs="Arial" w:eastAsia="Arial" w:hAnsi="Arial"/>
                <w:sz w:val="16"/>
                <w:szCs w:val="16"/>
                <w:color w:val="auto"/>
              </w:rPr>
              <w:t>Mark L. Reuss</w:t>
            </w:r>
          </w:p>
        </w:tc>
        <w:tc>
          <w:tcPr>
            <w:tcW w:w="146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Cash</w:t>
            </w:r>
          </w:p>
        </w:tc>
        <w:tc>
          <w:tcPr>
            <w:tcW w:w="1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1,694,246</w:t>
            </w:r>
          </w:p>
        </w:tc>
        <w:tc>
          <w:tcPr>
            <w:tcW w:w="1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1,679,246</w:t>
            </w:r>
          </w:p>
        </w:tc>
      </w:tr>
      <w:tr>
        <w:trPr>
          <w:trHeight w:val="183"/>
        </w:trPr>
        <w:tc>
          <w:tcPr>
            <w:tcW w:w="2500" w:type="dxa"/>
            <w:vAlign w:val="bottom"/>
          </w:tcPr>
          <w:p>
            <w:pPr>
              <w:spacing w:after="0"/>
              <w:rPr>
                <w:sz w:val="15"/>
                <w:szCs w:val="15"/>
                <w:color w:val="auto"/>
              </w:rPr>
            </w:pPr>
          </w:p>
        </w:tc>
        <w:tc>
          <w:tcPr>
            <w:tcW w:w="1460" w:type="dxa"/>
            <w:vAlign w:val="bottom"/>
            <w:tcBorders>
              <w:bottom w:val="single" w:sz="8" w:color="auto"/>
            </w:tcBorders>
          </w:tcPr>
          <w:p>
            <w:pPr>
              <w:ind w:left="220"/>
              <w:spacing w:after="0" w:line="183" w:lineRule="exact"/>
              <w:rPr>
                <w:sz w:val="20"/>
                <w:szCs w:val="20"/>
                <w:color w:val="auto"/>
              </w:rPr>
            </w:pPr>
            <w:r>
              <w:rPr>
                <w:rFonts w:ascii="Arial" w:cs="Arial" w:eastAsia="Arial" w:hAnsi="Arial"/>
                <w:sz w:val="16"/>
                <w:szCs w:val="16"/>
                <w:color w:val="auto"/>
              </w:rPr>
              <w:t>STIP</w:t>
            </w:r>
          </w:p>
        </w:tc>
        <w:tc>
          <w:tcPr>
            <w:tcW w:w="1380" w:type="dxa"/>
            <w:vAlign w:val="bottom"/>
            <w:tcBorders>
              <w:bottom w:val="single" w:sz="8" w:color="auto"/>
            </w:tcBorders>
          </w:tcPr>
          <w:p>
            <w:pPr>
              <w:jc w:val="right"/>
              <w:ind w:right="139"/>
              <w:spacing w:after="0" w:line="183" w:lineRule="exact"/>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1,375,000</w:t>
            </w:r>
          </w:p>
        </w:tc>
        <w:tc>
          <w:tcPr>
            <w:tcW w:w="1320" w:type="dxa"/>
            <w:vAlign w:val="bottom"/>
            <w:tcBorders>
              <w:bottom w:val="single" w:sz="8" w:color="auto"/>
            </w:tcBorders>
          </w:tcPr>
          <w:p>
            <w:pPr>
              <w:jc w:val="right"/>
              <w:ind w:right="119"/>
              <w:spacing w:after="0" w:line="183" w:lineRule="exact"/>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119"/>
              <w:spacing w:after="0" w:line="183" w:lineRule="exact"/>
              <w:rPr>
                <w:sz w:val="20"/>
                <w:szCs w:val="20"/>
                <w:color w:val="auto"/>
              </w:rPr>
            </w:pPr>
            <w:r>
              <w:rPr>
                <w:rFonts w:ascii="Arial" w:cs="Arial" w:eastAsia="Arial" w:hAnsi="Arial"/>
                <w:sz w:val="16"/>
                <w:szCs w:val="16"/>
                <w:color w:val="auto"/>
              </w:rPr>
              <w:t>1,375,000</w:t>
            </w:r>
          </w:p>
        </w:tc>
        <w:tc>
          <w:tcPr>
            <w:tcW w:w="114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1,375,000</w:t>
            </w:r>
          </w:p>
        </w:tc>
        <w:tc>
          <w:tcPr>
            <w:tcW w:w="11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1,375,000</w:t>
            </w:r>
          </w:p>
        </w:tc>
      </w:tr>
      <w:tr>
        <w:trPr>
          <w:trHeight w:val="183"/>
        </w:trPr>
        <w:tc>
          <w:tcPr>
            <w:tcW w:w="2500" w:type="dxa"/>
            <w:vAlign w:val="bottom"/>
          </w:tcPr>
          <w:p>
            <w:pPr>
              <w:spacing w:after="0"/>
              <w:rPr>
                <w:sz w:val="15"/>
                <w:szCs w:val="15"/>
                <w:color w:val="auto"/>
              </w:rPr>
            </w:pPr>
          </w:p>
        </w:tc>
        <w:tc>
          <w:tcPr>
            <w:tcW w:w="1460" w:type="dxa"/>
            <w:vAlign w:val="bottom"/>
            <w:tcBorders>
              <w:bottom w:val="single" w:sz="8" w:color="auto"/>
            </w:tcBorders>
          </w:tcPr>
          <w:p>
            <w:pPr>
              <w:ind w:left="220"/>
              <w:spacing w:after="0" w:line="183" w:lineRule="exact"/>
              <w:rPr>
                <w:sz w:val="20"/>
                <w:szCs w:val="20"/>
                <w:color w:val="auto"/>
              </w:rPr>
            </w:pPr>
            <w:r>
              <w:rPr>
                <w:rFonts w:ascii="Arial" w:cs="Arial" w:eastAsia="Arial" w:hAnsi="Arial"/>
                <w:sz w:val="16"/>
                <w:szCs w:val="16"/>
                <w:color w:val="auto"/>
              </w:rPr>
              <w:t>LTIP</w:t>
            </w:r>
          </w:p>
        </w:tc>
        <w:tc>
          <w:tcPr>
            <w:tcW w:w="1380" w:type="dxa"/>
            <w:vAlign w:val="bottom"/>
            <w:tcBorders>
              <w:bottom w:val="single" w:sz="8" w:color="auto"/>
            </w:tcBorders>
          </w:tcPr>
          <w:p>
            <w:pPr>
              <w:jc w:val="right"/>
              <w:ind w:right="139"/>
              <w:spacing w:after="0" w:line="183" w:lineRule="exact"/>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592,829</w:t>
            </w:r>
          </w:p>
        </w:tc>
        <w:tc>
          <w:tcPr>
            <w:tcW w:w="1320" w:type="dxa"/>
            <w:vAlign w:val="bottom"/>
            <w:tcBorders>
              <w:bottom w:val="single" w:sz="8" w:color="auto"/>
            </w:tcBorders>
          </w:tcPr>
          <w:p>
            <w:pPr>
              <w:jc w:val="right"/>
              <w:ind w:right="119"/>
              <w:spacing w:after="0" w:line="183" w:lineRule="exact"/>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119"/>
              <w:spacing w:after="0" w:line="183" w:lineRule="exact"/>
              <w:rPr>
                <w:sz w:val="20"/>
                <w:szCs w:val="20"/>
                <w:color w:val="auto"/>
              </w:rPr>
            </w:pPr>
            <w:r>
              <w:rPr>
                <w:rFonts w:ascii="Arial" w:cs="Arial" w:eastAsia="Arial" w:hAnsi="Arial"/>
                <w:sz w:val="16"/>
                <w:szCs w:val="16"/>
                <w:color w:val="auto"/>
              </w:rPr>
              <w:t>12,553,571</w:t>
            </w:r>
          </w:p>
        </w:tc>
        <w:tc>
          <w:tcPr>
            <w:tcW w:w="114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12,121,151</w:t>
            </w:r>
          </w:p>
        </w:tc>
        <w:tc>
          <w:tcPr>
            <w:tcW w:w="11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10,984,724</w:t>
            </w:r>
          </w:p>
        </w:tc>
      </w:tr>
      <w:tr>
        <w:trPr>
          <w:trHeight w:val="183"/>
        </w:trPr>
        <w:tc>
          <w:tcPr>
            <w:tcW w:w="25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ind w:left="220"/>
              <w:spacing w:after="0" w:line="183" w:lineRule="exact"/>
              <w:rPr>
                <w:sz w:val="20"/>
                <w:szCs w:val="20"/>
                <w:color w:val="auto"/>
              </w:rPr>
            </w:pPr>
            <w:r>
              <w:rPr>
                <w:rFonts w:ascii="Arial" w:cs="Arial" w:eastAsia="Arial" w:hAnsi="Arial"/>
                <w:sz w:val="16"/>
                <w:szCs w:val="16"/>
                <w:b w:val="1"/>
                <w:bCs w:val="1"/>
                <w:color w:val="auto"/>
              </w:rPr>
              <w:t>TOTAL</w:t>
            </w:r>
          </w:p>
        </w:tc>
        <w:tc>
          <w:tcPr>
            <w:tcW w:w="1380" w:type="dxa"/>
            <w:vAlign w:val="bottom"/>
            <w:tcBorders>
              <w:bottom w:val="single" w:sz="8" w:color="auto"/>
            </w:tcBorders>
          </w:tcPr>
          <w:p>
            <w:pPr>
              <w:jc w:val="right"/>
              <w:ind w:right="139"/>
              <w:spacing w:after="0" w:line="183" w:lineRule="exact"/>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b w:val="1"/>
                <w:bCs w:val="1"/>
                <w:color w:val="auto"/>
              </w:rPr>
              <w:t>3,662,075</w:t>
            </w:r>
          </w:p>
        </w:tc>
        <w:tc>
          <w:tcPr>
            <w:tcW w:w="1320" w:type="dxa"/>
            <w:vAlign w:val="bottom"/>
            <w:tcBorders>
              <w:bottom w:val="single" w:sz="8" w:color="auto"/>
            </w:tcBorders>
          </w:tcPr>
          <w:p>
            <w:pPr>
              <w:jc w:val="right"/>
              <w:ind w:right="119"/>
              <w:spacing w:after="0" w:line="183" w:lineRule="exact"/>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auto"/>
            </w:tcBorders>
          </w:tcPr>
          <w:p>
            <w:pPr>
              <w:jc w:val="right"/>
              <w:ind w:right="119"/>
              <w:spacing w:after="0" w:line="183" w:lineRule="exact"/>
              <w:rPr>
                <w:sz w:val="20"/>
                <w:szCs w:val="20"/>
                <w:color w:val="auto"/>
              </w:rPr>
            </w:pPr>
            <w:r>
              <w:rPr>
                <w:rFonts w:ascii="Arial" w:cs="Arial" w:eastAsia="Arial" w:hAnsi="Arial"/>
                <w:sz w:val="16"/>
                <w:szCs w:val="16"/>
                <w:b w:val="1"/>
                <w:bCs w:val="1"/>
                <w:color w:val="auto"/>
              </w:rPr>
              <w:t>13,928,571</w:t>
            </w:r>
          </w:p>
        </w:tc>
        <w:tc>
          <w:tcPr>
            <w:tcW w:w="114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b w:val="1"/>
                <w:bCs w:val="1"/>
                <w:color w:val="auto"/>
              </w:rPr>
              <w:t>13,496,151</w:t>
            </w:r>
          </w:p>
        </w:tc>
        <w:tc>
          <w:tcPr>
            <w:tcW w:w="11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14,038,970</w:t>
            </w:r>
          </w:p>
        </w:tc>
      </w:tr>
      <w:tr>
        <w:trPr>
          <w:trHeight w:val="196"/>
        </w:trPr>
        <w:tc>
          <w:tcPr>
            <w:tcW w:w="2500" w:type="dxa"/>
            <w:vAlign w:val="bottom"/>
          </w:tcPr>
          <w:p>
            <w:pPr>
              <w:ind w:left="60"/>
              <w:spacing w:after="0"/>
              <w:rPr>
                <w:sz w:val="20"/>
                <w:szCs w:val="20"/>
                <w:color w:val="auto"/>
              </w:rPr>
            </w:pPr>
            <w:r>
              <w:rPr>
                <w:rFonts w:ascii="Arial" w:cs="Arial" w:eastAsia="Arial" w:hAnsi="Arial"/>
                <w:sz w:val="16"/>
                <w:szCs w:val="16"/>
                <w:color w:val="auto"/>
              </w:rPr>
              <w:t>Craig B. Glidden</w:t>
            </w:r>
          </w:p>
        </w:tc>
        <w:tc>
          <w:tcPr>
            <w:tcW w:w="146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Cash</w:t>
            </w:r>
          </w:p>
        </w:tc>
        <w:tc>
          <w:tcPr>
            <w:tcW w:w="1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1,094,246</w:t>
            </w:r>
          </w:p>
        </w:tc>
        <w:tc>
          <w:tcPr>
            <w:tcW w:w="1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1,079,246</w:t>
            </w:r>
          </w:p>
        </w:tc>
      </w:tr>
      <w:tr>
        <w:trPr>
          <w:trHeight w:val="183"/>
        </w:trPr>
        <w:tc>
          <w:tcPr>
            <w:tcW w:w="2500" w:type="dxa"/>
            <w:vAlign w:val="bottom"/>
          </w:tcPr>
          <w:p>
            <w:pPr>
              <w:spacing w:after="0"/>
              <w:rPr>
                <w:sz w:val="15"/>
                <w:szCs w:val="15"/>
                <w:color w:val="auto"/>
              </w:rPr>
            </w:pPr>
          </w:p>
        </w:tc>
        <w:tc>
          <w:tcPr>
            <w:tcW w:w="1460" w:type="dxa"/>
            <w:vAlign w:val="bottom"/>
            <w:tcBorders>
              <w:bottom w:val="single" w:sz="8" w:color="auto"/>
            </w:tcBorders>
          </w:tcPr>
          <w:p>
            <w:pPr>
              <w:ind w:left="220"/>
              <w:spacing w:after="0" w:line="183" w:lineRule="exact"/>
              <w:rPr>
                <w:sz w:val="20"/>
                <w:szCs w:val="20"/>
                <w:color w:val="auto"/>
              </w:rPr>
            </w:pPr>
            <w:r>
              <w:rPr>
                <w:rFonts w:ascii="Arial" w:cs="Arial" w:eastAsia="Arial" w:hAnsi="Arial"/>
                <w:sz w:val="16"/>
                <w:szCs w:val="16"/>
                <w:color w:val="auto"/>
              </w:rPr>
              <w:t>STIP</w:t>
            </w:r>
          </w:p>
        </w:tc>
        <w:tc>
          <w:tcPr>
            <w:tcW w:w="1380" w:type="dxa"/>
            <w:vAlign w:val="bottom"/>
            <w:tcBorders>
              <w:bottom w:val="single" w:sz="8" w:color="auto"/>
            </w:tcBorders>
          </w:tcPr>
          <w:p>
            <w:pPr>
              <w:jc w:val="right"/>
              <w:ind w:right="139"/>
              <w:spacing w:after="0" w:line="183" w:lineRule="exact"/>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875,000</w:t>
            </w:r>
          </w:p>
        </w:tc>
        <w:tc>
          <w:tcPr>
            <w:tcW w:w="1320" w:type="dxa"/>
            <w:vAlign w:val="bottom"/>
            <w:tcBorders>
              <w:bottom w:val="single" w:sz="8" w:color="auto"/>
            </w:tcBorders>
          </w:tcPr>
          <w:p>
            <w:pPr>
              <w:jc w:val="right"/>
              <w:ind w:right="119"/>
              <w:spacing w:after="0" w:line="183" w:lineRule="exact"/>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119"/>
              <w:spacing w:after="0" w:line="183" w:lineRule="exact"/>
              <w:rPr>
                <w:sz w:val="20"/>
                <w:szCs w:val="20"/>
                <w:color w:val="auto"/>
              </w:rPr>
            </w:pPr>
            <w:r>
              <w:rPr>
                <w:rFonts w:ascii="Arial" w:cs="Arial" w:eastAsia="Arial" w:hAnsi="Arial"/>
                <w:sz w:val="16"/>
                <w:szCs w:val="16"/>
                <w:color w:val="auto"/>
              </w:rPr>
              <w:t>875,000</w:t>
            </w:r>
          </w:p>
        </w:tc>
        <w:tc>
          <w:tcPr>
            <w:tcW w:w="114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875,000</w:t>
            </w:r>
          </w:p>
        </w:tc>
        <w:tc>
          <w:tcPr>
            <w:tcW w:w="11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875,000</w:t>
            </w:r>
          </w:p>
        </w:tc>
      </w:tr>
      <w:tr>
        <w:trPr>
          <w:trHeight w:val="183"/>
        </w:trPr>
        <w:tc>
          <w:tcPr>
            <w:tcW w:w="2500" w:type="dxa"/>
            <w:vAlign w:val="bottom"/>
          </w:tcPr>
          <w:p>
            <w:pPr>
              <w:spacing w:after="0"/>
              <w:rPr>
                <w:sz w:val="15"/>
                <w:szCs w:val="15"/>
                <w:color w:val="auto"/>
              </w:rPr>
            </w:pPr>
          </w:p>
        </w:tc>
        <w:tc>
          <w:tcPr>
            <w:tcW w:w="1460" w:type="dxa"/>
            <w:vAlign w:val="bottom"/>
            <w:tcBorders>
              <w:bottom w:val="single" w:sz="8" w:color="auto"/>
            </w:tcBorders>
          </w:tcPr>
          <w:p>
            <w:pPr>
              <w:ind w:left="220"/>
              <w:spacing w:after="0" w:line="183" w:lineRule="exact"/>
              <w:rPr>
                <w:sz w:val="20"/>
                <w:szCs w:val="20"/>
                <w:color w:val="auto"/>
              </w:rPr>
            </w:pPr>
            <w:r>
              <w:rPr>
                <w:rFonts w:ascii="Arial" w:cs="Arial" w:eastAsia="Arial" w:hAnsi="Arial"/>
                <w:sz w:val="16"/>
                <w:szCs w:val="16"/>
                <w:color w:val="auto"/>
              </w:rPr>
              <w:t>LTIP</w:t>
            </w:r>
          </w:p>
        </w:tc>
        <w:tc>
          <w:tcPr>
            <w:tcW w:w="1380" w:type="dxa"/>
            <w:vAlign w:val="bottom"/>
            <w:tcBorders>
              <w:bottom w:val="single" w:sz="8" w:color="auto"/>
            </w:tcBorders>
          </w:tcPr>
          <w:p>
            <w:pPr>
              <w:jc w:val="right"/>
              <w:ind w:right="139"/>
              <w:spacing w:after="0" w:line="183" w:lineRule="exact"/>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148,488</w:t>
            </w:r>
          </w:p>
        </w:tc>
        <w:tc>
          <w:tcPr>
            <w:tcW w:w="1320" w:type="dxa"/>
            <w:vAlign w:val="bottom"/>
            <w:tcBorders>
              <w:bottom w:val="single" w:sz="8" w:color="auto"/>
            </w:tcBorders>
          </w:tcPr>
          <w:p>
            <w:pPr>
              <w:jc w:val="right"/>
              <w:ind w:right="119"/>
              <w:spacing w:after="0" w:line="183" w:lineRule="exact"/>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119"/>
              <w:spacing w:after="0" w:line="183" w:lineRule="exact"/>
              <w:rPr>
                <w:sz w:val="20"/>
                <w:szCs w:val="20"/>
                <w:color w:val="auto"/>
              </w:rPr>
            </w:pPr>
            <w:r>
              <w:rPr>
                <w:rFonts w:ascii="Arial" w:cs="Arial" w:eastAsia="Arial" w:hAnsi="Arial"/>
                <w:sz w:val="16"/>
                <w:szCs w:val="16"/>
                <w:color w:val="auto"/>
              </w:rPr>
              <w:t>5,265,786</w:t>
            </w:r>
          </w:p>
        </w:tc>
        <w:tc>
          <w:tcPr>
            <w:tcW w:w="114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5,265,786</w:t>
            </w:r>
          </w:p>
        </w:tc>
        <w:tc>
          <w:tcPr>
            <w:tcW w:w="11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5,265,786</w:t>
            </w:r>
          </w:p>
        </w:tc>
      </w:tr>
      <w:tr>
        <w:trPr>
          <w:trHeight w:val="203"/>
        </w:trPr>
        <w:tc>
          <w:tcPr>
            <w:tcW w:w="2500" w:type="dxa"/>
            <w:vAlign w:val="bottom"/>
            <w:tcBorders>
              <w:bottom w:val="single" w:sz="8" w:color="08228B"/>
            </w:tcBorders>
          </w:tcPr>
          <w:p>
            <w:pPr>
              <w:spacing w:after="0"/>
              <w:rPr>
                <w:sz w:val="17"/>
                <w:szCs w:val="17"/>
                <w:color w:val="auto"/>
              </w:rPr>
            </w:pPr>
          </w:p>
        </w:tc>
        <w:tc>
          <w:tcPr>
            <w:tcW w:w="1460" w:type="dxa"/>
            <w:vAlign w:val="bottom"/>
            <w:tcBorders>
              <w:bottom w:val="single" w:sz="8" w:color="08228B"/>
            </w:tcBorders>
          </w:tcPr>
          <w:p>
            <w:pPr>
              <w:ind w:left="220"/>
              <w:spacing w:after="0"/>
              <w:rPr>
                <w:sz w:val="20"/>
                <w:szCs w:val="20"/>
                <w:color w:val="auto"/>
              </w:rPr>
            </w:pPr>
            <w:r>
              <w:rPr>
                <w:rFonts w:ascii="Arial" w:cs="Arial" w:eastAsia="Arial" w:hAnsi="Arial"/>
                <w:sz w:val="16"/>
                <w:szCs w:val="16"/>
                <w:b w:val="1"/>
                <w:bCs w:val="1"/>
                <w:color w:val="auto"/>
              </w:rPr>
              <w:t>TOTAL</w:t>
            </w:r>
          </w:p>
        </w:tc>
        <w:tc>
          <w:tcPr>
            <w:tcW w:w="1380" w:type="dxa"/>
            <w:vAlign w:val="bottom"/>
            <w:tcBorders>
              <w:bottom w:val="single" w:sz="8" w:color="08228B"/>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08228B"/>
            </w:tcBorders>
          </w:tcPr>
          <w:p>
            <w:pPr>
              <w:jc w:val="right"/>
              <w:ind w:right="39"/>
              <w:spacing w:after="0"/>
              <w:rPr>
                <w:sz w:val="20"/>
                <w:szCs w:val="20"/>
                <w:color w:val="auto"/>
              </w:rPr>
            </w:pPr>
            <w:r>
              <w:rPr>
                <w:rFonts w:ascii="Arial" w:cs="Arial" w:eastAsia="Arial" w:hAnsi="Arial"/>
                <w:sz w:val="16"/>
                <w:szCs w:val="16"/>
                <w:b w:val="1"/>
                <w:bCs w:val="1"/>
                <w:color w:val="auto"/>
              </w:rPr>
              <w:t>2,117,734</w:t>
            </w:r>
          </w:p>
        </w:tc>
        <w:tc>
          <w:tcPr>
            <w:tcW w:w="1320" w:type="dxa"/>
            <w:vAlign w:val="bottom"/>
            <w:tcBorders>
              <w:bottom w:val="single" w:sz="8" w:color="08228B"/>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08228B"/>
            </w:tcBorders>
          </w:tcPr>
          <w:p>
            <w:pPr>
              <w:jc w:val="right"/>
              <w:ind w:right="119"/>
              <w:spacing w:after="0"/>
              <w:rPr>
                <w:sz w:val="20"/>
                <w:szCs w:val="20"/>
                <w:color w:val="auto"/>
              </w:rPr>
            </w:pPr>
            <w:r>
              <w:rPr>
                <w:rFonts w:ascii="Arial" w:cs="Arial" w:eastAsia="Arial" w:hAnsi="Arial"/>
                <w:sz w:val="16"/>
                <w:szCs w:val="16"/>
                <w:b w:val="1"/>
                <w:bCs w:val="1"/>
                <w:color w:val="auto"/>
              </w:rPr>
              <w:t>6,140,786</w:t>
            </w:r>
          </w:p>
        </w:tc>
        <w:tc>
          <w:tcPr>
            <w:tcW w:w="1140" w:type="dxa"/>
            <w:vAlign w:val="bottom"/>
            <w:tcBorders>
              <w:bottom w:val="single" w:sz="8" w:color="08228B"/>
            </w:tcBorders>
          </w:tcPr>
          <w:p>
            <w:pPr>
              <w:jc w:val="right"/>
              <w:ind w:right="39"/>
              <w:spacing w:after="0"/>
              <w:rPr>
                <w:sz w:val="20"/>
                <w:szCs w:val="20"/>
                <w:color w:val="auto"/>
              </w:rPr>
            </w:pPr>
            <w:r>
              <w:rPr>
                <w:rFonts w:ascii="Arial" w:cs="Arial" w:eastAsia="Arial" w:hAnsi="Arial"/>
                <w:sz w:val="16"/>
                <w:szCs w:val="16"/>
                <w:b w:val="1"/>
                <w:bCs w:val="1"/>
                <w:color w:val="auto"/>
              </w:rPr>
              <w:t>6,140,786</w:t>
            </w:r>
          </w:p>
        </w:tc>
        <w:tc>
          <w:tcPr>
            <w:tcW w:w="1120" w:type="dxa"/>
            <w:vAlign w:val="bottom"/>
            <w:tcBorders>
              <w:bottom w:val="single" w:sz="8" w:color="08228B"/>
            </w:tcBorders>
          </w:tcPr>
          <w:p>
            <w:pPr>
              <w:jc w:val="right"/>
              <w:spacing w:after="0"/>
              <w:rPr>
                <w:sz w:val="20"/>
                <w:szCs w:val="20"/>
                <w:color w:val="auto"/>
              </w:rPr>
            </w:pPr>
            <w:r>
              <w:rPr>
                <w:rFonts w:ascii="Arial" w:cs="Arial" w:eastAsia="Arial" w:hAnsi="Arial"/>
                <w:sz w:val="16"/>
                <w:szCs w:val="16"/>
                <w:b w:val="1"/>
                <w:bCs w:val="1"/>
                <w:color w:val="auto"/>
              </w:rPr>
              <w:t>7,220,032</w:t>
            </w:r>
          </w:p>
        </w:tc>
      </w:tr>
    </w:tbl>
    <w:p>
      <w:pPr>
        <w:spacing w:after="0" w:line="72" w:lineRule="exact"/>
        <w:rPr>
          <w:sz w:val="20"/>
          <w:szCs w:val="20"/>
          <w:color w:val="auto"/>
        </w:rPr>
      </w:pPr>
    </w:p>
    <w:p>
      <w:pPr>
        <w:jc w:val="both"/>
        <w:ind w:left="340" w:right="120" w:hanging="332"/>
        <w:spacing w:after="0" w:line="246" w:lineRule="auto"/>
        <w:tabs>
          <w:tab w:leader="none" w:pos="340" w:val="left"/>
        </w:tabs>
        <w:numPr>
          <w:ilvl w:val="0"/>
          <w:numId w:val="110"/>
        </w:numPr>
        <w:rPr>
          <w:rFonts w:ascii="Arial" w:cs="Arial" w:eastAsia="Arial" w:hAnsi="Arial"/>
          <w:sz w:val="14"/>
          <w:szCs w:val="14"/>
          <w:i w:val="1"/>
          <w:iCs w:val="1"/>
          <w:color w:val="auto"/>
        </w:rPr>
      </w:pPr>
      <w:r>
        <w:rPr>
          <w:rFonts w:ascii="Arial" w:cs="Arial" w:eastAsia="Arial" w:hAnsi="Arial"/>
          <w:sz w:val="14"/>
          <w:szCs w:val="14"/>
          <w:i w:val="1"/>
          <w:iCs w:val="1"/>
          <w:color w:val="auto"/>
        </w:rPr>
        <w:t>Cash amounts shown for Executive Severance Program and Change in Control with Termination are based on the Executive Severance Program filed with the SEC on Form 8-K on February 3, 2016. Payments are 2X Base for the CEO and 1.5X Base for all other NEOs. Under an Executive Severance Program, the CEO is eligible for a cash payment equal to 24 months of COBRA premiums, and the other NEOs, 18 months of COBRA premiums. There are no cash payments due upon Full Career Status Retirement, Disability, or Death.</w:t>
      </w:r>
    </w:p>
    <w:p>
      <w:pPr>
        <w:spacing w:after="0" w:line="2" w:lineRule="exact"/>
        <w:rPr>
          <w:rFonts w:ascii="Arial" w:cs="Arial" w:eastAsia="Arial" w:hAnsi="Arial"/>
          <w:sz w:val="14"/>
          <w:szCs w:val="14"/>
          <w:i w:val="1"/>
          <w:iCs w:val="1"/>
          <w:color w:val="auto"/>
        </w:rPr>
      </w:pPr>
    </w:p>
    <w:p>
      <w:pPr>
        <w:jc w:val="both"/>
        <w:ind w:left="340" w:right="140" w:hanging="332"/>
        <w:spacing w:after="0" w:line="241" w:lineRule="auto"/>
        <w:tabs>
          <w:tab w:leader="none" w:pos="340" w:val="left"/>
        </w:tabs>
        <w:numPr>
          <w:ilvl w:val="0"/>
          <w:numId w:val="110"/>
        </w:numPr>
        <w:rPr>
          <w:rFonts w:ascii="Arial" w:cs="Arial" w:eastAsia="Arial" w:hAnsi="Arial"/>
          <w:sz w:val="14"/>
          <w:szCs w:val="14"/>
          <w:i w:val="1"/>
          <w:iCs w:val="1"/>
          <w:color w:val="auto"/>
        </w:rPr>
      </w:pPr>
      <w:r>
        <w:rPr>
          <w:rFonts w:ascii="Arial" w:cs="Arial" w:eastAsia="Arial" w:hAnsi="Arial"/>
          <w:sz w:val="14"/>
          <w:szCs w:val="14"/>
          <w:i w:val="1"/>
          <w:iCs w:val="1"/>
          <w:color w:val="auto"/>
        </w:rPr>
        <w:t>STIP values shown for Full Career Status Retirement, Disability, and Death are based on the actual full-year performance at the overall corporate achievement. STIP amounts shown for Executive Severance Program and Change in Control with Termination reflect target-level performance. Executives forfeit STIP awards for Voluntary Separation or Termination for Cause.</w:t>
      </w:r>
    </w:p>
    <w:p>
      <w:pPr>
        <w:spacing w:after="0" w:line="1" w:lineRule="exact"/>
        <w:rPr>
          <w:rFonts w:ascii="Arial" w:cs="Arial" w:eastAsia="Arial" w:hAnsi="Arial"/>
          <w:sz w:val="14"/>
          <w:szCs w:val="14"/>
          <w:i w:val="1"/>
          <w:iCs w:val="1"/>
          <w:color w:val="auto"/>
        </w:rPr>
      </w:pPr>
    </w:p>
    <w:p>
      <w:pPr>
        <w:jc w:val="both"/>
        <w:ind w:left="340" w:right="120" w:hanging="332"/>
        <w:spacing w:after="0" w:line="241" w:lineRule="auto"/>
        <w:tabs>
          <w:tab w:leader="none" w:pos="340" w:val="left"/>
        </w:tabs>
        <w:numPr>
          <w:ilvl w:val="0"/>
          <w:numId w:val="110"/>
        </w:numPr>
        <w:rPr>
          <w:rFonts w:ascii="Arial" w:cs="Arial" w:eastAsia="Arial" w:hAnsi="Arial"/>
          <w:sz w:val="14"/>
          <w:szCs w:val="14"/>
          <w:i w:val="1"/>
          <w:iCs w:val="1"/>
          <w:color w:val="auto"/>
        </w:rPr>
      </w:pPr>
      <w:r>
        <w:rPr>
          <w:rFonts w:ascii="Arial" w:cs="Arial" w:eastAsia="Arial" w:hAnsi="Arial"/>
          <w:sz w:val="14"/>
          <w:szCs w:val="14"/>
          <w:i w:val="1"/>
          <w:iCs w:val="1"/>
          <w:color w:val="auto"/>
        </w:rPr>
        <w:t>LTIP amounts reflect the value of unvested RSU awards, PSU awards, and stock options that may vest upon termination. The value of the awards is based on GM’s closing stock price on December 31, 2015, of $34.01. For the Executive Severance Program, RSU awards and PSU awards are delivered in cash once vested; the value displayed reflects the value of awards that would be subject to payment based on December 31, 2015.</w:t>
      </w:r>
    </w:p>
    <w:p>
      <w:pPr>
        <w:spacing w:after="0" w:line="1" w:lineRule="exact"/>
        <w:rPr>
          <w:rFonts w:ascii="Arial" w:cs="Arial" w:eastAsia="Arial" w:hAnsi="Arial"/>
          <w:sz w:val="14"/>
          <w:szCs w:val="14"/>
          <w:i w:val="1"/>
          <w:iCs w:val="1"/>
          <w:color w:val="auto"/>
        </w:rPr>
      </w:pPr>
    </w:p>
    <w:p>
      <w:pPr>
        <w:ind w:left="340" w:hanging="332"/>
        <w:spacing w:after="0"/>
        <w:tabs>
          <w:tab w:leader="none" w:pos="340" w:val="left"/>
        </w:tabs>
        <w:numPr>
          <w:ilvl w:val="0"/>
          <w:numId w:val="110"/>
        </w:numPr>
        <w:rPr>
          <w:rFonts w:ascii="Arial" w:cs="Arial" w:eastAsia="Arial" w:hAnsi="Arial"/>
          <w:sz w:val="14"/>
          <w:szCs w:val="14"/>
          <w:i w:val="1"/>
          <w:iCs w:val="1"/>
          <w:color w:val="auto"/>
        </w:rPr>
      </w:pPr>
      <w:r>
        <w:rPr>
          <w:rFonts w:ascii="Arial" w:cs="Arial" w:eastAsia="Arial" w:hAnsi="Arial"/>
          <w:sz w:val="14"/>
          <w:szCs w:val="14"/>
          <w:i w:val="1"/>
          <w:iCs w:val="1"/>
          <w:color w:val="auto"/>
        </w:rPr>
        <w:t>Only Mr. Stevens was eligible for retirement as of December 31, 2015.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13"/>
        </w:trPr>
        <w:tc>
          <w:tcPr>
            <w:tcW w:w="4340" w:type="dxa"/>
            <w:vAlign w:val="bottom"/>
            <w:tcBorders>
              <w:bottom w:val="single" w:sz="8" w:color="08228B"/>
            </w:tcBorders>
          </w:tcPr>
          <w:p>
            <w:pPr>
              <w:spacing w:after="0"/>
              <w:rPr>
                <w:sz w:val="9"/>
                <w:szCs w:val="9"/>
                <w:color w:val="auto"/>
              </w:rPr>
            </w:pPr>
          </w:p>
        </w:tc>
        <w:tc>
          <w:tcPr>
            <w:tcW w:w="2060" w:type="dxa"/>
            <w:vAlign w:val="bottom"/>
            <w:vMerge w:val="restart"/>
          </w:tcPr>
          <w:p>
            <w:pPr>
              <w:ind w:left="60"/>
              <w:spacing w:after="0"/>
              <w:rPr>
                <w:sz w:val="20"/>
                <w:szCs w:val="20"/>
                <w:color w:val="auto"/>
              </w:rPr>
            </w:pPr>
            <w:r>
              <w:rPr>
                <w:rFonts w:ascii="Arial" w:cs="Arial" w:eastAsia="Arial" w:hAnsi="Arial"/>
                <w:sz w:val="16"/>
                <w:szCs w:val="16"/>
                <w:b w:val="1"/>
                <w:bCs w:val="1"/>
                <w:color w:val="1C90D3"/>
              </w:rPr>
              <w:t xml:space="preserve">2016 </w:t>
            </w:r>
            <w:r>
              <w:rPr>
                <w:rFonts w:ascii="Arial" w:cs="Arial" w:eastAsia="Arial" w:hAnsi="Arial"/>
                <w:sz w:val="16"/>
                <w:szCs w:val="16"/>
                <w:color w:val="08228B"/>
              </w:rPr>
              <w:t>PROXY STATEMENT</w:t>
            </w:r>
          </w:p>
        </w:tc>
        <w:tc>
          <w:tcPr>
            <w:tcW w:w="2400" w:type="dxa"/>
            <w:vAlign w:val="bottom"/>
            <w:tcBorders>
              <w:bottom w:val="single" w:sz="8" w:color="08228B"/>
            </w:tcBorders>
          </w:tcPr>
          <w:p>
            <w:pPr>
              <w:spacing w:after="0"/>
              <w:rPr>
                <w:sz w:val="9"/>
                <w:szCs w:val="9"/>
                <w:color w:val="auto"/>
              </w:rPr>
            </w:pPr>
          </w:p>
        </w:tc>
        <w:tc>
          <w:tcPr>
            <w:tcW w:w="2620" w:type="dxa"/>
            <w:vAlign w:val="bottom"/>
            <w:vMerge w:val="restart"/>
          </w:tcPr>
          <w:p>
            <w:pPr>
              <w:jc w:val="right"/>
              <w:ind w:right="39"/>
              <w:spacing w:after="0"/>
              <w:rPr>
                <w:sz w:val="20"/>
                <w:szCs w:val="20"/>
                <w:color w:val="auto"/>
              </w:rPr>
            </w:pPr>
            <w:r>
              <w:rPr>
                <w:rFonts w:ascii="Arial" w:cs="Arial" w:eastAsia="Arial" w:hAnsi="Arial"/>
                <w:sz w:val="16"/>
                <w:szCs w:val="16"/>
                <w:color w:val="08228B"/>
              </w:rPr>
              <w:t>61</w:t>
            </w:r>
          </w:p>
        </w:tc>
        <w:tc>
          <w:tcPr>
            <w:tcW w:w="0" w:type="dxa"/>
            <w:vAlign w:val="bottom"/>
          </w:tcPr>
          <w:p>
            <w:pPr>
              <w:spacing w:after="0"/>
              <w:rPr>
                <w:sz w:val="1"/>
                <w:szCs w:val="1"/>
                <w:color w:val="auto"/>
              </w:rPr>
            </w:pPr>
          </w:p>
        </w:tc>
      </w:tr>
      <w:tr>
        <w:trPr>
          <w:trHeight w:val="82"/>
        </w:trPr>
        <w:tc>
          <w:tcPr>
            <w:tcW w:w="4340" w:type="dxa"/>
            <w:vAlign w:val="bottom"/>
          </w:tcPr>
          <w:p>
            <w:pPr>
              <w:spacing w:after="0"/>
              <w:rPr>
                <w:sz w:val="7"/>
                <w:szCs w:val="7"/>
                <w:color w:val="auto"/>
              </w:rPr>
            </w:pPr>
          </w:p>
        </w:tc>
        <w:tc>
          <w:tcPr>
            <w:tcW w:w="2060" w:type="dxa"/>
            <w:vAlign w:val="bottom"/>
            <w:vMerge w:val="continue"/>
          </w:tcPr>
          <w:p>
            <w:pPr>
              <w:spacing w:after="0"/>
              <w:rPr>
                <w:sz w:val="7"/>
                <w:szCs w:val="7"/>
                <w:color w:val="auto"/>
              </w:rPr>
            </w:pPr>
          </w:p>
        </w:tc>
        <w:tc>
          <w:tcPr>
            <w:tcW w:w="2400" w:type="dxa"/>
            <w:vAlign w:val="bottom"/>
          </w:tcPr>
          <w:p>
            <w:pPr>
              <w:spacing w:after="0"/>
              <w:rPr>
                <w:sz w:val="7"/>
                <w:szCs w:val="7"/>
                <w:color w:val="auto"/>
              </w:rPr>
            </w:pPr>
          </w:p>
        </w:tc>
        <w:tc>
          <w:tcPr>
            <w:tcW w:w="2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7"/>
        </w:trPr>
        <w:tc>
          <w:tcPr>
            <w:tcW w:w="4340" w:type="dxa"/>
            <w:vAlign w:val="bottom"/>
            <w:tcBorders>
              <w:bottom w:val="single" w:sz="8" w:color="C0C0C0"/>
            </w:tcBorders>
          </w:tcPr>
          <w:p>
            <w:pPr>
              <w:spacing w:after="0"/>
              <w:rPr>
                <w:sz w:val="24"/>
                <w:szCs w:val="24"/>
                <w:color w:val="auto"/>
              </w:rPr>
            </w:pPr>
          </w:p>
        </w:tc>
        <w:tc>
          <w:tcPr>
            <w:tcW w:w="2060" w:type="dxa"/>
            <w:vAlign w:val="bottom"/>
            <w:tcBorders>
              <w:bottom w:val="single" w:sz="8" w:color="C0C0C0"/>
            </w:tcBorders>
          </w:tcPr>
          <w:p>
            <w:pPr>
              <w:spacing w:after="0"/>
              <w:rPr>
                <w:sz w:val="24"/>
                <w:szCs w:val="24"/>
                <w:color w:val="auto"/>
              </w:rPr>
            </w:pPr>
          </w:p>
        </w:tc>
        <w:tc>
          <w:tcPr>
            <w:tcW w:w="2400" w:type="dxa"/>
            <w:vAlign w:val="bottom"/>
            <w:tcBorders>
              <w:bottom w:val="single" w:sz="8" w:color="C0C0C0"/>
            </w:tcBorders>
          </w:tcPr>
          <w:p>
            <w:pPr>
              <w:spacing w:after="0"/>
              <w:rPr>
                <w:sz w:val="24"/>
                <w:szCs w:val="24"/>
                <w:color w:val="auto"/>
              </w:rPr>
            </w:pPr>
          </w:p>
        </w:tc>
        <w:tc>
          <w:tcPr>
            <w:tcW w:w="262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5613400</wp:posOffset>
            </wp:positionH>
            <wp:positionV relativeFrom="paragraph">
              <wp:posOffset>-334010</wp:posOffset>
            </wp:positionV>
            <wp:extent cx="1286510" cy="8572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1286510" cy="8572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Back to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32"/>
          <w:szCs w:val="32"/>
          <w:color w:val="1C90D3"/>
        </w:rPr>
        <w:t>Equity Compensation Plan Information</w:t>
      </w:r>
    </w:p>
    <w:p>
      <w:pPr>
        <w:spacing w:after="0" w:line="211"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following table provides information as of December 31, 2015, about the Company’s common stock that may be issued upon the exercise of options, warrants, and rights under all of the Company’s existing equity compensation plans.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420" w:type="dxa"/>
            <w:vAlign w:val="bottom"/>
            <w:tcBorders>
              <w:top w:val="single" w:sz="8" w:color="1C90D3"/>
            </w:tcBorders>
          </w:tcPr>
          <w:p>
            <w:pPr>
              <w:spacing w:after="0"/>
              <w:rPr>
                <w:sz w:val="17"/>
                <w:szCs w:val="17"/>
                <w:color w:val="auto"/>
              </w:rPr>
            </w:pPr>
          </w:p>
        </w:tc>
        <w:tc>
          <w:tcPr>
            <w:tcW w:w="2680" w:type="dxa"/>
            <w:vAlign w:val="bottom"/>
            <w:tcBorders>
              <w:top w:val="single" w:sz="8" w:color="1C90D3"/>
            </w:tcBorders>
          </w:tcPr>
          <w:p>
            <w:pPr>
              <w:spacing w:after="0"/>
              <w:rPr>
                <w:sz w:val="17"/>
                <w:szCs w:val="17"/>
                <w:color w:val="auto"/>
              </w:rPr>
            </w:pPr>
          </w:p>
        </w:tc>
        <w:tc>
          <w:tcPr>
            <w:tcW w:w="2860" w:type="dxa"/>
            <w:vAlign w:val="bottom"/>
            <w:tcBorders>
              <w:top w:val="single" w:sz="8" w:color="1C90D3"/>
            </w:tcBorders>
          </w:tcPr>
          <w:p>
            <w:pPr>
              <w:spacing w:after="0"/>
              <w:rPr>
                <w:sz w:val="17"/>
                <w:szCs w:val="17"/>
                <w:color w:val="auto"/>
              </w:rPr>
            </w:pPr>
          </w:p>
        </w:tc>
        <w:tc>
          <w:tcPr>
            <w:tcW w:w="2340" w:type="dxa"/>
            <w:vAlign w:val="bottom"/>
            <w:tcBorders>
              <w:top w:val="single" w:sz="8" w:color="1C90D3"/>
            </w:tcBorders>
          </w:tcPr>
          <w:p>
            <w:pPr>
              <w:jc w:val="right"/>
              <w:spacing w:after="0"/>
              <w:rPr>
                <w:sz w:val="20"/>
                <w:szCs w:val="20"/>
                <w:color w:val="auto"/>
              </w:rPr>
            </w:pPr>
            <w:r>
              <w:rPr>
                <w:rFonts w:ascii="Arial" w:cs="Arial" w:eastAsia="Arial" w:hAnsi="Arial"/>
                <w:sz w:val="16"/>
                <w:szCs w:val="16"/>
                <w:b w:val="1"/>
                <w:bCs w:val="1"/>
                <w:color w:val="1C90D3"/>
              </w:rPr>
              <w:t>Number of Securities</w:t>
            </w:r>
          </w:p>
        </w:tc>
      </w:tr>
      <w:tr>
        <w:trPr>
          <w:trHeight w:val="189"/>
        </w:trPr>
        <w:tc>
          <w:tcPr>
            <w:tcW w:w="342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2340" w:type="dxa"/>
            <w:vAlign w:val="bottom"/>
          </w:tcPr>
          <w:p>
            <w:pPr>
              <w:jc w:val="right"/>
              <w:spacing w:after="0"/>
              <w:rPr>
                <w:sz w:val="20"/>
                <w:szCs w:val="20"/>
                <w:color w:val="auto"/>
              </w:rPr>
            </w:pPr>
            <w:r>
              <w:rPr>
                <w:rFonts w:ascii="Arial" w:cs="Arial" w:eastAsia="Arial" w:hAnsi="Arial"/>
                <w:sz w:val="16"/>
                <w:szCs w:val="16"/>
                <w:b w:val="1"/>
                <w:bCs w:val="1"/>
                <w:color w:val="1C90D3"/>
              </w:rPr>
              <w:t>Remaining Available for</w:t>
            </w:r>
          </w:p>
        </w:tc>
      </w:tr>
      <w:tr>
        <w:trPr>
          <w:trHeight w:val="189"/>
        </w:trPr>
        <w:tc>
          <w:tcPr>
            <w:tcW w:w="3420" w:type="dxa"/>
            <w:vAlign w:val="bottom"/>
          </w:tcPr>
          <w:p>
            <w:pPr>
              <w:spacing w:after="0"/>
              <w:rPr>
                <w:sz w:val="16"/>
                <w:szCs w:val="16"/>
                <w:color w:val="auto"/>
              </w:rPr>
            </w:pPr>
          </w:p>
        </w:tc>
        <w:tc>
          <w:tcPr>
            <w:tcW w:w="2680" w:type="dxa"/>
            <w:vAlign w:val="bottom"/>
          </w:tcPr>
          <w:p>
            <w:pPr>
              <w:jc w:val="right"/>
              <w:ind w:right="240"/>
              <w:spacing w:after="0"/>
              <w:rPr>
                <w:sz w:val="20"/>
                <w:szCs w:val="20"/>
                <w:color w:val="auto"/>
              </w:rPr>
            </w:pPr>
            <w:r>
              <w:rPr>
                <w:rFonts w:ascii="Arial" w:cs="Arial" w:eastAsia="Arial" w:hAnsi="Arial"/>
                <w:sz w:val="16"/>
                <w:szCs w:val="16"/>
                <w:b w:val="1"/>
                <w:bCs w:val="1"/>
                <w:color w:val="1C90D3"/>
              </w:rPr>
              <w:t>Number of Securities to</w:t>
            </w:r>
          </w:p>
        </w:tc>
        <w:tc>
          <w:tcPr>
            <w:tcW w:w="2860" w:type="dxa"/>
            <w:vAlign w:val="bottom"/>
          </w:tcPr>
          <w:p>
            <w:pPr>
              <w:spacing w:after="0"/>
              <w:rPr>
                <w:sz w:val="16"/>
                <w:szCs w:val="16"/>
                <w:color w:val="auto"/>
              </w:rPr>
            </w:pPr>
          </w:p>
        </w:tc>
        <w:tc>
          <w:tcPr>
            <w:tcW w:w="2340" w:type="dxa"/>
            <w:vAlign w:val="bottom"/>
          </w:tcPr>
          <w:p>
            <w:pPr>
              <w:jc w:val="right"/>
              <w:spacing w:after="0"/>
              <w:rPr>
                <w:sz w:val="20"/>
                <w:szCs w:val="20"/>
                <w:color w:val="auto"/>
              </w:rPr>
            </w:pPr>
            <w:r>
              <w:rPr>
                <w:rFonts w:ascii="Arial" w:cs="Arial" w:eastAsia="Arial" w:hAnsi="Arial"/>
                <w:sz w:val="16"/>
                <w:szCs w:val="16"/>
                <w:b w:val="1"/>
                <w:bCs w:val="1"/>
                <w:color w:val="1C90D3"/>
              </w:rPr>
              <w:t>Future Issuance Under</w:t>
            </w:r>
          </w:p>
        </w:tc>
      </w:tr>
      <w:tr>
        <w:trPr>
          <w:trHeight w:val="189"/>
        </w:trPr>
        <w:tc>
          <w:tcPr>
            <w:tcW w:w="3420" w:type="dxa"/>
            <w:vAlign w:val="bottom"/>
          </w:tcPr>
          <w:p>
            <w:pPr>
              <w:spacing w:after="0"/>
              <w:rPr>
                <w:sz w:val="16"/>
                <w:szCs w:val="16"/>
                <w:color w:val="auto"/>
              </w:rPr>
            </w:pPr>
          </w:p>
        </w:tc>
        <w:tc>
          <w:tcPr>
            <w:tcW w:w="2680" w:type="dxa"/>
            <w:vAlign w:val="bottom"/>
          </w:tcPr>
          <w:p>
            <w:pPr>
              <w:jc w:val="right"/>
              <w:ind w:right="240"/>
              <w:spacing w:after="0"/>
              <w:rPr>
                <w:sz w:val="20"/>
                <w:szCs w:val="20"/>
                <w:color w:val="auto"/>
              </w:rPr>
            </w:pPr>
            <w:r>
              <w:rPr>
                <w:rFonts w:ascii="Arial" w:cs="Arial" w:eastAsia="Arial" w:hAnsi="Arial"/>
                <w:sz w:val="16"/>
                <w:szCs w:val="16"/>
                <w:b w:val="1"/>
                <w:bCs w:val="1"/>
                <w:color w:val="1C90D3"/>
              </w:rPr>
              <w:t>be Issued Upon Exercise</w:t>
            </w:r>
          </w:p>
        </w:tc>
        <w:tc>
          <w:tcPr>
            <w:tcW w:w="2860" w:type="dxa"/>
            <w:vAlign w:val="bottom"/>
          </w:tcPr>
          <w:p>
            <w:pPr>
              <w:jc w:val="right"/>
              <w:ind w:right="161"/>
              <w:spacing w:after="0"/>
              <w:rPr>
                <w:sz w:val="20"/>
                <w:szCs w:val="20"/>
                <w:color w:val="auto"/>
              </w:rPr>
            </w:pPr>
            <w:r>
              <w:rPr>
                <w:rFonts w:ascii="Arial" w:cs="Arial" w:eastAsia="Arial" w:hAnsi="Arial"/>
                <w:sz w:val="16"/>
                <w:szCs w:val="16"/>
                <w:b w:val="1"/>
                <w:bCs w:val="1"/>
                <w:color w:val="1C90D3"/>
              </w:rPr>
              <w:t>Weighted-Average Exercise</w:t>
            </w:r>
          </w:p>
        </w:tc>
        <w:tc>
          <w:tcPr>
            <w:tcW w:w="2340" w:type="dxa"/>
            <w:vAlign w:val="bottom"/>
          </w:tcPr>
          <w:p>
            <w:pPr>
              <w:jc w:val="right"/>
              <w:spacing w:after="0"/>
              <w:rPr>
                <w:sz w:val="20"/>
                <w:szCs w:val="20"/>
                <w:color w:val="auto"/>
              </w:rPr>
            </w:pPr>
            <w:r>
              <w:rPr>
                <w:rFonts w:ascii="Arial" w:cs="Arial" w:eastAsia="Arial" w:hAnsi="Arial"/>
                <w:sz w:val="16"/>
                <w:szCs w:val="16"/>
                <w:b w:val="1"/>
                <w:bCs w:val="1"/>
                <w:color w:val="1C90D3"/>
              </w:rPr>
              <w:t>Equity Compensation Plan</w:t>
            </w:r>
          </w:p>
        </w:tc>
      </w:tr>
      <w:tr>
        <w:trPr>
          <w:trHeight w:val="189"/>
        </w:trPr>
        <w:tc>
          <w:tcPr>
            <w:tcW w:w="3420" w:type="dxa"/>
            <w:vAlign w:val="bottom"/>
          </w:tcPr>
          <w:p>
            <w:pPr>
              <w:spacing w:after="0"/>
              <w:rPr>
                <w:sz w:val="16"/>
                <w:szCs w:val="16"/>
                <w:color w:val="auto"/>
              </w:rPr>
            </w:pPr>
          </w:p>
        </w:tc>
        <w:tc>
          <w:tcPr>
            <w:tcW w:w="2680" w:type="dxa"/>
            <w:vAlign w:val="bottom"/>
          </w:tcPr>
          <w:p>
            <w:pPr>
              <w:jc w:val="right"/>
              <w:ind w:right="240"/>
              <w:spacing w:after="0"/>
              <w:rPr>
                <w:sz w:val="20"/>
                <w:szCs w:val="20"/>
                <w:color w:val="auto"/>
              </w:rPr>
            </w:pPr>
            <w:r>
              <w:rPr>
                <w:rFonts w:ascii="Arial" w:cs="Arial" w:eastAsia="Arial" w:hAnsi="Arial"/>
                <w:sz w:val="16"/>
                <w:szCs w:val="16"/>
                <w:b w:val="1"/>
                <w:bCs w:val="1"/>
                <w:color w:val="1C90D3"/>
              </w:rPr>
              <w:t>of Outstanding Options,</w:t>
            </w:r>
          </w:p>
        </w:tc>
        <w:tc>
          <w:tcPr>
            <w:tcW w:w="2860" w:type="dxa"/>
            <w:vAlign w:val="bottom"/>
          </w:tcPr>
          <w:p>
            <w:pPr>
              <w:jc w:val="right"/>
              <w:ind w:right="161"/>
              <w:spacing w:after="0"/>
              <w:rPr>
                <w:sz w:val="20"/>
                <w:szCs w:val="20"/>
                <w:color w:val="auto"/>
              </w:rPr>
            </w:pPr>
            <w:r>
              <w:rPr>
                <w:rFonts w:ascii="Arial" w:cs="Arial" w:eastAsia="Arial" w:hAnsi="Arial"/>
                <w:sz w:val="16"/>
                <w:szCs w:val="16"/>
                <w:b w:val="1"/>
                <w:bCs w:val="1"/>
                <w:color w:val="1C90D3"/>
              </w:rPr>
              <w:t>Price of Outstanding Options,</w:t>
            </w:r>
          </w:p>
        </w:tc>
        <w:tc>
          <w:tcPr>
            <w:tcW w:w="2340" w:type="dxa"/>
            <w:vAlign w:val="bottom"/>
          </w:tcPr>
          <w:p>
            <w:pPr>
              <w:jc w:val="right"/>
              <w:spacing w:after="0"/>
              <w:rPr>
                <w:sz w:val="20"/>
                <w:szCs w:val="20"/>
                <w:color w:val="auto"/>
              </w:rPr>
            </w:pPr>
            <w:r>
              <w:rPr>
                <w:rFonts w:ascii="Arial" w:cs="Arial" w:eastAsia="Arial" w:hAnsi="Arial"/>
                <w:sz w:val="16"/>
                <w:szCs w:val="16"/>
                <w:b w:val="1"/>
                <w:bCs w:val="1"/>
                <w:color w:val="1C90D3"/>
              </w:rPr>
              <w:t>(excluding securities</w:t>
            </w:r>
          </w:p>
        </w:tc>
      </w:tr>
      <w:tr>
        <w:trPr>
          <w:trHeight w:val="203"/>
        </w:trPr>
        <w:tc>
          <w:tcPr>
            <w:tcW w:w="3420" w:type="dxa"/>
            <w:vAlign w:val="bottom"/>
          </w:tcPr>
          <w:p>
            <w:pPr>
              <w:spacing w:after="0"/>
              <w:rPr>
                <w:sz w:val="17"/>
                <w:szCs w:val="17"/>
                <w:color w:val="auto"/>
              </w:rPr>
            </w:pPr>
          </w:p>
        </w:tc>
        <w:tc>
          <w:tcPr>
            <w:tcW w:w="2680" w:type="dxa"/>
            <w:vAlign w:val="bottom"/>
          </w:tcPr>
          <w:p>
            <w:pPr>
              <w:jc w:val="right"/>
              <w:ind w:right="240"/>
              <w:spacing w:after="0"/>
              <w:rPr>
                <w:sz w:val="20"/>
                <w:szCs w:val="20"/>
                <w:color w:val="auto"/>
              </w:rPr>
            </w:pPr>
            <w:r>
              <w:rPr>
                <w:rFonts w:ascii="Arial" w:cs="Arial" w:eastAsia="Arial" w:hAnsi="Arial"/>
                <w:sz w:val="16"/>
                <w:szCs w:val="16"/>
                <w:b w:val="1"/>
                <w:bCs w:val="1"/>
                <w:color w:val="1C90D3"/>
              </w:rPr>
              <w:t>Warrants, and Rights</w:t>
            </w:r>
          </w:p>
        </w:tc>
        <w:tc>
          <w:tcPr>
            <w:tcW w:w="2860" w:type="dxa"/>
            <w:vAlign w:val="bottom"/>
          </w:tcPr>
          <w:p>
            <w:pPr>
              <w:jc w:val="right"/>
              <w:ind w:right="161"/>
              <w:spacing w:after="0"/>
              <w:rPr>
                <w:sz w:val="20"/>
                <w:szCs w:val="20"/>
                <w:color w:val="auto"/>
              </w:rPr>
            </w:pPr>
            <w:r>
              <w:rPr>
                <w:rFonts w:ascii="Arial" w:cs="Arial" w:eastAsia="Arial" w:hAnsi="Arial"/>
                <w:sz w:val="16"/>
                <w:szCs w:val="16"/>
                <w:b w:val="1"/>
                <w:bCs w:val="1"/>
                <w:color w:val="1C90D3"/>
              </w:rPr>
              <w:t>Warrants, and Rights</w:t>
            </w:r>
          </w:p>
        </w:tc>
        <w:tc>
          <w:tcPr>
            <w:tcW w:w="2340" w:type="dxa"/>
            <w:vAlign w:val="bottom"/>
          </w:tcPr>
          <w:p>
            <w:pPr>
              <w:jc w:val="right"/>
              <w:spacing w:after="0"/>
              <w:rPr>
                <w:sz w:val="20"/>
                <w:szCs w:val="20"/>
                <w:color w:val="auto"/>
              </w:rPr>
            </w:pPr>
            <w:r>
              <w:rPr>
                <w:rFonts w:ascii="Arial" w:cs="Arial" w:eastAsia="Arial" w:hAnsi="Arial"/>
                <w:sz w:val="16"/>
                <w:szCs w:val="16"/>
                <w:b w:val="1"/>
                <w:bCs w:val="1"/>
                <w:color w:val="1C90D3"/>
              </w:rPr>
              <w:t>reflected in column (A))</w:t>
            </w:r>
          </w:p>
        </w:tc>
      </w:tr>
      <w:tr>
        <w:trPr>
          <w:trHeight w:val="214"/>
        </w:trPr>
        <w:tc>
          <w:tcPr>
            <w:tcW w:w="3420" w:type="dxa"/>
            <w:vAlign w:val="bottom"/>
            <w:tcBorders>
              <w:bottom w:val="single" w:sz="8" w:color="1C90D3"/>
            </w:tcBorders>
          </w:tcPr>
          <w:p>
            <w:pPr>
              <w:ind w:left="60"/>
              <w:spacing w:after="0"/>
              <w:rPr>
                <w:sz w:val="20"/>
                <w:szCs w:val="20"/>
                <w:color w:val="auto"/>
              </w:rPr>
            </w:pPr>
            <w:r>
              <w:rPr>
                <w:rFonts w:ascii="Arial" w:cs="Arial" w:eastAsia="Arial" w:hAnsi="Arial"/>
                <w:sz w:val="16"/>
                <w:szCs w:val="16"/>
                <w:b w:val="1"/>
                <w:bCs w:val="1"/>
                <w:color w:val="1C90D3"/>
              </w:rPr>
              <w:t>Plan Category</w:t>
            </w:r>
          </w:p>
        </w:tc>
        <w:tc>
          <w:tcPr>
            <w:tcW w:w="2680" w:type="dxa"/>
            <w:vAlign w:val="bottom"/>
            <w:tcBorders>
              <w:bottom w:val="single" w:sz="8" w:color="1C90D3"/>
            </w:tcBorders>
          </w:tcPr>
          <w:p>
            <w:pPr>
              <w:jc w:val="right"/>
              <w:ind w:right="240"/>
              <w:spacing w:after="0"/>
              <w:rPr>
                <w:sz w:val="20"/>
                <w:szCs w:val="20"/>
                <w:color w:val="auto"/>
              </w:rPr>
            </w:pPr>
            <w:r>
              <w:rPr>
                <w:rFonts w:ascii="Arial" w:cs="Arial" w:eastAsia="Arial" w:hAnsi="Arial"/>
                <w:sz w:val="16"/>
                <w:szCs w:val="16"/>
                <w:b w:val="1"/>
                <w:bCs w:val="1"/>
                <w:color w:val="1C90D3"/>
              </w:rPr>
              <w:t>(A)</w:t>
            </w:r>
          </w:p>
        </w:tc>
        <w:tc>
          <w:tcPr>
            <w:tcW w:w="2860" w:type="dxa"/>
            <w:vAlign w:val="bottom"/>
            <w:tcBorders>
              <w:bottom w:val="single" w:sz="8" w:color="1C90D3"/>
            </w:tcBorders>
          </w:tcPr>
          <w:p>
            <w:pPr>
              <w:jc w:val="right"/>
              <w:ind w:right="161"/>
              <w:spacing w:after="0"/>
              <w:rPr>
                <w:sz w:val="20"/>
                <w:szCs w:val="20"/>
                <w:color w:val="auto"/>
              </w:rPr>
            </w:pPr>
            <w:r>
              <w:rPr>
                <w:rFonts w:ascii="Arial" w:cs="Arial" w:eastAsia="Arial" w:hAnsi="Arial"/>
                <w:sz w:val="16"/>
                <w:szCs w:val="16"/>
                <w:b w:val="1"/>
                <w:bCs w:val="1"/>
                <w:color w:val="1C90D3"/>
              </w:rPr>
              <w:t>(B)</w:t>
            </w:r>
          </w:p>
        </w:tc>
        <w:tc>
          <w:tcPr>
            <w:tcW w:w="2340" w:type="dxa"/>
            <w:vAlign w:val="bottom"/>
            <w:tcBorders>
              <w:bottom w:val="single" w:sz="8" w:color="1C90D3"/>
            </w:tcBorders>
          </w:tcPr>
          <w:p>
            <w:pPr>
              <w:jc w:val="right"/>
              <w:spacing w:after="0"/>
              <w:rPr>
                <w:sz w:val="20"/>
                <w:szCs w:val="20"/>
                <w:color w:val="auto"/>
              </w:rPr>
            </w:pPr>
            <w:r>
              <w:rPr>
                <w:rFonts w:ascii="Arial" w:cs="Arial" w:eastAsia="Arial" w:hAnsi="Arial"/>
                <w:sz w:val="16"/>
                <w:szCs w:val="16"/>
                <w:b w:val="1"/>
                <w:bCs w:val="1"/>
                <w:color w:val="1C90D3"/>
              </w:rPr>
              <w:t>(C)</w:t>
            </w:r>
          </w:p>
        </w:tc>
      </w:tr>
      <w:tr>
        <w:trPr>
          <w:trHeight w:val="191"/>
        </w:trPr>
        <w:tc>
          <w:tcPr>
            <w:tcW w:w="3420" w:type="dxa"/>
            <w:vAlign w:val="bottom"/>
          </w:tcPr>
          <w:p>
            <w:pPr>
              <w:ind w:left="60"/>
              <w:spacing w:after="0"/>
              <w:rPr>
                <w:sz w:val="20"/>
                <w:szCs w:val="20"/>
                <w:color w:val="auto"/>
              </w:rPr>
            </w:pPr>
            <w:r>
              <w:rPr>
                <w:rFonts w:ascii="Arial" w:cs="Arial" w:eastAsia="Arial" w:hAnsi="Arial"/>
                <w:sz w:val="16"/>
                <w:szCs w:val="16"/>
                <w:color w:val="auto"/>
              </w:rPr>
              <w:t>Equity compensation plans approved by</w:t>
            </w:r>
          </w:p>
        </w:tc>
        <w:tc>
          <w:tcPr>
            <w:tcW w:w="2680" w:type="dxa"/>
            <w:vAlign w:val="bottom"/>
          </w:tcPr>
          <w:p>
            <w:pPr>
              <w:jc w:val="right"/>
              <w:ind w:right="240"/>
              <w:spacing w:after="0" w:line="191" w:lineRule="exact"/>
              <w:rPr>
                <w:sz w:val="20"/>
                <w:szCs w:val="20"/>
                <w:color w:val="auto"/>
              </w:rPr>
            </w:pPr>
            <w:r>
              <w:rPr>
                <w:rFonts w:ascii="Arial" w:cs="Arial" w:eastAsia="Arial" w:hAnsi="Arial"/>
                <w:sz w:val="14"/>
                <w:szCs w:val="14"/>
                <w:color w:val="auto"/>
              </w:rPr>
              <w:t>33,687,420</w:t>
            </w:r>
            <w:r>
              <w:rPr>
                <w:rFonts w:ascii="Arial" w:cs="Arial" w:eastAsia="Arial" w:hAnsi="Arial"/>
                <w:sz w:val="22"/>
                <w:szCs w:val="22"/>
                <w:color w:val="auto"/>
                <w:vertAlign w:val="superscript"/>
              </w:rPr>
              <w:t>(1)</w:t>
            </w:r>
          </w:p>
        </w:tc>
        <w:tc>
          <w:tcPr>
            <w:tcW w:w="2860" w:type="dxa"/>
            <w:vAlign w:val="bottom"/>
          </w:tcPr>
          <w:p>
            <w:pPr>
              <w:jc w:val="right"/>
              <w:ind w:right="161"/>
              <w:spacing w:after="0" w:line="191" w:lineRule="exact"/>
              <w:rPr>
                <w:sz w:val="20"/>
                <w:szCs w:val="20"/>
                <w:color w:val="auto"/>
              </w:rPr>
            </w:pPr>
            <w:r>
              <w:rPr>
                <w:rFonts w:ascii="Arial" w:cs="Arial" w:eastAsia="Arial" w:hAnsi="Arial"/>
                <w:sz w:val="14"/>
                <w:szCs w:val="14"/>
                <w:color w:val="auto"/>
              </w:rPr>
              <w:t>31.32</w:t>
            </w:r>
            <w:r>
              <w:rPr>
                <w:rFonts w:ascii="Arial" w:cs="Arial" w:eastAsia="Arial" w:hAnsi="Arial"/>
                <w:sz w:val="22"/>
                <w:szCs w:val="22"/>
                <w:color w:val="auto"/>
                <w:vertAlign w:val="superscript"/>
              </w:rPr>
              <w:t>(2)</w:t>
            </w:r>
          </w:p>
        </w:tc>
        <w:tc>
          <w:tcPr>
            <w:tcW w:w="2340" w:type="dxa"/>
            <w:vAlign w:val="bottom"/>
          </w:tcPr>
          <w:p>
            <w:pPr>
              <w:jc w:val="right"/>
              <w:spacing w:after="0"/>
              <w:rPr>
                <w:sz w:val="20"/>
                <w:szCs w:val="20"/>
                <w:color w:val="auto"/>
              </w:rPr>
            </w:pPr>
            <w:r>
              <w:rPr>
                <w:rFonts w:ascii="Arial" w:cs="Arial" w:eastAsia="Arial" w:hAnsi="Arial"/>
                <w:sz w:val="16"/>
                <w:szCs w:val="16"/>
                <w:color w:val="auto"/>
              </w:rPr>
              <w:t>21,097,467</w:t>
            </w:r>
          </w:p>
        </w:tc>
      </w:tr>
      <w:tr>
        <w:trPr>
          <w:trHeight w:val="208"/>
        </w:trPr>
        <w:tc>
          <w:tcPr>
            <w:tcW w:w="342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security holders</w:t>
            </w:r>
          </w:p>
        </w:tc>
        <w:tc>
          <w:tcPr>
            <w:tcW w:w="268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tcPr>
          <w:p>
            <w:pPr>
              <w:spacing w:after="0"/>
              <w:rPr>
                <w:sz w:val="18"/>
                <w:szCs w:val="18"/>
                <w:color w:val="auto"/>
              </w:rPr>
            </w:pPr>
          </w:p>
        </w:tc>
      </w:tr>
      <w:tr>
        <w:trPr>
          <w:trHeight w:val="218"/>
        </w:trPr>
        <w:tc>
          <w:tcPr>
            <w:tcW w:w="3420" w:type="dxa"/>
            <w:vAlign w:val="bottom"/>
          </w:tcPr>
          <w:p>
            <w:pPr>
              <w:ind w:left="60"/>
              <w:spacing w:after="0"/>
              <w:rPr>
                <w:sz w:val="20"/>
                <w:szCs w:val="20"/>
                <w:color w:val="auto"/>
              </w:rPr>
            </w:pPr>
            <w:r>
              <w:rPr>
                <w:rFonts w:ascii="Arial" w:cs="Arial" w:eastAsia="Arial" w:hAnsi="Arial"/>
                <w:sz w:val="16"/>
                <w:szCs w:val="16"/>
                <w:color w:val="auto"/>
              </w:rPr>
              <w:t>Equity compensation plans not approved</w:t>
            </w:r>
          </w:p>
        </w:tc>
        <w:tc>
          <w:tcPr>
            <w:tcW w:w="268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286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23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94"/>
        </w:trPr>
        <w:tc>
          <w:tcPr>
            <w:tcW w:w="3420" w:type="dxa"/>
            <w:vAlign w:val="bottom"/>
            <w:tcBorders>
              <w:bottom w:val="single" w:sz="8" w:color="08228B"/>
            </w:tcBorders>
          </w:tcPr>
          <w:p>
            <w:pPr>
              <w:ind w:left="60"/>
              <w:spacing w:after="0"/>
              <w:rPr>
                <w:sz w:val="20"/>
                <w:szCs w:val="20"/>
                <w:color w:val="auto"/>
              </w:rPr>
            </w:pPr>
            <w:r>
              <w:rPr>
                <w:rFonts w:ascii="Arial" w:cs="Arial" w:eastAsia="Arial" w:hAnsi="Arial"/>
                <w:sz w:val="16"/>
                <w:szCs w:val="16"/>
                <w:color w:val="auto"/>
              </w:rPr>
              <w:t>by security holders</w:t>
            </w:r>
          </w:p>
        </w:tc>
        <w:tc>
          <w:tcPr>
            <w:tcW w:w="2680" w:type="dxa"/>
            <w:vAlign w:val="bottom"/>
            <w:tcBorders>
              <w:bottom w:val="single" w:sz="8" w:color="08228B"/>
            </w:tcBorders>
          </w:tcPr>
          <w:p>
            <w:pPr>
              <w:spacing w:after="0"/>
              <w:rPr>
                <w:sz w:val="16"/>
                <w:szCs w:val="16"/>
                <w:color w:val="auto"/>
              </w:rPr>
            </w:pPr>
          </w:p>
        </w:tc>
        <w:tc>
          <w:tcPr>
            <w:tcW w:w="2860" w:type="dxa"/>
            <w:vAlign w:val="bottom"/>
            <w:tcBorders>
              <w:bottom w:val="single" w:sz="8" w:color="08228B"/>
            </w:tcBorders>
          </w:tcPr>
          <w:p>
            <w:pPr>
              <w:spacing w:after="0"/>
              <w:rPr>
                <w:sz w:val="16"/>
                <w:szCs w:val="16"/>
                <w:color w:val="auto"/>
              </w:rPr>
            </w:pPr>
          </w:p>
        </w:tc>
        <w:tc>
          <w:tcPr>
            <w:tcW w:w="2340" w:type="dxa"/>
            <w:vAlign w:val="bottom"/>
            <w:tcBorders>
              <w:bottom w:val="single" w:sz="8" w:color="08228B"/>
            </w:tcBorders>
          </w:tcPr>
          <w:p>
            <w:pPr>
              <w:spacing w:after="0"/>
              <w:rPr>
                <w:sz w:val="16"/>
                <w:szCs w:val="16"/>
                <w:color w:val="auto"/>
              </w:rPr>
            </w:pPr>
          </w:p>
        </w:tc>
      </w:tr>
      <w:tr>
        <w:trPr>
          <w:trHeight w:val="210"/>
        </w:trPr>
        <w:tc>
          <w:tcPr>
            <w:tcW w:w="3420" w:type="dxa"/>
            <w:vAlign w:val="bottom"/>
            <w:tcBorders>
              <w:bottom w:val="single" w:sz="8" w:color="08228B"/>
            </w:tcBorders>
          </w:tcPr>
          <w:p>
            <w:pPr>
              <w:ind w:left="60"/>
              <w:spacing w:after="0"/>
              <w:rPr>
                <w:sz w:val="20"/>
                <w:szCs w:val="20"/>
                <w:color w:val="auto"/>
              </w:rPr>
            </w:pPr>
            <w:r>
              <w:rPr>
                <w:rFonts w:ascii="Arial" w:cs="Arial" w:eastAsia="Arial" w:hAnsi="Arial"/>
                <w:sz w:val="16"/>
                <w:szCs w:val="16"/>
                <w:color w:val="auto"/>
              </w:rPr>
              <w:t>Total</w:t>
            </w:r>
          </w:p>
        </w:tc>
        <w:tc>
          <w:tcPr>
            <w:tcW w:w="2680" w:type="dxa"/>
            <w:vAlign w:val="bottom"/>
            <w:tcBorders>
              <w:bottom w:val="single" w:sz="8" w:color="08228B"/>
            </w:tcBorders>
          </w:tcPr>
          <w:p>
            <w:pPr>
              <w:jc w:val="right"/>
              <w:ind w:right="240"/>
              <w:spacing w:after="0"/>
              <w:rPr>
                <w:sz w:val="20"/>
                <w:szCs w:val="20"/>
                <w:color w:val="auto"/>
              </w:rPr>
            </w:pPr>
            <w:r>
              <w:rPr>
                <w:rFonts w:ascii="Arial" w:cs="Arial" w:eastAsia="Arial" w:hAnsi="Arial"/>
                <w:sz w:val="16"/>
                <w:szCs w:val="16"/>
                <w:color w:val="auto"/>
              </w:rPr>
              <w:t>33,687,420</w:t>
            </w:r>
          </w:p>
        </w:tc>
        <w:tc>
          <w:tcPr>
            <w:tcW w:w="2860" w:type="dxa"/>
            <w:vAlign w:val="bottom"/>
            <w:tcBorders>
              <w:bottom w:val="single" w:sz="8" w:color="08228B"/>
            </w:tcBorders>
          </w:tcPr>
          <w:p>
            <w:pPr>
              <w:jc w:val="right"/>
              <w:ind w:right="161"/>
              <w:spacing w:after="0"/>
              <w:rPr>
                <w:sz w:val="20"/>
                <w:szCs w:val="20"/>
                <w:color w:val="auto"/>
              </w:rPr>
            </w:pPr>
            <w:r>
              <w:rPr>
                <w:rFonts w:ascii="Arial" w:cs="Arial" w:eastAsia="Arial" w:hAnsi="Arial"/>
                <w:sz w:val="16"/>
                <w:szCs w:val="16"/>
                <w:color w:val="auto"/>
              </w:rPr>
              <w:t>31.32</w:t>
            </w:r>
          </w:p>
        </w:tc>
        <w:tc>
          <w:tcPr>
            <w:tcW w:w="2340" w:type="dxa"/>
            <w:vAlign w:val="bottom"/>
            <w:tcBorders>
              <w:bottom w:val="single" w:sz="8" w:color="08228B"/>
            </w:tcBorders>
          </w:tcPr>
          <w:p>
            <w:pPr>
              <w:jc w:val="right"/>
              <w:spacing w:after="0"/>
              <w:rPr>
                <w:sz w:val="20"/>
                <w:szCs w:val="20"/>
                <w:color w:val="auto"/>
              </w:rPr>
            </w:pPr>
            <w:r>
              <w:rPr>
                <w:rFonts w:ascii="Arial" w:cs="Arial" w:eastAsia="Arial" w:hAnsi="Arial"/>
                <w:sz w:val="16"/>
                <w:szCs w:val="16"/>
                <w:color w:val="auto"/>
              </w:rPr>
              <w:t>21,097,467</w:t>
            </w:r>
          </w:p>
        </w:tc>
      </w:tr>
    </w:tbl>
    <w:p>
      <w:pPr>
        <w:spacing w:after="0" w:line="72" w:lineRule="exact"/>
        <w:rPr>
          <w:sz w:val="20"/>
          <w:szCs w:val="20"/>
          <w:color w:val="auto"/>
        </w:rPr>
      </w:pPr>
    </w:p>
    <w:p>
      <w:pPr>
        <w:ind w:left="340" w:hanging="332"/>
        <w:spacing w:after="0"/>
        <w:tabs>
          <w:tab w:leader="none" w:pos="340" w:val="left"/>
        </w:tabs>
        <w:numPr>
          <w:ilvl w:val="0"/>
          <w:numId w:val="111"/>
        </w:numPr>
        <w:rPr>
          <w:rFonts w:ascii="Arial" w:cs="Arial" w:eastAsia="Arial" w:hAnsi="Arial"/>
          <w:sz w:val="14"/>
          <w:szCs w:val="14"/>
          <w:i w:val="1"/>
          <w:iCs w:val="1"/>
          <w:color w:val="auto"/>
        </w:rPr>
      </w:pPr>
      <w:r>
        <w:rPr>
          <w:rFonts w:ascii="Arial" w:cs="Arial" w:eastAsia="Arial" w:hAnsi="Arial"/>
          <w:sz w:val="14"/>
          <w:szCs w:val="14"/>
          <w:i w:val="1"/>
          <w:iCs w:val="1"/>
          <w:color w:val="auto"/>
        </w:rPr>
        <w:t>The number includes the following:</w:t>
      </w:r>
    </w:p>
    <w:p>
      <w:pPr>
        <w:spacing w:after="0" w:line="15" w:lineRule="exact"/>
        <w:rPr>
          <w:rFonts w:ascii="Arial" w:cs="Arial" w:eastAsia="Arial" w:hAnsi="Arial"/>
          <w:sz w:val="14"/>
          <w:szCs w:val="14"/>
          <w:i w:val="1"/>
          <w:iCs w:val="1"/>
          <w:color w:val="auto"/>
        </w:rPr>
      </w:pPr>
    </w:p>
    <w:p>
      <w:pPr>
        <w:ind w:left="660" w:hanging="328"/>
        <w:spacing w:after="0"/>
        <w:tabs>
          <w:tab w:leader="none" w:pos="660" w:val="left"/>
        </w:tabs>
        <w:numPr>
          <w:ilvl w:val="1"/>
          <w:numId w:val="111"/>
        </w:numPr>
        <w:rPr>
          <w:rFonts w:ascii="Arial" w:cs="Arial" w:eastAsia="Arial" w:hAnsi="Arial"/>
          <w:sz w:val="14"/>
          <w:szCs w:val="14"/>
          <w:i w:val="1"/>
          <w:iCs w:val="1"/>
          <w:color w:val="auto"/>
        </w:rPr>
      </w:pPr>
      <w:r>
        <w:rPr>
          <w:rFonts w:ascii="Arial" w:cs="Arial" w:eastAsia="Arial" w:hAnsi="Arial"/>
          <w:sz w:val="14"/>
          <w:szCs w:val="14"/>
          <w:i w:val="1"/>
          <w:iCs w:val="1"/>
          <w:color w:val="auto"/>
        </w:rPr>
        <w:t>26,096,853 shares represent options granted as part of the DSV Option Grant</w:t>
      </w:r>
    </w:p>
    <w:p>
      <w:pPr>
        <w:spacing w:after="0" w:line="1" w:lineRule="exact"/>
        <w:rPr>
          <w:rFonts w:ascii="Arial" w:cs="Arial" w:eastAsia="Arial" w:hAnsi="Arial"/>
          <w:sz w:val="14"/>
          <w:szCs w:val="14"/>
          <w:i w:val="1"/>
          <w:iCs w:val="1"/>
          <w:color w:val="auto"/>
        </w:rPr>
      </w:pPr>
    </w:p>
    <w:p>
      <w:pPr>
        <w:ind w:left="660" w:hanging="328"/>
        <w:spacing w:after="0"/>
        <w:tabs>
          <w:tab w:leader="none" w:pos="660" w:val="left"/>
        </w:tabs>
        <w:numPr>
          <w:ilvl w:val="1"/>
          <w:numId w:val="111"/>
        </w:numPr>
        <w:rPr>
          <w:rFonts w:ascii="Arial" w:cs="Arial" w:eastAsia="Arial" w:hAnsi="Arial"/>
          <w:sz w:val="14"/>
          <w:szCs w:val="14"/>
          <w:i w:val="1"/>
          <w:iCs w:val="1"/>
          <w:color w:val="auto"/>
        </w:rPr>
      </w:pPr>
      <w:r>
        <w:rPr>
          <w:rFonts w:ascii="Arial" w:cs="Arial" w:eastAsia="Arial" w:hAnsi="Arial"/>
          <w:sz w:val="14"/>
          <w:szCs w:val="14"/>
          <w:i w:val="1"/>
          <w:iCs w:val="1"/>
          <w:color w:val="auto"/>
        </w:rPr>
        <w:t>7,590,567 shares represent PSU awards assuming performance is achieved at target. For performance above target, awards may be settled in common stock or cash.</w:t>
      </w:r>
    </w:p>
    <w:p>
      <w:pPr>
        <w:spacing w:after="0" w:line="1" w:lineRule="exact"/>
        <w:rPr>
          <w:rFonts w:ascii="Arial" w:cs="Arial" w:eastAsia="Arial" w:hAnsi="Arial"/>
          <w:sz w:val="14"/>
          <w:szCs w:val="14"/>
          <w:i w:val="1"/>
          <w:iCs w:val="1"/>
          <w:color w:val="auto"/>
        </w:rPr>
      </w:pPr>
    </w:p>
    <w:p>
      <w:pPr>
        <w:ind w:left="340" w:hanging="332"/>
        <w:spacing w:after="0"/>
        <w:tabs>
          <w:tab w:leader="none" w:pos="340" w:val="left"/>
        </w:tabs>
        <w:numPr>
          <w:ilvl w:val="0"/>
          <w:numId w:val="111"/>
        </w:numPr>
        <w:rPr>
          <w:rFonts w:ascii="Arial" w:cs="Arial" w:eastAsia="Arial" w:hAnsi="Arial"/>
          <w:sz w:val="14"/>
          <w:szCs w:val="14"/>
          <w:i w:val="1"/>
          <w:iCs w:val="1"/>
          <w:color w:val="auto"/>
        </w:rPr>
      </w:pPr>
      <w:r>
        <w:rPr>
          <w:rFonts w:ascii="Arial" w:cs="Arial" w:eastAsia="Arial" w:hAnsi="Arial"/>
          <w:sz w:val="14"/>
          <w:szCs w:val="14"/>
          <w:i w:val="1"/>
          <w:iCs w:val="1"/>
          <w:color w:val="auto"/>
        </w:rPr>
        <w:t>This is the weighted-average exercise price of the 26,096,853 options outstanding granted as part of the DSV grant. No other options have been granted.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13"/>
        </w:trPr>
        <w:tc>
          <w:tcPr>
            <w:tcW w:w="4340" w:type="dxa"/>
            <w:vAlign w:val="bottom"/>
            <w:tcBorders>
              <w:bottom w:val="single" w:sz="8" w:color="08228B"/>
            </w:tcBorders>
          </w:tcPr>
          <w:p>
            <w:pPr>
              <w:spacing w:after="0"/>
              <w:rPr>
                <w:sz w:val="9"/>
                <w:szCs w:val="9"/>
                <w:color w:val="auto"/>
              </w:rPr>
            </w:pPr>
          </w:p>
        </w:tc>
        <w:tc>
          <w:tcPr>
            <w:tcW w:w="2060" w:type="dxa"/>
            <w:vAlign w:val="bottom"/>
            <w:vMerge w:val="restart"/>
          </w:tcPr>
          <w:p>
            <w:pPr>
              <w:ind w:left="60"/>
              <w:spacing w:after="0"/>
              <w:rPr>
                <w:sz w:val="20"/>
                <w:szCs w:val="20"/>
                <w:color w:val="auto"/>
              </w:rPr>
            </w:pPr>
            <w:r>
              <w:rPr>
                <w:rFonts w:ascii="Arial" w:cs="Arial" w:eastAsia="Arial" w:hAnsi="Arial"/>
                <w:sz w:val="16"/>
                <w:szCs w:val="16"/>
                <w:b w:val="1"/>
                <w:bCs w:val="1"/>
                <w:color w:val="1C90D3"/>
              </w:rPr>
              <w:t xml:space="preserve">2016 </w:t>
            </w:r>
            <w:r>
              <w:rPr>
                <w:rFonts w:ascii="Arial" w:cs="Arial" w:eastAsia="Arial" w:hAnsi="Arial"/>
                <w:sz w:val="16"/>
                <w:szCs w:val="16"/>
                <w:color w:val="08228B"/>
              </w:rPr>
              <w:t>PROXY STATEMENT</w:t>
            </w:r>
          </w:p>
        </w:tc>
        <w:tc>
          <w:tcPr>
            <w:tcW w:w="2400" w:type="dxa"/>
            <w:vAlign w:val="bottom"/>
            <w:tcBorders>
              <w:bottom w:val="single" w:sz="8" w:color="08228B"/>
            </w:tcBorders>
          </w:tcPr>
          <w:p>
            <w:pPr>
              <w:spacing w:after="0"/>
              <w:rPr>
                <w:sz w:val="9"/>
                <w:szCs w:val="9"/>
                <w:color w:val="auto"/>
              </w:rPr>
            </w:pPr>
          </w:p>
        </w:tc>
        <w:tc>
          <w:tcPr>
            <w:tcW w:w="2620" w:type="dxa"/>
            <w:vAlign w:val="bottom"/>
            <w:vMerge w:val="restart"/>
          </w:tcPr>
          <w:p>
            <w:pPr>
              <w:jc w:val="right"/>
              <w:ind w:right="39"/>
              <w:spacing w:after="0"/>
              <w:rPr>
                <w:sz w:val="20"/>
                <w:szCs w:val="20"/>
                <w:color w:val="auto"/>
              </w:rPr>
            </w:pPr>
            <w:r>
              <w:rPr>
                <w:rFonts w:ascii="Arial" w:cs="Arial" w:eastAsia="Arial" w:hAnsi="Arial"/>
                <w:sz w:val="16"/>
                <w:szCs w:val="16"/>
                <w:color w:val="08228B"/>
              </w:rPr>
              <w:t>62</w:t>
            </w:r>
          </w:p>
        </w:tc>
        <w:tc>
          <w:tcPr>
            <w:tcW w:w="0" w:type="dxa"/>
            <w:vAlign w:val="bottom"/>
          </w:tcPr>
          <w:p>
            <w:pPr>
              <w:spacing w:after="0"/>
              <w:rPr>
                <w:sz w:val="1"/>
                <w:szCs w:val="1"/>
                <w:color w:val="auto"/>
              </w:rPr>
            </w:pPr>
          </w:p>
        </w:tc>
      </w:tr>
      <w:tr>
        <w:trPr>
          <w:trHeight w:val="82"/>
        </w:trPr>
        <w:tc>
          <w:tcPr>
            <w:tcW w:w="4340" w:type="dxa"/>
            <w:vAlign w:val="bottom"/>
          </w:tcPr>
          <w:p>
            <w:pPr>
              <w:spacing w:after="0"/>
              <w:rPr>
                <w:sz w:val="7"/>
                <w:szCs w:val="7"/>
                <w:color w:val="auto"/>
              </w:rPr>
            </w:pPr>
          </w:p>
        </w:tc>
        <w:tc>
          <w:tcPr>
            <w:tcW w:w="2060" w:type="dxa"/>
            <w:vAlign w:val="bottom"/>
            <w:vMerge w:val="continue"/>
          </w:tcPr>
          <w:p>
            <w:pPr>
              <w:spacing w:after="0"/>
              <w:rPr>
                <w:sz w:val="7"/>
                <w:szCs w:val="7"/>
                <w:color w:val="auto"/>
              </w:rPr>
            </w:pPr>
          </w:p>
        </w:tc>
        <w:tc>
          <w:tcPr>
            <w:tcW w:w="2400" w:type="dxa"/>
            <w:vAlign w:val="bottom"/>
          </w:tcPr>
          <w:p>
            <w:pPr>
              <w:spacing w:after="0"/>
              <w:rPr>
                <w:sz w:val="7"/>
                <w:szCs w:val="7"/>
                <w:color w:val="auto"/>
              </w:rPr>
            </w:pPr>
          </w:p>
        </w:tc>
        <w:tc>
          <w:tcPr>
            <w:tcW w:w="2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7"/>
        </w:trPr>
        <w:tc>
          <w:tcPr>
            <w:tcW w:w="4340" w:type="dxa"/>
            <w:vAlign w:val="bottom"/>
            <w:tcBorders>
              <w:bottom w:val="single" w:sz="8" w:color="C0C0C0"/>
            </w:tcBorders>
          </w:tcPr>
          <w:p>
            <w:pPr>
              <w:spacing w:after="0"/>
              <w:rPr>
                <w:sz w:val="24"/>
                <w:szCs w:val="24"/>
                <w:color w:val="auto"/>
              </w:rPr>
            </w:pPr>
          </w:p>
        </w:tc>
        <w:tc>
          <w:tcPr>
            <w:tcW w:w="2060" w:type="dxa"/>
            <w:vAlign w:val="bottom"/>
            <w:tcBorders>
              <w:bottom w:val="single" w:sz="8" w:color="C0C0C0"/>
            </w:tcBorders>
          </w:tcPr>
          <w:p>
            <w:pPr>
              <w:spacing w:after="0"/>
              <w:rPr>
                <w:sz w:val="24"/>
                <w:szCs w:val="24"/>
                <w:color w:val="auto"/>
              </w:rPr>
            </w:pPr>
          </w:p>
        </w:tc>
        <w:tc>
          <w:tcPr>
            <w:tcW w:w="2400" w:type="dxa"/>
            <w:vAlign w:val="bottom"/>
            <w:tcBorders>
              <w:bottom w:val="single" w:sz="8" w:color="C0C0C0"/>
            </w:tcBorders>
          </w:tcPr>
          <w:p>
            <w:pPr>
              <w:spacing w:after="0"/>
              <w:rPr>
                <w:sz w:val="24"/>
                <w:szCs w:val="24"/>
                <w:color w:val="auto"/>
              </w:rPr>
            </w:pPr>
          </w:p>
        </w:tc>
        <w:tc>
          <w:tcPr>
            <w:tcW w:w="262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5613400</wp:posOffset>
            </wp:positionH>
            <wp:positionV relativeFrom="paragraph">
              <wp:posOffset>-334010</wp:posOffset>
            </wp:positionV>
            <wp:extent cx="1286510" cy="8572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1286510" cy="8572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Back to Contents</w:t>
        </w:r>
      </w:hyperlink>
    </w:p>
    <w:p>
      <w:pPr>
        <w:spacing w:after="0" w:line="141" w:lineRule="exact"/>
        <w:rPr>
          <w:sz w:val="20"/>
          <w:szCs w:val="20"/>
          <w:color w:val="auto"/>
        </w:rPr>
      </w:pPr>
    </w:p>
    <w:p>
      <w:pPr>
        <w:ind w:left="2420" w:right="920" w:hanging="2416"/>
        <w:spacing w:after="0" w:line="288" w:lineRule="auto"/>
        <w:rPr>
          <w:sz w:val="20"/>
          <w:szCs w:val="20"/>
          <w:color w:val="auto"/>
        </w:rPr>
      </w:pPr>
      <w:r>
        <w:rPr>
          <w:rFonts w:ascii="Arial" w:cs="Arial" w:eastAsia="Arial" w:hAnsi="Arial"/>
          <w:sz w:val="37"/>
          <w:szCs w:val="37"/>
          <w:b w:val="1"/>
          <w:bCs w:val="1"/>
          <w:color w:val="1C90D3"/>
        </w:rPr>
        <w:t xml:space="preserve">ITEM NO. 2 </w:t>
      </w:r>
      <w:r>
        <w:rPr>
          <w:rFonts w:ascii="Arial" w:cs="Arial" w:eastAsia="Arial" w:hAnsi="Arial"/>
          <w:sz w:val="37"/>
          <w:szCs w:val="37"/>
          <w:color w:val="08228B"/>
        </w:rPr>
        <w:t>– APPROVE, ON AN ADVISORY BASIS, NAMED</w:t>
      </w:r>
      <w:r>
        <w:rPr>
          <w:rFonts w:ascii="Arial" w:cs="Arial" w:eastAsia="Arial" w:hAnsi="Arial"/>
          <w:sz w:val="37"/>
          <w:szCs w:val="37"/>
          <w:b w:val="1"/>
          <w:bCs w:val="1"/>
          <w:color w:val="1C90D3"/>
        </w:rPr>
        <w:t xml:space="preserve"> </w:t>
      </w:r>
      <w:r>
        <w:rPr>
          <w:rFonts w:ascii="Arial" w:cs="Arial" w:eastAsia="Arial" w:hAnsi="Arial"/>
          <w:sz w:val="37"/>
          <w:szCs w:val="37"/>
          <w:color w:val="08228B"/>
        </w:rPr>
        <w:t>EXECUTIVE OFFICER COMPENSATION</w:t>
      </w:r>
    </w:p>
    <w:p>
      <w:pPr>
        <w:spacing w:after="0" w:line="8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Executive compensation is an important matter for our shareholders. The Dodd-Frank Wall Street Reform and Consumer Protection Act requires that we provide you with the opportunity to vote to approve, on a nonbinding advisory basis, the compensation of our named executive officers, as disclosed in this Proxy Statement in accordance with the compensation disclosure rules of the SEC (sometimes referred to as “Say-on-Pay”).</w:t>
      </w:r>
    </w:p>
    <w:p>
      <w:pPr>
        <w:spacing w:after="0" w:line="17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An advisory vote on how frequently we would hold Say-on-Pay votes was held at the 2014 Annual Meeting, and over 82 percent of shares voted were voted in favor of an annual vote. In 2015, over 97 percent of shares voted were voted “FOR” our Say on Pay proposal.</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Compensation Committee has approved the compensation arrangements for our named executive officers described in our CD&amp;A and accompanying compensation tables beginning on page 35 of this Proxy Statement. We urge you to read the CD&amp;A for a more complete understanding of our executive compensation plans, including our compensation philosophy and objectives and the 2015 compensation of named executive officers.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We are asking shareholders to vote in favor of the following resolution:</w:t>
      </w:r>
    </w:p>
    <w:p>
      <w:pPr>
        <w:spacing w:after="0" w:line="17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color w:val="auto"/>
        </w:rPr>
        <w:t>RESOLVED</w:t>
      </w:r>
      <w:r>
        <w:rPr>
          <w:rFonts w:ascii="Arial" w:cs="Arial" w:eastAsia="Arial" w:hAnsi="Arial"/>
          <w:sz w:val="16"/>
          <w:szCs w:val="16"/>
          <w:color w:val="auto"/>
        </w:rPr>
        <w:t>, that the compensation paid to the Company’s named executive officers, as disclosed pursuant to Item 402 of Regulation S-K, including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Discussion and Analysis, compensation tables, and the related narrative discussion, is hereby APPROVED.</w:t>
      </w:r>
    </w:p>
    <w:p>
      <w:pPr>
        <w:spacing w:after="0" w:line="14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As an advisory vote, this proposal is nonbinding. Although the vote is nonbinding, the Board of Directors and the Compensation Committee value the opinions of our shareholders and will consider the outcome of the vote when making future compensation decisions for named executive officers.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The next Say-on-Pay vote will occur at our 2017 Annual Meeting.</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color w:val="1C90D3"/>
        </w:rPr>
        <w:t>Vote Required</w:t>
      </w:r>
    </w:p>
    <w:p>
      <w:pPr>
        <w:spacing w:after="0" w:line="24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affirmative vote of a majority of the shares of our Common Stock present or represented by proxy and entitled to vote at the Annual Meeting is required for approval of this proposal. If you own shares through a broker, bank, or other nominee, you must instruct your broker, bank, or other nominee on how to vote your shares to ensure that your shares will be represented and voted on this proposal.</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08228B"/>
        </w:rPr>
        <w:t xml:space="preserve">The Board of Directors recommends a vote </w:t>
      </w:r>
      <w:r>
        <w:rPr>
          <w:rFonts w:ascii="Arial" w:cs="Arial" w:eastAsia="Arial" w:hAnsi="Arial"/>
          <w:sz w:val="18"/>
          <w:szCs w:val="18"/>
          <w:b w:val="1"/>
          <w:bCs w:val="1"/>
          <w:color w:val="1C90D3"/>
        </w:rPr>
        <w:t>FOR</w:t>
      </w:r>
      <w:r>
        <w:rPr>
          <w:rFonts w:ascii="Arial" w:cs="Arial" w:eastAsia="Arial" w:hAnsi="Arial"/>
          <w:sz w:val="18"/>
          <w:szCs w:val="18"/>
          <w:b w:val="1"/>
          <w:bCs w:val="1"/>
          <w:color w:val="08228B"/>
        </w:rPr>
        <w:t xml:space="preserve"> the advisory proposal to approve executive compensation.</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13"/>
        </w:trPr>
        <w:tc>
          <w:tcPr>
            <w:tcW w:w="4340" w:type="dxa"/>
            <w:vAlign w:val="bottom"/>
            <w:tcBorders>
              <w:bottom w:val="single" w:sz="8" w:color="08228B"/>
            </w:tcBorders>
          </w:tcPr>
          <w:p>
            <w:pPr>
              <w:spacing w:after="0"/>
              <w:rPr>
                <w:sz w:val="9"/>
                <w:szCs w:val="9"/>
                <w:color w:val="auto"/>
              </w:rPr>
            </w:pPr>
          </w:p>
        </w:tc>
        <w:tc>
          <w:tcPr>
            <w:tcW w:w="2060" w:type="dxa"/>
            <w:vAlign w:val="bottom"/>
            <w:vMerge w:val="restart"/>
          </w:tcPr>
          <w:p>
            <w:pPr>
              <w:ind w:left="60"/>
              <w:spacing w:after="0"/>
              <w:rPr>
                <w:sz w:val="20"/>
                <w:szCs w:val="20"/>
                <w:color w:val="auto"/>
              </w:rPr>
            </w:pPr>
            <w:r>
              <w:rPr>
                <w:rFonts w:ascii="Arial" w:cs="Arial" w:eastAsia="Arial" w:hAnsi="Arial"/>
                <w:sz w:val="16"/>
                <w:szCs w:val="16"/>
                <w:b w:val="1"/>
                <w:bCs w:val="1"/>
                <w:color w:val="1C90D3"/>
              </w:rPr>
              <w:t xml:space="preserve">2016 </w:t>
            </w:r>
            <w:r>
              <w:rPr>
                <w:rFonts w:ascii="Arial" w:cs="Arial" w:eastAsia="Arial" w:hAnsi="Arial"/>
                <w:sz w:val="16"/>
                <w:szCs w:val="16"/>
                <w:color w:val="08228B"/>
              </w:rPr>
              <w:t>PROXY STATEMENT</w:t>
            </w:r>
          </w:p>
        </w:tc>
        <w:tc>
          <w:tcPr>
            <w:tcW w:w="2400" w:type="dxa"/>
            <w:vAlign w:val="bottom"/>
            <w:tcBorders>
              <w:bottom w:val="single" w:sz="8" w:color="08228B"/>
            </w:tcBorders>
          </w:tcPr>
          <w:p>
            <w:pPr>
              <w:spacing w:after="0"/>
              <w:rPr>
                <w:sz w:val="9"/>
                <w:szCs w:val="9"/>
                <w:color w:val="auto"/>
              </w:rPr>
            </w:pPr>
          </w:p>
        </w:tc>
        <w:tc>
          <w:tcPr>
            <w:tcW w:w="2620" w:type="dxa"/>
            <w:vAlign w:val="bottom"/>
            <w:vMerge w:val="restart"/>
          </w:tcPr>
          <w:p>
            <w:pPr>
              <w:jc w:val="right"/>
              <w:ind w:right="39"/>
              <w:spacing w:after="0"/>
              <w:rPr>
                <w:sz w:val="20"/>
                <w:szCs w:val="20"/>
                <w:color w:val="auto"/>
              </w:rPr>
            </w:pPr>
            <w:r>
              <w:rPr>
                <w:rFonts w:ascii="Arial" w:cs="Arial" w:eastAsia="Arial" w:hAnsi="Arial"/>
                <w:sz w:val="16"/>
                <w:szCs w:val="16"/>
                <w:color w:val="08228B"/>
              </w:rPr>
              <w:t>63</w:t>
            </w:r>
          </w:p>
        </w:tc>
        <w:tc>
          <w:tcPr>
            <w:tcW w:w="0" w:type="dxa"/>
            <w:vAlign w:val="bottom"/>
          </w:tcPr>
          <w:p>
            <w:pPr>
              <w:spacing w:after="0"/>
              <w:rPr>
                <w:sz w:val="1"/>
                <w:szCs w:val="1"/>
                <w:color w:val="auto"/>
              </w:rPr>
            </w:pPr>
          </w:p>
        </w:tc>
      </w:tr>
      <w:tr>
        <w:trPr>
          <w:trHeight w:val="82"/>
        </w:trPr>
        <w:tc>
          <w:tcPr>
            <w:tcW w:w="4340" w:type="dxa"/>
            <w:vAlign w:val="bottom"/>
          </w:tcPr>
          <w:p>
            <w:pPr>
              <w:spacing w:after="0"/>
              <w:rPr>
                <w:sz w:val="7"/>
                <w:szCs w:val="7"/>
                <w:color w:val="auto"/>
              </w:rPr>
            </w:pPr>
          </w:p>
        </w:tc>
        <w:tc>
          <w:tcPr>
            <w:tcW w:w="2060" w:type="dxa"/>
            <w:vAlign w:val="bottom"/>
            <w:vMerge w:val="continue"/>
          </w:tcPr>
          <w:p>
            <w:pPr>
              <w:spacing w:after="0"/>
              <w:rPr>
                <w:sz w:val="7"/>
                <w:szCs w:val="7"/>
                <w:color w:val="auto"/>
              </w:rPr>
            </w:pPr>
          </w:p>
        </w:tc>
        <w:tc>
          <w:tcPr>
            <w:tcW w:w="2400" w:type="dxa"/>
            <w:vAlign w:val="bottom"/>
          </w:tcPr>
          <w:p>
            <w:pPr>
              <w:spacing w:after="0"/>
              <w:rPr>
                <w:sz w:val="7"/>
                <w:szCs w:val="7"/>
                <w:color w:val="auto"/>
              </w:rPr>
            </w:pPr>
          </w:p>
        </w:tc>
        <w:tc>
          <w:tcPr>
            <w:tcW w:w="2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7"/>
        </w:trPr>
        <w:tc>
          <w:tcPr>
            <w:tcW w:w="4340" w:type="dxa"/>
            <w:vAlign w:val="bottom"/>
            <w:tcBorders>
              <w:bottom w:val="single" w:sz="8" w:color="C0C0C0"/>
            </w:tcBorders>
          </w:tcPr>
          <w:p>
            <w:pPr>
              <w:spacing w:after="0"/>
              <w:rPr>
                <w:sz w:val="24"/>
                <w:szCs w:val="24"/>
                <w:color w:val="auto"/>
              </w:rPr>
            </w:pPr>
          </w:p>
        </w:tc>
        <w:tc>
          <w:tcPr>
            <w:tcW w:w="2060" w:type="dxa"/>
            <w:vAlign w:val="bottom"/>
            <w:tcBorders>
              <w:bottom w:val="single" w:sz="8" w:color="C0C0C0"/>
            </w:tcBorders>
          </w:tcPr>
          <w:p>
            <w:pPr>
              <w:spacing w:after="0"/>
              <w:rPr>
                <w:sz w:val="24"/>
                <w:szCs w:val="24"/>
                <w:color w:val="auto"/>
              </w:rPr>
            </w:pPr>
          </w:p>
        </w:tc>
        <w:tc>
          <w:tcPr>
            <w:tcW w:w="2400" w:type="dxa"/>
            <w:vAlign w:val="bottom"/>
            <w:tcBorders>
              <w:bottom w:val="single" w:sz="8" w:color="C0C0C0"/>
            </w:tcBorders>
          </w:tcPr>
          <w:p>
            <w:pPr>
              <w:spacing w:after="0"/>
              <w:rPr>
                <w:sz w:val="24"/>
                <w:szCs w:val="24"/>
                <w:color w:val="auto"/>
              </w:rPr>
            </w:pPr>
          </w:p>
        </w:tc>
        <w:tc>
          <w:tcPr>
            <w:tcW w:w="262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5613400</wp:posOffset>
            </wp:positionH>
            <wp:positionV relativeFrom="paragraph">
              <wp:posOffset>-334010</wp:posOffset>
            </wp:positionV>
            <wp:extent cx="1286510" cy="8572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1286510" cy="8572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Back to Contents</w:t>
        </w:r>
      </w:hyperlink>
    </w:p>
    <w:p>
      <w:pPr>
        <w:spacing w:after="0" w:line="141" w:lineRule="exact"/>
        <w:rPr>
          <w:sz w:val="20"/>
          <w:szCs w:val="20"/>
          <w:color w:val="auto"/>
        </w:rPr>
      </w:pPr>
    </w:p>
    <w:p>
      <w:pPr>
        <w:ind w:left="2420" w:right="520" w:hanging="2416"/>
        <w:spacing w:after="0" w:line="249" w:lineRule="auto"/>
        <w:rPr>
          <w:sz w:val="20"/>
          <w:szCs w:val="20"/>
          <w:color w:val="auto"/>
        </w:rPr>
      </w:pPr>
      <w:r>
        <w:rPr>
          <w:rFonts w:ascii="Arial" w:cs="Arial" w:eastAsia="Arial" w:hAnsi="Arial"/>
          <w:sz w:val="38"/>
          <w:szCs w:val="38"/>
          <w:b w:val="1"/>
          <w:bCs w:val="1"/>
          <w:color w:val="1C90D3"/>
        </w:rPr>
        <w:t xml:space="preserve">ITEM NO. 3 </w:t>
      </w:r>
      <w:r>
        <w:rPr>
          <w:rFonts w:ascii="Arial" w:cs="Arial" w:eastAsia="Arial" w:hAnsi="Arial"/>
          <w:sz w:val="38"/>
          <w:szCs w:val="38"/>
          <w:color w:val="08228B"/>
        </w:rPr>
        <w:t>– RATIFICATION OF THE SELECTION OF</w:t>
      </w:r>
      <w:r>
        <w:rPr>
          <w:rFonts w:ascii="Arial" w:cs="Arial" w:eastAsia="Arial" w:hAnsi="Arial"/>
          <w:sz w:val="38"/>
          <w:szCs w:val="38"/>
          <w:b w:val="1"/>
          <w:bCs w:val="1"/>
          <w:color w:val="1C90D3"/>
        </w:rPr>
        <w:t xml:space="preserve"> </w:t>
      </w:r>
      <w:r>
        <w:rPr>
          <w:rFonts w:ascii="Arial" w:cs="Arial" w:eastAsia="Arial" w:hAnsi="Arial"/>
          <w:sz w:val="38"/>
          <w:szCs w:val="38"/>
          <w:color w:val="08228B"/>
        </w:rPr>
        <w:t>DELOITTE &amp; TOUCHE LLP AS THE COMPANY’S INDEPENDENT REGISTERED PUBLIC ACCOUNTING FIRM FOR 2016</w:t>
      </w:r>
    </w:p>
    <w:p>
      <w:pPr>
        <w:spacing w:after="0" w:line="15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Audit Committee is directly responsible for the appointment, compensation, retention, and oversight of the independent registered public accounting firm retained to audit the Company’s financial statements. To oversee continuing audit independence and objectivity, the Audit Committee periodically considers whether there should be a rotation of the independent registered public accounting firm. In accordance with the mandated rotation of the accounting firm’s lead engagement partner, the Audit Committee is also involved in the selection of the accounting firm’s lead engagement partner working with Deloitte &amp; Touche LLP (“Deloitte”), with input from management.</w:t>
      </w:r>
    </w:p>
    <w:p>
      <w:pPr>
        <w:spacing w:after="0" w:line="176" w:lineRule="exact"/>
        <w:rPr>
          <w:sz w:val="20"/>
          <w:szCs w:val="20"/>
          <w:color w:val="auto"/>
        </w:rPr>
      </w:pPr>
    </w:p>
    <w:p>
      <w:pPr>
        <w:ind w:right="280"/>
        <w:spacing w:after="0" w:line="260" w:lineRule="auto"/>
        <w:rPr>
          <w:sz w:val="20"/>
          <w:szCs w:val="20"/>
          <w:color w:val="auto"/>
        </w:rPr>
      </w:pPr>
      <w:r>
        <w:rPr>
          <w:rFonts w:ascii="Arial" w:cs="Arial" w:eastAsia="Arial" w:hAnsi="Arial"/>
          <w:sz w:val="16"/>
          <w:szCs w:val="16"/>
          <w:color w:val="auto"/>
        </w:rPr>
        <w:t>The Audit Committee annually evaluates the performance of the independent auditor and reviewed the following performance factors in deciding whether to retain the independent auditor:</w:t>
      </w:r>
    </w:p>
    <w:p>
      <w:pPr>
        <w:spacing w:after="0" w:line="169" w:lineRule="exact"/>
        <w:rPr>
          <w:sz w:val="20"/>
          <w:szCs w:val="20"/>
          <w:color w:val="auto"/>
        </w:rPr>
      </w:pPr>
    </w:p>
    <w:p>
      <w:pPr>
        <w:ind w:left="180" w:hanging="172"/>
        <w:spacing w:after="0"/>
        <w:tabs>
          <w:tab w:leader="none" w:pos="180" w:val="left"/>
        </w:tabs>
        <w:numPr>
          <w:ilvl w:val="0"/>
          <w:numId w:val="112"/>
        </w:numPr>
        <w:rPr>
          <w:rFonts w:ascii="Arial" w:cs="Arial" w:eastAsia="Arial" w:hAnsi="Arial"/>
          <w:sz w:val="16"/>
          <w:szCs w:val="16"/>
          <w:color w:val="08228B"/>
        </w:rPr>
      </w:pPr>
      <w:r>
        <w:rPr>
          <w:rFonts w:ascii="Arial" w:cs="Arial" w:eastAsia="Arial" w:hAnsi="Arial"/>
          <w:sz w:val="16"/>
          <w:szCs w:val="16"/>
          <w:color w:val="auto"/>
        </w:rPr>
        <w:t>The quality and candor of Deloitte’s communications with the Audit Committee and management;</w:t>
      </w:r>
    </w:p>
    <w:p>
      <w:pPr>
        <w:spacing w:after="0" w:line="207" w:lineRule="exact"/>
        <w:rPr>
          <w:rFonts w:ascii="Arial" w:cs="Arial" w:eastAsia="Arial" w:hAnsi="Arial"/>
          <w:sz w:val="16"/>
          <w:szCs w:val="16"/>
          <w:color w:val="08228B"/>
        </w:rPr>
      </w:pPr>
    </w:p>
    <w:p>
      <w:pPr>
        <w:ind w:left="180" w:hanging="172"/>
        <w:spacing w:after="0"/>
        <w:tabs>
          <w:tab w:leader="none" w:pos="180" w:val="left"/>
        </w:tabs>
        <w:numPr>
          <w:ilvl w:val="0"/>
          <w:numId w:val="112"/>
        </w:numPr>
        <w:rPr>
          <w:rFonts w:ascii="Arial" w:cs="Arial" w:eastAsia="Arial" w:hAnsi="Arial"/>
          <w:sz w:val="16"/>
          <w:szCs w:val="16"/>
          <w:color w:val="08228B"/>
        </w:rPr>
      </w:pPr>
      <w:r>
        <w:rPr>
          <w:rFonts w:ascii="Arial" w:cs="Arial" w:eastAsia="Arial" w:hAnsi="Arial"/>
          <w:sz w:val="16"/>
          <w:szCs w:val="16"/>
          <w:color w:val="auto"/>
        </w:rPr>
        <w:t>The effectiveness and efficiency of Deloitte’s audit services and the results from periodic management and Audit Committee performance assessments;</w:t>
      </w:r>
    </w:p>
    <w:p>
      <w:pPr>
        <w:spacing w:after="0" w:line="207" w:lineRule="exact"/>
        <w:rPr>
          <w:rFonts w:ascii="Arial" w:cs="Arial" w:eastAsia="Arial" w:hAnsi="Arial"/>
          <w:sz w:val="16"/>
          <w:szCs w:val="16"/>
          <w:color w:val="08228B"/>
        </w:rPr>
      </w:pPr>
    </w:p>
    <w:p>
      <w:pPr>
        <w:ind w:left="180" w:hanging="172"/>
        <w:spacing w:after="0"/>
        <w:tabs>
          <w:tab w:leader="none" w:pos="180" w:val="left"/>
        </w:tabs>
        <w:numPr>
          <w:ilvl w:val="0"/>
          <w:numId w:val="112"/>
        </w:numPr>
        <w:rPr>
          <w:rFonts w:ascii="Arial" w:cs="Arial" w:eastAsia="Arial" w:hAnsi="Arial"/>
          <w:sz w:val="16"/>
          <w:szCs w:val="16"/>
          <w:color w:val="08228B"/>
        </w:rPr>
      </w:pPr>
      <w:r>
        <w:rPr>
          <w:rFonts w:ascii="Arial" w:cs="Arial" w:eastAsia="Arial" w:hAnsi="Arial"/>
          <w:sz w:val="16"/>
          <w:szCs w:val="16"/>
          <w:color w:val="auto"/>
        </w:rPr>
        <w:t>Deloitte’s independence;</w:t>
      </w:r>
    </w:p>
    <w:p>
      <w:pPr>
        <w:spacing w:after="0" w:line="207" w:lineRule="exact"/>
        <w:rPr>
          <w:rFonts w:ascii="Arial" w:cs="Arial" w:eastAsia="Arial" w:hAnsi="Arial"/>
          <w:sz w:val="16"/>
          <w:szCs w:val="16"/>
          <w:color w:val="08228B"/>
        </w:rPr>
      </w:pPr>
    </w:p>
    <w:p>
      <w:pPr>
        <w:ind w:left="180" w:hanging="172"/>
        <w:spacing w:after="0"/>
        <w:tabs>
          <w:tab w:leader="none" w:pos="180" w:val="left"/>
        </w:tabs>
        <w:numPr>
          <w:ilvl w:val="0"/>
          <w:numId w:val="112"/>
        </w:numPr>
        <w:rPr>
          <w:rFonts w:ascii="Arial" w:cs="Arial" w:eastAsia="Arial" w:hAnsi="Arial"/>
          <w:sz w:val="16"/>
          <w:szCs w:val="16"/>
          <w:color w:val="08228B"/>
        </w:rPr>
      </w:pPr>
      <w:r>
        <w:rPr>
          <w:rFonts w:ascii="Arial" w:cs="Arial" w:eastAsia="Arial" w:hAnsi="Arial"/>
          <w:sz w:val="16"/>
          <w:szCs w:val="16"/>
          <w:color w:val="auto"/>
        </w:rPr>
        <w:t>Deloitte’s global capabilities, technical expertise, and knowledge of the Company’s global operations and industry;</w:t>
      </w:r>
    </w:p>
    <w:p>
      <w:pPr>
        <w:spacing w:after="0" w:line="207" w:lineRule="exact"/>
        <w:rPr>
          <w:rFonts w:ascii="Arial" w:cs="Arial" w:eastAsia="Arial" w:hAnsi="Arial"/>
          <w:sz w:val="16"/>
          <w:szCs w:val="16"/>
          <w:color w:val="08228B"/>
        </w:rPr>
      </w:pPr>
    </w:p>
    <w:p>
      <w:pPr>
        <w:ind w:left="180" w:hanging="172"/>
        <w:spacing w:after="0"/>
        <w:tabs>
          <w:tab w:leader="none" w:pos="180" w:val="left"/>
        </w:tabs>
        <w:numPr>
          <w:ilvl w:val="0"/>
          <w:numId w:val="112"/>
        </w:numPr>
        <w:rPr>
          <w:rFonts w:ascii="Arial" w:cs="Arial" w:eastAsia="Arial" w:hAnsi="Arial"/>
          <w:sz w:val="16"/>
          <w:szCs w:val="16"/>
          <w:color w:val="08228B"/>
        </w:rPr>
      </w:pPr>
      <w:r>
        <w:rPr>
          <w:rFonts w:ascii="Arial" w:cs="Arial" w:eastAsia="Arial" w:hAnsi="Arial"/>
          <w:sz w:val="16"/>
          <w:szCs w:val="16"/>
          <w:color w:val="auto"/>
        </w:rPr>
        <w:t>Available external data about quality and performance, including recent Public Company Accounting Oversight Board reports on Deloitte and its peer firms;</w:t>
      </w:r>
    </w:p>
    <w:p>
      <w:pPr>
        <w:spacing w:after="0" w:line="207" w:lineRule="exact"/>
        <w:rPr>
          <w:rFonts w:ascii="Arial" w:cs="Arial" w:eastAsia="Arial" w:hAnsi="Arial"/>
          <w:sz w:val="16"/>
          <w:szCs w:val="16"/>
          <w:color w:val="08228B"/>
        </w:rPr>
      </w:pPr>
    </w:p>
    <w:p>
      <w:pPr>
        <w:ind w:left="180" w:hanging="172"/>
        <w:spacing w:after="0"/>
        <w:tabs>
          <w:tab w:leader="none" w:pos="180" w:val="left"/>
        </w:tabs>
        <w:numPr>
          <w:ilvl w:val="0"/>
          <w:numId w:val="112"/>
        </w:numPr>
        <w:rPr>
          <w:rFonts w:ascii="Arial" w:cs="Arial" w:eastAsia="Arial" w:hAnsi="Arial"/>
          <w:sz w:val="16"/>
          <w:szCs w:val="16"/>
          <w:color w:val="08228B"/>
        </w:rPr>
      </w:pPr>
      <w:r>
        <w:rPr>
          <w:rFonts w:ascii="Arial" w:cs="Arial" w:eastAsia="Arial" w:hAnsi="Arial"/>
          <w:sz w:val="16"/>
          <w:szCs w:val="16"/>
          <w:color w:val="auto"/>
        </w:rPr>
        <w:t>The appropriateness of Deloitte’s fees; and</w:t>
      </w:r>
    </w:p>
    <w:p>
      <w:pPr>
        <w:spacing w:after="0" w:line="207" w:lineRule="exact"/>
        <w:rPr>
          <w:rFonts w:ascii="Arial" w:cs="Arial" w:eastAsia="Arial" w:hAnsi="Arial"/>
          <w:sz w:val="16"/>
          <w:szCs w:val="16"/>
          <w:color w:val="08228B"/>
        </w:rPr>
      </w:pPr>
    </w:p>
    <w:p>
      <w:pPr>
        <w:ind w:left="180" w:hanging="172"/>
        <w:spacing w:after="0"/>
        <w:tabs>
          <w:tab w:leader="none" w:pos="180" w:val="left"/>
        </w:tabs>
        <w:numPr>
          <w:ilvl w:val="0"/>
          <w:numId w:val="112"/>
        </w:numPr>
        <w:rPr>
          <w:rFonts w:ascii="Arial" w:cs="Arial" w:eastAsia="Arial" w:hAnsi="Arial"/>
          <w:sz w:val="16"/>
          <w:szCs w:val="16"/>
          <w:color w:val="08228B"/>
        </w:rPr>
      </w:pPr>
      <w:r>
        <w:rPr>
          <w:rFonts w:ascii="Arial" w:cs="Arial" w:eastAsia="Arial" w:hAnsi="Arial"/>
          <w:sz w:val="16"/>
          <w:szCs w:val="16"/>
          <w:color w:val="auto"/>
        </w:rPr>
        <w:t>Deloitte’s tenure as our independent auditor.</w:t>
      </w:r>
    </w:p>
    <w:p>
      <w:pPr>
        <w:spacing w:after="0" w:line="19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Following this evaluation, the Audit Committee has selected Deloitte as GM’s independent registered public accounting firm for 2016. The Audit Committee believes that the retention of Deloitte to serve as the Company’s independent registered public accounting firm for 2016 is in the best interest of the Company and its shareholders. Deloitte and its predecessor companies have been GM’s or General Motors Corporation’s auditors since 1918. The Audit Committee considers Deloitte well qualified, with offices or affiliates in or near most locations in the U.S. and other countries where General Motors operates.</w:t>
      </w:r>
    </w:p>
    <w:p>
      <w:pPr>
        <w:spacing w:after="0" w:line="17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Board of Directors has concurred in an advisory capacity with the Audit Committee’s selection of Deloitte, and the appointment of Deloitte will be submitted to the shareholders at the Annual Meeting for ratification. If the shareholders do not ratify the selection of Deloitte as the independent registered public accounting firm for the Company for 2016, the Audit Committee will reconsider whether to engage Deloitte, but may ultimately determine to engage that firm or another audit firm without resubmitting the matter to shareholders. Among the factors the Audit Committee may consider in making this determination are the difficulty and the expense of changing independent registered public accounting firms in the middle of a fiscal year. Even if the shareholders ratify the selection of Deloitte, the Audit Committee may in its sole discretion terminate the engagement of Deloitte and direct the appointment of another independent registered public accounting firm at any time during the year, although it has no current intention to do so.</w:t>
      </w:r>
    </w:p>
    <w:p>
      <w:pPr>
        <w:spacing w:after="0" w:line="18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Representatives of Deloitte will attend the Annual Meeting and will have the opportunity to make any statement they wish. They will also be available to respond to appropriate questions.</w:t>
      </w:r>
    </w:p>
    <w:p>
      <w:pPr>
        <w:spacing w:after="0" w:line="144" w:lineRule="exact"/>
        <w:rPr>
          <w:sz w:val="20"/>
          <w:szCs w:val="20"/>
          <w:color w:val="auto"/>
        </w:rPr>
      </w:pPr>
    </w:p>
    <w:p>
      <w:pPr>
        <w:ind w:right="440"/>
        <w:spacing w:after="0" w:line="271" w:lineRule="auto"/>
        <w:rPr>
          <w:sz w:val="20"/>
          <w:szCs w:val="20"/>
          <w:color w:val="auto"/>
        </w:rPr>
      </w:pPr>
      <w:r>
        <w:rPr>
          <w:rFonts w:ascii="Arial" w:cs="Arial" w:eastAsia="Arial" w:hAnsi="Arial"/>
          <w:sz w:val="18"/>
          <w:szCs w:val="18"/>
          <w:b w:val="1"/>
          <w:bCs w:val="1"/>
          <w:color w:val="08228B"/>
        </w:rPr>
        <w:t xml:space="preserve">The Board of Directors recommends a vote </w:t>
      </w:r>
      <w:r>
        <w:rPr>
          <w:rFonts w:ascii="Arial" w:cs="Arial" w:eastAsia="Arial" w:hAnsi="Arial"/>
          <w:sz w:val="18"/>
          <w:szCs w:val="18"/>
          <w:b w:val="1"/>
          <w:bCs w:val="1"/>
          <w:color w:val="1C90D3"/>
        </w:rPr>
        <w:t>FOR</w:t>
      </w:r>
      <w:r>
        <w:rPr>
          <w:rFonts w:ascii="Arial" w:cs="Arial" w:eastAsia="Arial" w:hAnsi="Arial"/>
          <w:sz w:val="18"/>
          <w:szCs w:val="18"/>
          <w:b w:val="1"/>
          <w:bCs w:val="1"/>
          <w:color w:val="08228B"/>
        </w:rPr>
        <w:t xml:space="preserve"> the proposal to ratify the selection of Deloitte &amp; Touche LLP as the independent registered public accounting firm for GM and its subsidiaries for 2016.</w:t>
      </w:r>
    </w:p>
    <w:p>
      <w:pPr>
        <w:spacing w:after="0" w:line="163" w:lineRule="exact"/>
        <w:rPr>
          <w:sz w:val="20"/>
          <w:szCs w:val="20"/>
          <w:color w:val="auto"/>
        </w:rPr>
      </w:pPr>
    </w:p>
    <w:p>
      <w:pPr>
        <w:jc w:val="both"/>
        <w:spacing w:after="0" w:line="264" w:lineRule="auto"/>
        <w:rPr>
          <w:sz w:val="20"/>
          <w:szCs w:val="20"/>
          <w:color w:val="auto"/>
        </w:rPr>
      </w:pPr>
      <w:r>
        <w:rPr>
          <w:rFonts w:ascii="Arial" w:cs="Arial" w:eastAsia="Arial" w:hAnsi="Arial"/>
          <w:sz w:val="16"/>
          <w:szCs w:val="16"/>
          <w:i w:val="1"/>
          <w:iCs w:val="1"/>
          <w:color w:val="auto"/>
        </w:rPr>
        <w:t>The following Audit Committee Report shall not be deemed incorporated by reference by any general statement incorporating by reference in this Proxy Statement or any portion hereof into any filing under the Securities Act of 1933, as amended, or the Securities Exchange Act of 1934, as amended, and shall not otherwise be deemed filed thereunder.</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13"/>
        </w:trPr>
        <w:tc>
          <w:tcPr>
            <w:tcW w:w="4340" w:type="dxa"/>
            <w:vAlign w:val="bottom"/>
            <w:tcBorders>
              <w:bottom w:val="single" w:sz="8" w:color="08228B"/>
            </w:tcBorders>
          </w:tcPr>
          <w:p>
            <w:pPr>
              <w:spacing w:after="0"/>
              <w:rPr>
                <w:sz w:val="9"/>
                <w:szCs w:val="9"/>
                <w:color w:val="auto"/>
              </w:rPr>
            </w:pPr>
          </w:p>
        </w:tc>
        <w:tc>
          <w:tcPr>
            <w:tcW w:w="2060" w:type="dxa"/>
            <w:vAlign w:val="bottom"/>
            <w:vMerge w:val="restart"/>
          </w:tcPr>
          <w:p>
            <w:pPr>
              <w:ind w:left="60"/>
              <w:spacing w:after="0"/>
              <w:rPr>
                <w:sz w:val="20"/>
                <w:szCs w:val="20"/>
                <w:color w:val="auto"/>
              </w:rPr>
            </w:pPr>
            <w:r>
              <w:rPr>
                <w:rFonts w:ascii="Arial" w:cs="Arial" w:eastAsia="Arial" w:hAnsi="Arial"/>
                <w:sz w:val="16"/>
                <w:szCs w:val="16"/>
                <w:b w:val="1"/>
                <w:bCs w:val="1"/>
                <w:color w:val="1C90D3"/>
              </w:rPr>
              <w:t xml:space="preserve">2016 </w:t>
            </w:r>
            <w:r>
              <w:rPr>
                <w:rFonts w:ascii="Arial" w:cs="Arial" w:eastAsia="Arial" w:hAnsi="Arial"/>
                <w:sz w:val="16"/>
                <w:szCs w:val="16"/>
                <w:color w:val="08228B"/>
              </w:rPr>
              <w:t>PROXY STATEMENT</w:t>
            </w:r>
          </w:p>
        </w:tc>
        <w:tc>
          <w:tcPr>
            <w:tcW w:w="2400" w:type="dxa"/>
            <w:vAlign w:val="bottom"/>
            <w:tcBorders>
              <w:bottom w:val="single" w:sz="8" w:color="08228B"/>
            </w:tcBorders>
          </w:tcPr>
          <w:p>
            <w:pPr>
              <w:spacing w:after="0"/>
              <w:rPr>
                <w:sz w:val="9"/>
                <w:szCs w:val="9"/>
                <w:color w:val="auto"/>
              </w:rPr>
            </w:pPr>
          </w:p>
        </w:tc>
        <w:tc>
          <w:tcPr>
            <w:tcW w:w="2620" w:type="dxa"/>
            <w:vAlign w:val="bottom"/>
            <w:vMerge w:val="restart"/>
          </w:tcPr>
          <w:p>
            <w:pPr>
              <w:jc w:val="right"/>
              <w:ind w:right="39"/>
              <w:spacing w:after="0"/>
              <w:rPr>
                <w:sz w:val="20"/>
                <w:szCs w:val="20"/>
                <w:color w:val="auto"/>
              </w:rPr>
            </w:pPr>
            <w:r>
              <w:rPr>
                <w:rFonts w:ascii="Arial" w:cs="Arial" w:eastAsia="Arial" w:hAnsi="Arial"/>
                <w:sz w:val="16"/>
                <w:szCs w:val="16"/>
                <w:color w:val="08228B"/>
              </w:rPr>
              <w:t>64</w:t>
            </w:r>
          </w:p>
        </w:tc>
        <w:tc>
          <w:tcPr>
            <w:tcW w:w="0" w:type="dxa"/>
            <w:vAlign w:val="bottom"/>
          </w:tcPr>
          <w:p>
            <w:pPr>
              <w:spacing w:after="0"/>
              <w:rPr>
                <w:sz w:val="1"/>
                <w:szCs w:val="1"/>
                <w:color w:val="auto"/>
              </w:rPr>
            </w:pPr>
          </w:p>
        </w:tc>
      </w:tr>
      <w:tr>
        <w:trPr>
          <w:trHeight w:val="82"/>
        </w:trPr>
        <w:tc>
          <w:tcPr>
            <w:tcW w:w="4340" w:type="dxa"/>
            <w:vAlign w:val="bottom"/>
          </w:tcPr>
          <w:p>
            <w:pPr>
              <w:spacing w:after="0"/>
              <w:rPr>
                <w:sz w:val="7"/>
                <w:szCs w:val="7"/>
                <w:color w:val="auto"/>
              </w:rPr>
            </w:pPr>
          </w:p>
        </w:tc>
        <w:tc>
          <w:tcPr>
            <w:tcW w:w="2060" w:type="dxa"/>
            <w:vAlign w:val="bottom"/>
            <w:vMerge w:val="continue"/>
          </w:tcPr>
          <w:p>
            <w:pPr>
              <w:spacing w:after="0"/>
              <w:rPr>
                <w:sz w:val="7"/>
                <w:szCs w:val="7"/>
                <w:color w:val="auto"/>
              </w:rPr>
            </w:pPr>
          </w:p>
        </w:tc>
        <w:tc>
          <w:tcPr>
            <w:tcW w:w="2400" w:type="dxa"/>
            <w:vAlign w:val="bottom"/>
          </w:tcPr>
          <w:p>
            <w:pPr>
              <w:spacing w:after="0"/>
              <w:rPr>
                <w:sz w:val="7"/>
                <w:szCs w:val="7"/>
                <w:color w:val="auto"/>
              </w:rPr>
            </w:pPr>
          </w:p>
        </w:tc>
        <w:tc>
          <w:tcPr>
            <w:tcW w:w="2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7"/>
        </w:trPr>
        <w:tc>
          <w:tcPr>
            <w:tcW w:w="4340" w:type="dxa"/>
            <w:vAlign w:val="bottom"/>
            <w:tcBorders>
              <w:bottom w:val="single" w:sz="8" w:color="C0C0C0"/>
            </w:tcBorders>
          </w:tcPr>
          <w:p>
            <w:pPr>
              <w:spacing w:after="0"/>
              <w:rPr>
                <w:sz w:val="24"/>
                <w:szCs w:val="24"/>
                <w:color w:val="auto"/>
              </w:rPr>
            </w:pPr>
          </w:p>
        </w:tc>
        <w:tc>
          <w:tcPr>
            <w:tcW w:w="2060" w:type="dxa"/>
            <w:vAlign w:val="bottom"/>
            <w:tcBorders>
              <w:bottom w:val="single" w:sz="8" w:color="C0C0C0"/>
            </w:tcBorders>
          </w:tcPr>
          <w:p>
            <w:pPr>
              <w:spacing w:after="0"/>
              <w:rPr>
                <w:sz w:val="24"/>
                <w:szCs w:val="24"/>
                <w:color w:val="auto"/>
              </w:rPr>
            </w:pPr>
          </w:p>
        </w:tc>
        <w:tc>
          <w:tcPr>
            <w:tcW w:w="2400" w:type="dxa"/>
            <w:vAlign w:val="bottom"/>
            <w:tcBorders>
              <w:bottom w:val="single" w:sz="8" w:color="C0C0C0"/>
            </w:tcBorders>
          </w:tcPr>
          <w:p>
            <w:pPr>
              <w:spacing w:after="0"/>
              <w:rPr>
                <w:sz w:val="24"/>
                <w:szCs w:val="24"/>
                <w:color w:val="auto"/>
              </w:rPr>
            </w:pPr>
          </w:p>
        </w:tc>
        <w:tc>
          <w:tcPr>
            <w:tcW w:w="262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5613400</wp:posOffset>
            </wp:positionH>
            <wp:positionV relativeFrom="paragraph">
              <wp:posOffset>-334010</wp:posOffset>
            </wp:positionV>
            <wp:extent cx="1286510" cy="8572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1286510" cy="8572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Back to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31"/>
          <w:szCs w:val="31"/>
          <w:color w:val="1C90D3"/>
        </w:rPr>
        <w:t>Audit Committee Report</w:t>
      </w:r>
    </w:p>
    <w:p>
      <w:pPr>
        <w:spacing w:after="0" w:line="192"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 xml:space="preserve">The Audit Committee of the General Motors Board of Directors is a standing committee composed of four directors who meet the independence, financial expertise, and other qualification requirements of the NYSE and applicable securities laws. It operates under a written charter adopted by the Committee and approved by the Board of Directors, which is posted on our website at </w:t>
      </w:r>
      <w:r>
        <w:rPr>
          <w:rFonts w:ascii="Arial" w:cs="Arial" w:eastAsia="Arial" w:hAnsi="Arial"/>
          <w:sz w:val="16"/>
          <w:szCs w:val="16"/>
          <w:i w:val="1"/>
          <w:iCs w:val="1"/>
          <w:color w:val="auto"/>
        </w:rPr>
        <w:t>www.gm.com/investor</w:t>
      </w:r>
      <w:r>
        <w:rPr>
          <w:rFonts w:ascii="Arial" w:cs="Arial" w:eastAsia="Arial" w:hAnsi="Arial"/>
          <w:sz w:val="16"/>
          <w:szCs w:val="16"/>
          <w:color w:val="auto"/>
        </w:rPr>
        <w:t>, under “Corporate Governance.” The members of the Committee are Thomas M. Schoewe (Chair), Linda R. Gooden, Kathryn V. Marinello, and Michael G. Mullen. The Board has determined that Mr. Schoewe, Ms. Gooden, and Ms. Marinello qualify as “audit committee financial experts” as defined by the SEC’s regulations. The Committee annually selects the Company’s independent registered public accounting firm (“auditor”).</w:t>
      </w:r>
    </w:p>
    <w:p>
      <w:pPr>
        <w:spacing w:after="0" w:line="17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Management is responsible for the Company’s internal controls and the financial reporting process and has delivered its opinion on the effectiveness of the Company’s controls. The auditor is responsible for performing an independent audit of the Company’s consolidated financial statements and opining on the effectiveness of those controls in accordance with the standards of the Public Company Accounting Oversight Board (United States) (the “PCAOB”) and issuing its reports thereon. As provided in its charter, the Committee’s responsibilities include monitoring and overseeing these processes.</w:t>
      </w:r>
    </w:p>
    <w:p>
      <w:pPr>
        <w:spacing w:after="0" w:line="17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Consistent with its charter responsibilities, the Committee has met and held discussions with management and Deloitte &amp; Touche LLP, the Company’s auditor for 2015, regarding the Company’s audited financial statements and internal controls for the year ended December 31, 2015. In this context, management represented to the Committee that the Company’s consolidated financial statements were prepared in accordance with accounting principles generally accepted in the United States. The Committee reviewed and discussed the consolidated financial statements with management and the auditor and further discussed with the auditor the matters required to be discussed by the standards of the PCAOB.</w:t>
      </w:r>
    </w:p>
    <w:p>
      <w:pPr>
        <w:spacing w:after="0" w:line="17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Company’s auditor has also provided to the Committee the written disclosures and the letter required by the applicable requirements of the PCAOB concerning independence, and the Committee has discussed with the auditor the auditor’s independence. The Committee has also considered and determined that the provision of non-audit services provided to GM is compatible with maintaining the auditor’s independence. The Committee concluded that Deloitte is independent from the Company and its management.</w:t>
      </w:r>
    </w:p>
    <w:p>
      <w:pPr>
        <w:spacing w:after="0" w:line="17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Based upon the Committee’s discussions with management and the auditor as described in this report and the Committee’s review of the representation of management and the reports of the auditors to the Committee, the Committee recommended to the Board of Directors and the Board of Directors approved the inclusion of the audited consolidated financial statements in the Company’s Annual Report on Form 10-K for the year ended December 31, 2015, as filed with the SEC on February 3, 2016.</w:t>
      </w:r>
    </w:p>
    <w:p>
      <w:pPr>
        <w:spacing w:after="0" w:line="156" w:lineRule="exact"/>
        <w:rPr>
          <w:sz w:val="20"/>
          <w:szCs w:val="20"/>
          <w:color w:val="auto"/>
        </w:rPr>
      </w:pPr>
    </w:p>
    <w:p>
      <w:pPr>
        <w:ind w:left="7920"/>
        <w:spacing w:after="0"/>
        <w:rPr>
          <w:sz w:val="20"/>
          <w:szCs w:val="20"/>
          <w:color w:val="auto"/>
        </w:rPr>
      </w:pPr>
      <w:r>
        <w:rPr>
          <w:rFonts w:ascii="Arial" w:cs="Arial" w:eastAsia="Arial" w:hAnsi="Arial"/>
          <w:sz w:val="16"/>
          <w:szCs w:val="16"/>
          <w:b w:val="1"/>
          <w:bCs w:val="1"/>
          <w:color w:val="auto"/>
        </w:rPr>
        <w:t>Audit Committee</w:t>
      </w:r>
    </w:p>
    <w:p>
      <w:pPr>
        <w:spacing w:after="0" w:line="241" w:lineRule="exact"/>
        <w:rPr>
          <w:sz w:val="20"/>
          <w:szCs w:val="20"/>
          <w:color w:val="auto"/>
        </w:rPr>
      </w:pPr>
    </w:p>
    <w:p>
      <w:pPr>
        <w:ind w:left="7920"/>
        <w:spacing w:after="0"/>
        <w:rPr>
          <w:sz w:val="20"/>
          <w:szCs w:val="20"/>
          <w:color w:val="auto"/>
        </w:rPr>
      </w:pPr>
      <w:r>
        <w:rPr>
          <w:rFonts w:ascii="Arial" w:cs="Arial" w:eastAsia="Arial" w:hAnsi="Arial"/>
          <w:sz w:val="16"/>
          <w:szCs w:val="16"/>
          <w:color w:val="auto"/>
        </w:rPr>
        <w:t>Thomas M. Schoewe (Chair)</w:t>
      </w:r>
    </w:p>
    <w:p>
      <w:pPr>
        <w:spacing w:after="0" w:line="19" w:lineRule="exact"/>
        <w:rPr>
          <w:sz w:val="20"/>
          <w:szCs w:val="20"/>
          <w:color w:val="auto"/>
        </w:rPr>
      </w:pPr>
    </w:p>
    <w:p>
      <w:pPr>
        <w:ind w:left="7920"/>
        <w:spacing w:after="0"/>
        <w:rPr>
          <w:sz w:val="20"/>
          <w:szCs w:val="20"/>
          <w:color w:val="auto"/>
        </w:rPr>
      </w:pPr>
      <w:r>
        <w:rPr>
          <w:rFonts w:ascii="Arial" w:cs="Arial" w:eastAsia="Arial" w:hAnsi="Arial"/>
          <w:sz w:val="16"/>
          <w:szCs w:val="16"/>
          <w:color w:val="auto"/>
        </w:rPr>
        <w:t>Linda R. Gooden</w:t>
      </w:r>
    </w:p>
    <w:p>
      <w:pPr>
        <w:spacing w:after="0" w:line="19" w:lineRule="exact"/>
        <w:rPr>
          <w:sz w:val="20"/>
          <w:szCs w:val="20"/>
          <w:color w:val="auto"/>
        </w:rPr>
      </w:pPr>
    </w:p>
    <w:p>
      <w:pPr>
        <w:ind w:left="7920"/>
        <w:spacing w:after="0"/>
        <w:rPr>
          <w:sz w:val="20"/>
          <w:szCs w:val="20"/>
          <w:color w:val="auto"/>
        </w:rPr>
      </w:pPr>
      <w:r>
        <w:rPr>
          <w:rFonts w:ascii="Arial" w:cs="Arial" w:eastAsia="Arial" w:hAnsi="Arial"/>
          <w:sz w:val="16"/>
          <w:szCs w:val="16"/>
          <w:color w:val="auto"/>
        </w:rPr>
        <w:t>Kathryn V. Marinello</w:t>
      </w:r>
    </w:p>
    <w:p>
      <w:pPr>
        <w:spacing w:after="0" w:line="19" w:lineRule="exact"/>
        <w:rPr>
          <w:sz w:val="20"/>
          <w:szCs w:val="20"/>
          <w:color w:val="auto"/>
        </w:rPr>
      </w:pPr>
    </w:p>
    <w:p>
      <w:pPr>
        <w:ind w:left="7920"/>
        <w:spacing w:after="0"/>
        <w:rPr>
          <w:sz w:val="20"/>
          <w:szCs w:val="20"/>
          <w:color w:val="auto"/>
        </w:rPr>
      </w:pPr>
      <w:r>
        <w:rPr>
          <w:rFonts w:ascii="Arial" w:cs="Arial" w:eastAsia="Arial" w:hAnsi="Arial"/>
          <w:sz w:val="16"/>
          <w:szCs w:val="16"/>
          <w:color w:val="auto"/>
        </w:rPr>
        <w:t>Michael G. Mullen</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13"/>
        </w:trPr>
        <w:tc>
          <w:tcPr>
            <w:tcW w:w="4340" w:type="dxa"/>
            <w:vAlign w:val="bottom"/>
            <w:tcBorders>
              <w:bottom w:val="single" w:sz="8" w:color="08228B"/>
            </w:tcBorders>
          </w:tcPr>
          <w:p>
            <w:pPr>
              <w:spacing w:after="0"/>
              <w:rPr>
                <w:sz w:val="9"/>
                <w:szCs w:val="9"/>
                <w:color w:val="auto"/>
              </w:rPr>
            </w:pPr>
          </w:p>
        </w:tc>
        <w:tc>
          <w:tcPr>
            <w:tcW w:w="2060" w:type="dxa"/>
            <w:vAlign w:val="bottom"/>
            <w:vMerge w:val="restart"/>
          </w:tcPr>
          <w:p>
            <w:pPr>
              <w:ind w:left="60"/>
              <w:spacing w:after="0"/>
              <w:rPr>
                <w:sz w:val="20"/>
                <w:szCs w:val="20"/>
                <w:color w:val="auto"/>
              </w:rPr>
            </w:pPr>
            <w:r>
              <w:rPr>
                <w:rFonts w:ascii="Arial" w:cs="Arial" w:eastAsia="Arial" w:hAnsi="Arial"/>
                <w:sz w:val="16"/>
                <w:szCs w:val="16"/>
                <w:b w:val="1"/>
                <w:bCs w:val="1"/>
                <w:color w:val="1C90D3"/>
              </w:rPr>
              <w:t xml:space="preserve">2016 </w:t>
            </w:r>
            <w:r>
              <w:rPr>
                <w:rFonts w:ascii="Arial" w:cs="Arial" w:eastAsia="Arial" w:hAnsi="Arial"/>
                <w:sz w:val="16"/>
                <w:szCs w:val="16"/>
                <w:color w:val="08228B"/>
              </w:rPr>
              <w:t>PROXY STATEMENT</w:t>
            </w:r>
          </w:p>
        </w:tc>
        <w:tc>
          <w:tcPr>
            <w:tcW w:w="2400" w:type="dxa"/>
            <w:vAlign w:val="bottom"/>
            <w:tcBorders>
              <w:bottom w:val="single" w:sz="8" w:color="08228B"/>
            </w:tcBorders>
          </w:tcPr>
          <w:p>
            <w:pPr>
              <w:spacing w:after="0"/>
              <w:rPr>
                <w:sz w:val="9"/>
                <w:szCs w:val="9"/>
                <w:color w:val="auto"/>
              </w:rPr>
            </w:pPr>
          </w:p>
        </w:tc>
        <w:tc>
          <w:tcPr>
            <w:tcW w:w="2620" w:type="dxa"/>
            <w:vAlign w:val="bottom"/>
            <w:vMerge w:val="restart"/>
          </w:tcPr>
          <w:p>
            <w:pPr>
              <w:jc w:val="right"/>
              <w:ind w:right="39"/>
              <w:spacing w:after="0"/>
              <w:rPr>
                <w:sz w:val="20"/>
                <w:szCs w:val="20"/>
                <w:color w:val="auto"/>
              </w:rPr>
            </w:pPr>
            <w:r>
              <w:rPr>
                <w:rFonts w:ascii="Arial" w:cs="Arial" w:eastAsia="Arial" w:hAnsi="Arial"/>
                <w:sz w:val="16"/>
                <w:szCs w:val="16"/>
                <w:color w:val="08228B"/>
              </w:rPr>
              <w:t>65</w:t>
            </w:r>
          </w:p>
        </w:tc>
        <w:tc>
          <w:tcPr>
            <w:tcW w:w="0" w:type="dxa"/>
            <w:vAlign w:val="bottom"/>
          </w:tcPr>
          <w:p>
            <w:pPr>
              <w:spacing w:after="0"/>
              <w:rPr>
                <w:sz w:val="1"/>
                <w:szCs w:val="1"/>
                <w:color w:val="auto"/>
              </w:rPr>
            </w:pPr>
          </w:p>
        </w:tc>
      </w:tr>
      <w:tr>
        <w:trPr>
          <w:trHeight w:val="82"/>
        </w:trPr>
        <w:tc>
          <w:tcPr>
            <w:tcW w:w="4340" w:type="dxa"/>
            <w:vAlign w:val="bottom"/>
          </w:tcPr>
          <w:p>
            <w:pPr>
              <w:spacing w:after="0"/>
              <w:rPr>
                <w:sz w:val="7"/>
                <w:szCs w:val="7"/>
                <w:color w:val="auto"/>
              </w:rPr>
            </w:pPr>
          </w:p>
        </w:tc>
        <w:tc>
          <w:tcPr>
            <w:tcW w:w="2060" w:type="dxa"/>
            <w:vAlign w:val="bottom"/>
            <w:vMerge w:val="continue"/>
          </w:tcPr>
          <w:p>
            <w:pPr>
              <w:spacing w:after="0"/>
              <w:rPr>
                <w:sz w:val="7"/>
                <w:szCs w:val="7"/>
                <w:color w:val="auto"/>
              </w:rPr>
            </w:pPr>
          </w:p>
        </w:tc>
        <w:tc>
          <w:tcPr>
            <w:tcW w:w="2400" w:type="dxa"/>
            <w:vAlign w:val="bottom"/>
          </w:tcPr>
          <w:p>
            <w:pPr>
              <w:spacing w:after="0"/>
              <w:rPr>
                <w:sz w:val="7"/>
                <w:szCs w:val="7"/>
                <w:color w:val="auto"/>
              </w:rPr>
            </w:pPr>
          </w:p>
        </w:tc>
        <w:tc>
          <w:tcPr>
            <w:tcW w:w="2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7"/>
        </w:trPr>
        <w:tc>
          <w:tcPr>
            <w:tcW w:w="4340" w:type="dxa"/>
            <w:vAlign w:val="bottom"/>
            <w:tcBorders>
              <w:bottom w:val="single" w:sz="8" w:color="C0C0C0"/>
            </w:tcBorders>
          </w:tcPr>
          <w:p>
            <w:pPr>
              <w:spacing w:after="0"/>
              <w:rPr>
                <w:sz w:val="24"/>
                <w:szCs w:val="24"/>
                <w:color w:val="auto"/>
              </w:rPr>
            </w:pPr>
          </w:p>
        </w:tc>
        <w:tc>
          <w:tcPr>
            <w:tcW w:w="2060" w:type="dxa"/>
            <w:vAlign w:val="bottom"/>
            <w:tcBorders>
              <w:bottom w:val="single" w:sz="8" w:color="C0C0C0"/>
            </w:tcBorders>
          </w:tcPr>
          <w:p>
            <w:pPr>
              <w:spacing w:after="0"/>
              <w:rPr>
                <w:sz w:val="24"/>
                <w:szCs w:val="24"/>
                <w:color w:val="auto"/>
              </w:rPr>
            </w:pPr>
          </w:p>
        </w:tc>
        <w:tc>
          <w:tcPr>
            <w:tcW w:w="2400" w:type="dxa"/>
            <w:vAlign w:val="bottom"/>
            <w:tcBorders>
              <w:bottom w:val="single" w:sz="8" w:color="C0C0C0"/>
            </w:tcBorders>
          </w:tcPr>
          <w:p>
            <w:pPr>
              <w:spacing w:after="0"/>
              <w:rPr>
                <w:sz w:val="24"/>
                <w:szCs w:val="24"/>
                <w:color w:val="auto"/>
              </w:rPr>
            </w:pPr>
          </w:p>
        </w:tc>
        <w:tc>
          <w:tcPr>
            <w:tcW w:w="262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5613400</wp:posOffset>
            </wp:positionH>
            <wp:positionV relativeFrom="paragraph">
              <wp:posOffset>-334010</wp:posOffset>
            </wp:positionV>
            <wp:extent cx="1286510" cy="8572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1286510" cy="8572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Back to Contents</w:t>
        </w:r>
      </w:hyperlink>
    </w:p>
    <w:p>
      <w:pPr>
        <w:spacing w:after="0" w:line="192" w:lineRule="exact"/>
        <w:rPr>
          <w:sz w:val="20"/>
          <w:szCs w:val="20"/>
          <w:color w:val="auto"/>
        </w:rPr>
      </w:pPr>
    </w:p>
    <w:p>
      <w:pPr>
        <w:spacing w:after="0"/>
        <w:rPr>
          <w:sz w:val="20"/>
          <w:szCs w:val="20"/>
          <w:color w:val="auto"/>
        </w:rPr>
      </w:pPr>
      <w:r>
        <w:rPr>
          <w:rFonts w:ascii="Arial" w:cs="Arial" w:eastAsia="Arial" w:hAnsi="Arial"/>
          <w:sz w:val="32"/>
          <w:szCs w:val="32"/>
          <w:color w:val="1C90D3"/>
        </w:rPr>
        <w:t>Fees Paid to Independent Registered Public Accounting Firm</w:t>
      </w:r>
    </w:p>
    <w:p>
      <w:pPr>
        <w:spacing w:after="0" w:line="18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Audit Committee retained Deloitte to audit the Company’s consolidated financial statements and the effectiveness of internal controls, as of and for the year ended December 31, 2015. The Company and its subsidiaries also retained Deloitte and certain of its affiliates, as well as other accounting and consulting firms, to provide various other services in 2015. Deloitte initially presents the proposed annual audit services and their related fees to the Audit Committee for approval on an audit-year basis.</w:t>
      </w:r>
    </w:p>
    <w:p>
      <w:pPr>
        <w:spacing w:after="0" w:line="17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services performed by Deloitte in 2015 were preapproved in accordance with the preapproval policy and procedures established by the Audit Committee. This policy requires that prior to the provision of services by the auditor, the Audit Committee will be presented, for consideration, a description of the types of Audit-Related, Tax, and All Other Services expected to be performed by the auditor during the fiscal year, with amounts budgeted for each category (Audit-Related, Tax, and All Other Services). Any requests for such services for $1 million or more not contemplated and approved by the Audit Committee initially must thereafter be submitted to the Audit Committee (or the Chair of the Audit Committee in an urgent case) for specific preapproval. Requests for services less than $1 million individually can be approved by management based on the amounts approved for each category. Management must report actual spending for each category to the full Audit Committee periodically during the year.</w:t>
      </w:r>
    </w:p>
    <w:p>
      <w:pPr>
        <w:spacing w:after="0" w:line="18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These services are actively monitored (both spending level and work content) by the Audit Committee to maintain the appropriate objectivity and independence in Deloitte’s core work, which is the audit of the Company’s consolidated financial statements and internal control. The Audit Committee determined that all services provided by Deloitte in 2015 were compatible with maintaining the independence of Deloitte.</w:t>
      </w:r>
    </w:p>
    <w:p>
      <w:pPr>
        <w:spacing w:after="0" w:line="17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following table summarizes Deloitte fees billed or expected to be billed in connection with 2015 services. For comparison purposes, actual billings for 2014 services are also displayed.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520" w:type="dxa"/>
            <w:vAlign w:val="bottom"/>
            <w:tcBorders>
              <w:top w:val="single" w:sz="8" w:color="1C90D3"/>
            </w:tcBorders>
          </w:tcPr>
          <w:p>
            <w:pPr>
              <w:spacing w:after="0"/>
              <w:rPr>
                <w:sz w:val="18"/>
                <w:szCs w:val="18"/>
                <w:color w:val="auto"/>
              </w:rPr>
            </w:pPr>
          </w:p>
        </w:tc>
        <w:tc>
          <w:tcPr>
            <w:tcW w:w="4920" w:type="dxa"/>
            <w:vAlign w:val="bottom"/>
            <w:tcBorders>
              <w:top w:val="single" w:sz="8" w:color="1C90D3"/>
            </w:tcBorders>
          </w:tcPr>
          <w:p>
            <w:pPr>
              <w:jc w:val="right"/>
              <w:ind w:right="619"/>
              <w:spacing w:after="0"/>
              <w:rPr>
                <w:sz w:val="20"/>
                <w:szCs w:val="20"/>
                <w:color w:val="auto"/>
              </w:rPr>
            </w:pPr>
            <w:r>
              <w:rPr>
                <w:rFonts w:ascii="Arial" w:cs="Arial" w:eastAsia="Arial" w:hAnsi="Arial"/>
                <w:sz w:val="16"/>
                <w:szCs w:val="16"/>
                <w:b w:val="1"/>
                <w:bCs w:val="1"/>
                <w:color w:val="1C90D3"/>
              </w:rPr>
              <w:t>2015</w:t>
            </w:r>
          </w:p>
        </w:tc>
        <w:tc>
          <w:tcPr>
            <w:tcW w:w="1860" w:type="dxa"/>
            <w:vAlign w:val="bottom"/>
            <w:tcBorders>
              <w:top w:val="single" w:sz="8" w:color="1C90D3"/>
            </w:tcBorders>
          </w:tcPr>
          <w:p>
            <w:pPr>
              <w:jc w:val="right"/>
              <w:ind w:right="19"/>
              <w:spacing w:after="0"/>
              <w:rPr>
                <w:sz w:val="20"/>
                <w:szCs w:val="20"/>
                <w:color w:val="auto"/>
              </w:rPr>
            </w:pPr>
            <w:r>
              <w:rPr>
                <w:rFonts w:ascii="Arial" w:cs="Arial" w:eastAsia="Arial" w:hAnsi="Arial"/>
                <w:sz w:val="16"/>
                <w:szCs w:val="16"/>
                <w:b w:val="1"/>
                <w:bCs w:val="1"/>
                <w:color w:val="1C90D3"/>
              </w:rPr>
              <w:t>2014</w:t>
            </w:r>
          </w:p>
        </w:tc>
      </w:tr>
      <w:tr>
        <w:trPr>
          <w:trHeight w:val="214"/>
        </w:trPr>
        <w:tc>
          <w:tcPr>
            <w:tcW w:w="4520" w:type="dxa"/>
            <w:vAlign w:val="bottom"/>
            <w:tcBorders>
              <w:bottom w:val="single" w:sz="8" w:color="1C90D3"/>
            </w:tcBorders>
          </w:tcPr>
          <w:p>
            <w:pPr>
              <w:ind w:left="60"/>
              <w:spacing w:after="0"/>
              <w:rPr>
                <w:sz w:val="20"/>
                <w:szCs w:val="20"/>
                <w:color w:val="auto"/>
              </w:rPr>
            </w:pPr>
            <w:r>
              <w:rPr>
                <w:rFonts w:ascii="Arial" w:cs="Arial" w:eastAsia="Arial" w:hAnsi="Arial"/>
                <w:sz w:val="16"/>
                <w:szCs w:val="16"/>
                <w:b w:val="1"/>
                <w:bCs w:val="1"/>
                <w:color w:val="1C90D3"/>
              </w:rPr>
              <w:t>Type of Fees</w:t>
            </w:r>
          </w:p>
        </w:tc>
        <w:tc>
          <w:tcPr>
            <w:tcW w:w="4920" w:type="dxa"/>
            <w:vAlign w:val="bottom"/>
            <w:tcBorders>
              <w:bottom w:val="single" w:sz="8" w:color="1C90D3"/>
            </w:tcBorders>
          </w:tcPr>
          <w:p>
            <w:pPr>
              <w:jc w:val="right"/>
              <w:ind w:right="619"/>
              <w:spacing w:after="0"/>
              <w:rPr>
                <w:sz w:val="20"/>
                <w:szCs w:val="20"/>
                <w:color w:val="auto"/>
              </w:rPr>
            </w:pPr>
            <w:r>
              <w:rPr>
                <w:rFonts w:ascii="Arial" w:cs="Arial" w:eastAsia="Arial" w:hAnsi="Arial"/>
                <w:sz w:val="16"/>
                <w:szCs w:val="16"/>
                <w:b w:val="1"/>
                <w:bCs w:val="1"/>
                <w:color w:val="1C90D3"/>
              </w:rPr>
              <w:t>($ in millions)</w:t>
            </w:r>
          </w:p>
        </w:tc>
        <w:tc>
          <w:tcPr>
            <w:tcW w:w="1860" w:type="dxa"/>
            <w:vAlign w:val="bottom"/>
            <w:tcBorders>
              <w:bottom w:val="single" w:sz="8" w:color="1C90D3"/>
            </w:tcBorders>
          </w:tcPr>
          <w:p>
            <w:pPr>
              <w:jc w:val="right"/>
              <w:ind w:right="19"/>
              <w:spacing w:after="0"/>
              <w:rPr>
                <w:sz w:val="20"/>
                <w:szCs w:val="20"/>
                <w:color w:val="auto"/>
              </w:rPr>
            </w:pPr>
            <w:r>
              <w:rPr>
                <w:rFonts w:ascii="Arial" w:cs="Arial" w:eastAsia="Arial" w:hAnsi="Arial"/>
                <w:sz w:val="16"/>
                <w:szCs w:val="16"/>
                <w:b w:val="1"/>
                <w:bCs w:val="1"/>
                <w:color w:val="1C90D3"/>
              </w:rPr>
              <w:t>($ in millions)</w:t>
            </w:r>
          </w:p>
        </w:tc>
      </w:tr>
      <w:tr>
        <w:trPr>
          <w:trHeight w:val="189"/>
        </w:trPr>
        <w:tc>
          <w:tcPr>
            <w:tcW w:w="452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Audit</w:t>
            </w:r>
          </w:p>
        </w:tc>
        <w:tc>
          <w:tcPr>
            <w:tcW w:w="49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color w:val="auto"/>
              </w:rPr>
              <w:t>32</w:t>
            </w:r>
          </w:p>
        </w:tc>
        <w:tc>
          <w:tcPr>
            <w:tcW w:w="1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w:t>
            </w:r>
          </w:p>
        </w:tc>
      </w:tr>
      <w:tr>
        <w:trPr>
          <w:trHeight w:val="183"/>
        </w:trPr>
        <w:tc>
          <w:tcPr>
            <w:tcW w:w="4520" w:type="dxa"/>
            <w:vAlign w:val="bottom"/>
            <w:tcBorders>
              <w:bottom w:val="single" w:sz="8" w:color="auto"/>
            </w:tcBorders>
          </w:tcPr>
          <w:p>
            <w:pPr>
              <w:ind w:left="60"/>
              <w:spacing w:after="0" w:line="183" w:lineRule="exact"/>
              <w:rPr>
                <w:sz w:val="20"/>
                <w:szCs w:val="20"/>
                <w:color w:val="auto"/>
              </w:rPr>
            </w:pPr>
            <w:r>
              <w:rPr>
                <w:rFonts w:ascii="Arial" w:cs="Arial" w:eastAsia="Arial" w:hAnsi="Arial"/>
                <w:sz w:val="16"/>
                <w:szCs w:val="16"/>
                <w:color w:val="auto"/>
              </w:rPr>
              <w:t>Audit-Related</w:t>
            </w:r>
          </w:p>
        </w:tc>
        <w:tc>
          <w:tcPr>
            <w:tcW w:w="4920" w:type="dxa"/>
            <w:vAlign w:val="bottom"/>
            <w:tcBorders>
              <w:bottom w:val="single" w:sz="8" w:color="auto"/>
            </w:tcBorders>
          </w:tcPr>
          <w:p>
            <w:pPr>
              <w:jc w:val="right"/>
              <w:ind w:right="619"/>
              <w:spacing w:after="0" w:line="183" w:lineRule="exact"/>
              <w:rPr>
                <w:sz w:val="20"/>
                <w:szCs w:val="20"/>
                <w:color w:val="auto"/>
              </w:rPr>
            </w:pPr>
            <w:r>
              <w:rPr>
                <w:rFonts w:ascii="Arial" w:cs="Arial" w:eastAsia="Arial" w:hAnsi="Arial"/>
                <w:sz w:val="16"/>
                <w:szCs w:val="16"/>
                <w:color w:val="auto"/>
              </w:rPr>
              <w:t>5</w:t>
            </w:r>
          </w:p>
        </w:tc>
        <w:tc>
          <w:tcPr>
            <w:tcW w:w="186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7</w:t>
            </w:r>
          </w:p>
        </w:tc>
      </w:tr>
      <w:tr>
        <w:trPr>
          <w:trHeight w:val="183"/>
        </w:trPr>
        <w:tc>
          <w:tcPr>
            <w:tcW w:w="4520" w:type="dxa"/>
            <w:vAlign w:val="bottom"/>
            <w:tcBorders>
              <w:bottom w:val="single" w:sz="8" w:color="auto"/>
            </w:tcBorders>
          </w:tcPr>
          <w:p>
            <w:pPr>
              <w:ind w:left="60"/>
              <w:spacing w:after="0" w:line="183" w:lineRule="exact"/>
              <w:rPr>
                <w:sz w:val="20"/>
                <w:szCs w:val="20"/>
                <w:color w:val="auto"/>
              </w:rPr>
            </w:pPr>
            <w:r>
              <w:rPr>
                <w:rFonts w:ascii="Arial" w:cs="Arial" w:eastAsia="Arial" w:hAnsi="Arial"/>
                <w:sz w:val="16"/>
                <w:szCs w:val="16"/>
                <w:color w:val="auto"/>
              </w:rPr>
              <w:t>Tax</w:t>
            </w:r>
          </w:p>
        </w:tc>
        <w:tc>
          <w:tcPr>
            <w:tcW w:w="4920" w:type="dxa"/>
            <w:vAlign w:val="bottom"/>
            <w:tcBorders>
              <w:bottom w:val="single" w:sz="8" w:color="auto"/>
            </w:tcBorders>
          </w:tcPr>
          <w:p>
            <w:pPr>
              <w:jc w:val="right"/>
              <w:ind w:right="619"/>
              <w:spacing w:after="0" w:line="183" w:lineRule="exact"/>
              <w:rPr>
                <w:sz w:val="20"/>
                <w:szCs w:val="20"/>
                <w:color w:val="auto"/>
              </w:rPr>
            </w:pPr>
            <w:r>
              <w:rPr>
                <w:rFonts w:ascii="Arial" w:cs="Arial" w:eastAsia="Arial" w:hAnsi="Arial"/>
                <w:sz w:val="16"/>
                <w:szCs w:val="16"/>
                <w:color w:val="auto"/>
              </w:rPr>
              <w:t>5</w:t>
            </w:r>
          </w:p>
        </w:tc>
        <w:tc>
          <w:tcPr>
            <w:tcW w:w="186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7</w:t>
            </w:r>
          </w:p>
        </w:tc>
      </w:tr>
      <w:tr>
        <w:trPr>
          <w:trHeight w:val="183"/>
        </w:trPr>
        <w:tc>
          <w:tcPr>
            <w:tcW w:w="4520" w:type="dxa"/>
            <w:vAlign w:val="bottom"/>
            <w:tcBorders>
              <w:bottom w:val="single" w:sz="8" w:color="auto"/>
            </w:tcBorders>
          </w:tcPr>
          <w:p>
            <w:pPr>
              <w:ind w:left="180"/>
              <w:spacing w:after="0" w:line="183" w:lineRule="exact"/>
              <w:rPr>
                <w:sz w:val="20"/>
                <w:szCs w:val="20"/>
                <w:color w:val="auto"/>
              </w:rPr>
            </w:pPr>
            <w:r>
              <w:rPr>
                <w:rFonts w:ascii="Arial" w:cs="Arial" w:eastAsia="Arial" w:hAnsi="Arial"/>
                <w:sz w:val="16"/>
                <w:szCs w:val="16"/>
                <w:color w:val="auto"/>
              </w:rPr>
              <w:t>Subtotal</w:t>
            </w:r>
          </w:p>
        </w:tc>
        <w:tc>
          <w:tcPr>
            <w:tcW w:w="4920" w:type="dxa"/>
            <w:vAlign w:val="bottom"/>
            <w:tcBorders>
              <w:bottom w:val="single" w:sz="8" w:color="auto"/>
            </w:tcBorders>
          </w:tcPr>
          <w:p>
            <w:pPr>
              <w:jc w:val="right"/>
              <w:ind w:right="619"/>
              <w:spacing w:after="0" w:line="183" w:lineRule="exact"/>
              <w:rPr>
                <w:sz w:val="20"/>
                <w:szCs w:val="20"/>
                <w:color w:val="auto"/>
              </w:rPr>
            </w:pPr>
            <w:r>
              <w:rPr>
                <w:rFonts w:ascii="Arial" w:cs="Arial" w:eastAsia="Arial" w:hAnsi="Arial"/>
                <w:sz w:val="16"/>
                <w:szCs w:val="16"/>
                <w:color w:val="auto"/>
              </w:rPr>
              <w:t>42</w:t>
            </w:r>
          </w:p>
        </w:tc>
        <w:tc>
          <w:tcPr>
            <w:tcW w:w="186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50</w:t>
            </w:r>
          </w:p>
        </w:tc>
      </w:tr>
      <w:tr>
        <w:trPr>
          <w:trHeight w:val="190"/>
        </w:trPr>
        <w:tc>
          <w:tcPr>
            <w:tcW w:w="4520" w:type="dxa"/>
            <w:vAlign w:val="bottom"/>
            <w:tcBorders>
              <w:bottom w:val="single" w:sz="8" w:color="08228B"/>
            </w:tcBorders>
          </w:tcPr>
          <w:p>
            <w:pPr>
              <w:ind w:left="60"/>
              <w:spacing w:after="0" w:line="183" w:lineRule="exact"/>
              <w:rPr>
                <w:sz w:val="20"/>
                <w:szCs w:val="20"/>
                <w:color w:val="auto"/>
              </w:rPr>
            </w:pPr>
            <w:r>
              <w:rPr>
                <w:rFonts w:ascii="Arial" w:cs="Arial" w:eastAsia="Arial" w:hAnsi="Arial"/>
                <w:sz w:val="16"/>
                <w:szCs w:val="16"/>
                <w:color w:val="auto"/>
              </w:rPr>
              <w:t>All Other Services</w:t>
            </w:r>
          </w:p>
        </w:tc>
        <w:tc>
          <w:tcPr>
            <w:tcW w:w="4920" w:type="dxa"/>
            <w:vAlign w:val="bottom"/>
            <w:tcBorders>
              <w:bottom w:val="single" w:sz="8" w:color="08228B"/>
            </w:tcBorders>
          </w:tcPr>
          <w:p>
            <w:pPr>
              <w:jc w:val="right"/>
              <w:ind w:right="619"/>
              <w:spacing w:after="0" w:line="183" w:lineRule="exact"/>
              <w:rPr>
                <w:sz w:val="20"/>
                <w:szCs w:val="20"/>
                <w:color w:val="auto"/>
              </w:rPr>
            </w:pPr>
            <w:r>
              <w:rPr>
                <w:rFonts w:ascii="Arial" w:cs="Arial" w:eastAsia="Arial" w:hAnsi="Arial"/>
                <w:sz w:val="16"/>
                <w:szCs w:val="16"/>
                <w:color w:val="auto"/>
              </w:rPr>
              <w:t>3</w:t>
            </w:r>
          </w:p>
        </w:tc>
        <w:tc>
          <w:tcPr>
            <w:tcW w:w="1860" w:type="dxa"/>
            <w:vAlign w:val="bottom"/>
            <w:tcBorders>
              <w:bottom w:val="single" w:sz="8" w:color="08228B"/>
            </w:tcBorders>
          </w:tcPr>
          <w:p>
            <w:pPr>
              <w:jc w:val="right"/>
              <w:ind w:right="19"/>
              <w:spacing w:after="0" w:line="183" w:lineRule="exact"/>
              <w:rPr>
                <w:sz w:val="20"/>
                <w:szCs w:val="20"/>
                <w:color w:val="auto"/>
              </w:rPr>
            </w:pPr>
            <w:r>
              <w:rPr>
                <w:rFonts w:ascii="Arial" w:cs="Arial" w:eastAsia="Arial" w:hAnsi="Arial"/>
                <w:sz w:val="16"/>
                <w:szCs w:val="16"/>
                <w:color w:val="auto"/>
              </w:rPr>
              <w:t>1</w:t>
            </w:r>
          </w:p>
        </w:tc>
      </w:tr>
      <w:tr>
        <w:trPr>
          <w:trHeight w:val="210"/>
        </w:trPr>
        <w:tc>
          <w:tcPr>
            <w:tcW w:w="4520" w:type="dxa"/>
            <w:vAlign w:val="bottom"/>
            <w:tcBorders>
              <w:bottom w:val="single" w:sz="8" w:color="08228B"/>
            </w:tcBorders>
          </w:tcPr>
          <w:p>
            <w:pPr>
              <w:ind w:left="60"/>
              <w:spacing w:after="0"/>
              <w:rPr>
                <w:sz w:val="20"/>
                <w:szCs w:val="20"/>
                <w:color w:val="auto"/>
              </w:rPr>
            </w:pPr>
            <w:r>
              <w:rPr>
                <w:rFonts w:ascii="Arial" w:cs="Arial" w:eastAsia="Arial" w:hAnsi="Arial"/>
                <w:sz w:val="16"/>
                <w:szCs w:val="16"/>
                <w:b w:val="1"/>
                <w:bCs w:val="1"/>
                <w:color w:val="08228B"/>
              </w:rPr>
              <w:t>TOTAL</w:t>
            </w:r>
          </w:p>
        </w:tc>
        <w:tc>
          <w:tcPr>
            <w:tcW w:w="4920" w:type="dxa"/>
            <w:vAlign w:val="bottom"/>
            <w:tcBorders>
              <w:bottom w:val="single" w:sz="8" w:color="08228B"/>
            </w:tcBorders>
          </w:tcPr>
          <w:p>
            <w:pPr>
              <w:jc w:val="right"/>
              <w:ind w:right="619"/>
              <w:spacing w:after="0"/>
              <w:rPr>
                <w:sz w:val="20"/>
                <w:szCs w:val="20"/>
                <w:color w:val="auto"/>
              </w:rPr>
            </w:pPr>
            <w:r>
              <w:rPr>
                <w:rFonts w:ascii="Arial" w:cs="Arial" w:eastAsia="Arial" w:hAnsi="Arial"/>
                <w:sz w:val="16"/>
                <w:szCs w:val="16"/>
                <w:b w:val="1"/>
                <w:bCs w:val="1"/>
                <w:color w:val="08228B"/>
              </w:rPr>
              <w:t>45</w:t>
            </w:r>
          </w:p>
        </w:tc>
        <w:tc>
          <w:tcPr>
            <w:tcW w:w="1860" w:type="dxa"/>
            <w:vAlign w:val="bottom"/>
            <w:tcBorders>
              <w:bottom w:val="single" w:sz="8" w:color="08228B"/>
            </w:tcBorders>
          </w:tcPr>
          <w:p>
            <w:pPr>
              <w:jc w:val="right"/>
              <w:ind w:right="19"/>
              <w:spacing w:after="0"/>
              <w:rPr>
                <w:sz w:val="20"/>
                <w:szCs w:val="20"/>
                <w:color w:val="auto"/>
              </w:rPr>
            </w:pPr>
            <w:r>
              <w:rPr>
                <w:rFonts w:ascii="Arial" w:cs="Arial" w:eastAsia="Arial" w:hAnsi="Arial"/>
                <w:sz w:val="16"/>
                <w:szCs w:val="16"/>
                <w:b w:val="1"/>
                <w:bCs w:val="1"/>
                <w:color w:val="08228B"/>
              </w:rPr>
              <w:t>51</w:t>
            </w:r>
          </w:p>
        </w:tc>
      </w:tr>
    </w:tbl>
    <w:p>
      <w:pPr>
        <w:spacing w:after="0" w:line="17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color w:val="08228B"/>
        </w:rPr>
        <w:t xml:space="preserve">Audit Fees </w:t>
      </w:r>
      <w:r>
        <w:rPr>
          <w:rFonts w:ascii="Arial" w:cs="Arial" w:eastAsia="Arial" w:hAnsi="Arial"/>
          <w:sz w:val="16"/>
          <w:szCs w:val="16"/>
          <w:color w:val="000000"/>
        </w:rPr>
        <w:t>– Includes fees for the integrated audit of the Company’s annual consolidated financial statements and attestation of the effectiveness of the</w:t>
      </w:r>
      <w:r>
        <w:rPr>
          <w:rFonts w:ascii="Arial" w:cs="Arial" w:eastAsia="Arial" w:hAnsi="Arial"/>
          <w:sz w:val="16"/>
          <w:szCs w:val="16"/>
          <w:b w:val="1"/>
          <w:bCs w:val="1"/>
          <w:color w:val="08228B"/>
        </w:rPr>
        <w:t xml:space="preserve"> </w:t>
      </w:r>
      <w:r>
        <w:rPr>
          <w:rFonts w:ascii="Arial" w:cs="Arial" w:eastAsia="Arial" w:hAnsi="Arial"/>
          <w:sz w:val="16"/>
          <w:szCs w:val="16"/>
          <w:color w:val="000000"/>
        </w:rPr>
        <w:t>Company’s internal controls over financial reporting, including reviews of the interim financial statements contained in the Company’s Quarterly Reports on Form 10-Q and audits of statutory financial statements.</w:t>
      </w:r>
    </w:p>
    <w:p>
      <w:pPr>
        <w:spacing w:after="0" w:line="14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color w:val="08228B"/>
        </w:rPr>
        <w:t xml:space="preserve">Audit-Related Fees </w:t>
      </w:r>
      <w:r>
        <w:rPr>
          <w:rFonts w:ascii="Arial" w:cs="Arial" w:eastAsia="Arial" w:hAnsi="Arial"/>
          <w:sz w:val="16"/>
          <w:szCs w:val="16"/>
          <w:color w:val="000000"/>
        </w:rPr>
        <w:t>– Includes fees for assurance and related services that are traditionally performed by the independent registered public accounting firm.</w:t>
      </w:r>
      <w:r>
        <w:rPr>
          <w:rFonts w:ascii="Arial" w:cs="Arial" w:eastAsia="Arial" w:hAnsi="Arial"/>
          <w:sz w:val="16"/>
          <w:szCs w:val="16"/>
          <w:b w:val="1"/>
          <w:bCs w:val="1"/>
          <w:color w:val="08228B"/>
        </w:rPr>
        <w:t xml:space="preserve"> </w:t>
      </w:r>
      <w:r>
        <w:rPr>
          <w:rFonts w:ascii="Arial" w:cs="Arial" w:eastAsia="Arial" w:hAnsi="Arial"/>
          <w:sz w:val="16"/>
          <w:szCs w:val="16"/>
          <w:color w:val="000000"/>
        </w:rPr>
        <w:t>More specifically, these services include employee benefit plan audits, comfort letters in connection with funding transactions, other attestation services, and consultation concerning financial accounting and reporting standards.</w:t>
      </w:r>
    </w:p>
    <w:p>
      <w:pPr>
        <w:spacing w:after="0" w:line="14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color w:val="08228B"/>
        </w:rPr>
        <w:t xml:space="preserve">Tax Fees </w:t>
      </w:r>
      <w:r>
        <w:rPr>
          <w:rFonts w:ascii="Arial" w:cs="Arial" w:eastAsia="Arial" w:hAnsi="Arial"/>
          <w:sz w:val="16"/>
          <w:szCs w:val="16"/>
          <w:color w:val="000000"/>
        </w:rPr>
        <w:t>– Includes fees for tax compliance, tax planning, and tax advice. Tax compliance involves preparation of original and amended tax returns and claims</w:t>
      </w:r>
      <w:r>
        <w:rPr>
          <w:rFonts w:ascii="Arial" w:cs="Arial" w:eastAsia="Arial" w:hAnsi="Arial"/>
          <w:sz w:val="16"/>
          <w:szCs w:val="16"/>
          <w:b w:val="1"/>
          <w:bCs w:val="1"/>
          <w:color w:val="08228B"/>
        </w:rPr>
        <w:t xml:space="preserve"> </w:t>
      </w:r>
      <w:r>
        <w:rPr>
          <w:rFonts w:ascii="Arial" w:cs="Arial" w:eastAsia="Arial" w:hAnsi="Arial"/>
          <w:sz w:val="16"/>
          <w:szCs w:val="16"/>
          <w:color w:val="000000"/>
        </w:rPr>
        <w:t>for refund. Tax planning and tax advice encompass a diverse range of services, including assistance with tax audits and appeals, tax advice related to mergers and acquisitions and employee benefit plans, and requests for rulings or technical advice from taxing authorities.</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08228B"/>
        </w:rPr>
        <w:t xml:space="preserve">All Other Fees </w:t>
      </w:r>
      <w:r>
        <w:rPr>
          <w:rFonts w:ascii="Arial" w:cs="Arial" w:eastAsia="Arial" w:hAnsi="Arial"/>
          <w:sz w:val="16"/>
          <w:szCs w:val="16"/>
          <w:color w:val="000000"/>
        </w:rPr>
        <w:t>– Includes fees for other advisory services related to risk management, contract compliance activities, and product-related data enhancement.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13"/>
        </w:trPr>
        <w:tc>
          <w:tcPr>
            <w:tcW w:w="4340" w:type="dxa"/>
            <w:vAlign w:val="bottom"/>
            <w:tcBorders>
              <w:bottom w:val="single" w:sz="8" w:color="08228B"/>
            </w:tcBorders>
          </w:tcPr>
          <w:p>
            <w:pPr>
              <w:spacing w:after="0"/>
              <w:rPr>
                <w:sz w:val="9"/>
                <w:szCs w:val="9"/>
                <w:color w:val="auto"/>
              </w:rPr>
            </w:pPr>
          </w:p>
        </w:tc>
        <w:tc>
          <w:tcPr>
            <w:tcW w:w="2060" w:type="dxa"/>
            <w:vAlign w:val="bottom"/>
            <w:vMerge w:val="restart"/>
          </w:tcPr>
          <w:p>
            <w:pPr>
              <w:ind w:left="60"/>
              <w:spacing w:after="0"/>
              <w:rPr>
                <w:sz w:val="20"/>
                <w:szCs w:val="20"/>
                <w:color w:val="auto"/>
              </w:rPr>
            </w:pPr>
            <w:r>
              <w:rPr>
                <w:rFonts w:ascii="Arial" w:cs="Arial" w:eastAsia="Arial" w:hAnsi="Arial"/>
                <w:sz w:val="16"/>
                <w:szCs w:val="16"/>
                <w:b w:val="1"/>
                <w:bCs w:val="1"/>
                <w:color w:val="1C90D3"/>
              </w:rPr>
              <w:t xml:space="preserve">2016 </w:t>
            </w:r>
            <w:r>
              <w:rPr>
                <w:rFonts w:ascii="Arial" w:cs="Arial" w:eastAsia="Arial" w:hAnsi="Arial"/>
                <w:sz w:val="16"/>
                <w:szCs w:val="16"/>
                <w:color w:val="08228B"/>
              </w:rPr>
              <w:t>PROXY STATEMENT</w:t>
            </w:r>
          </w:p>
        </w:tc>
        <w:tc>
          <w:tcPr>
            <w:tcW w:w="2400" w:type="dxa"/>
            <w:vAlign w:val="bottom"/>
            <w:tcBorders>
              <w:bottom w:val="single" w:sz="8" w:color="08228B"/>
            </w:tcBorders>
          </w:tcPr>
          <w:p>
            <w:pPr>
              <w:spacing w:after="0"/>
              <w:rPr>
                <w:sz w:val="9"/>
                <w:szCs w:val="9"/>
                <w:color w:val="auto"/>
              </w:rPr>
            </w:pPr>
          </w:p>
        </w:tc>
        <w:tc>
          <w:tcPr>
            <w:tcW w:w="2620" w:type="dxa"/>
            <w:vAlign w:val="bottom"/>
            <w:vMerge w:val="restart"/>
          </w:tcPr>
          <w:p>
            <w:pPr>
              <w:jc w:val="right"/>
              <w:ind w:right="39"/>
              <w:spacing w:after="0"/>
              <w:rPr>
                <w:sz w:val="20"/>
                <w:szCs w:val="20"/>
                <w:color w:val="auto"/>
              </w:rPr>
            </w:pPr>
            <w:r>
              <w:rPr>
                <w:rFonts w:ascii="Arial" w:cs="Arial" w:eastAsia="Arial" w:hAnsi="Arial"/>
                <w:sz w:val="16"/>
                <w:szCs w:val="16"/>
                <w:color w:val="08228B"/>
              </w:rPr>
              <w:t>66</w:t>
            </w:r>
          </w:p>
        </w:tc>
        <w:tc>
          <w:tcPr>
            <w:tcW w:w="0" w:type="dxa"/>
            <w:vAlign w:val="bottom"/>
          </w:tcPr>
          <w:p>
            <w:pPr>
              <w:spacing w:after="0"/>
              <w:rPr>
                <w:sz w:val="1"/>
                <w:szCs w:val="1"/>
                <w:color w:val="auto"/>
              </w:rPr>
            </w:pPr>
          </w:p>
        </w:tc>
      </w:tr>
      <w:tr>
        <w:trPr>
          <w:trHeight w:val="82"/>
        </w:trPr>
        <w:tc>
          <w:tcPr>
            <w:tcW w:w="4340" w:type="dxa"/>
            <w:vAlign w:val="bottom"/>
          </w:tcPr>
          <w:p>
            <w:pPr>
              <w:spacing w:after="0"/>
              <w:rPr>
                <w:sz w:val="7"/>
                <w:szCs w:val="7"/>
                <w:color w:val="auto"/>
              </w:rPr>
            </w:pPr>
          </w:p>
        </w:tc>
        <w:tc>
          <w:tcPr>
            <w:tcW w:w="2060" w:type="dxa"/>
            <w:vAlign w:val="bottom"/>
            <w:vMerge w:val="continue"/>
          </w:tcPr>
          <w:p>
            <w:pPr>
              <w:spacing w:after="0"/>
              <w:rPr>
                <w:sz w:val="7"/>
                <w:szCs w:val="7"/>
                <w:color w:val="auto"/>
              </w:rPr>
            </w:pPr>
          </w:p>
        </w:tc>
        <w:tc>
          <w:tcPr>
            <w:tcW w:w="2400" w:type="dxa"/>
            <w:vAlign w:val="bottom"/>
          </w:tcPr>
          <w:p>
            <w:pPr>
              <w:spacing w:after="0"/>
              <w:rPr>
                <w:sz w:val="7"/>
                <w:szCs w:val="7"/>
                <w:color w:val="auto"/>
              </w:rPr>
            </w:pPr>
          </w:p>
        </w:tc>
        <w:tc>
          <w:tcPr>
            <w:tcW w:w="2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7"/>
        </w:trPr>
        <w:tc>
          <w:tcPr>
            <w:tcW w:w="4340" w:type="dxa"/>
            <w:vAlign w:val="bottom"/>
            <w:tcBorders>
              <w:bottom w:val="single" w:sz="8" w:color="C0C0C0"/>
            </w:tcBorders>
          </w:tcPr>
          <w:p>
            <w:pPr>
              <w:spacing w:after="0"/>
              <w:rPr>
                <w:sz w:val="24"/>
                <w:szCs w:val="24"/>
                <w:color w:val="auto"/>
              </w:rPr>
            </w:pPr>
          </w:p>
        </w:tc>
        <w:tc>
          <w:tcPr>
            <w:tcW w:w="2060" w:type="dxa"/>
            <w:vAlign w:val="bottom"/>
            <w:tcBorders>
              <w:bottom w:val="single" w:sz="8" w:color="C0C0C0"/>
            </w:tcBorders>
          </w:tcPr>
          <w:p>
            <w:pPr>
              <w:spacing w:after="0"/>
              <w:rPr>
                <w:sz w:val="24"/>
                <w:szCs w:val="24"/>
                <w:color w:val="auto"/>
              </w:rPr>
            </w:pPr>
          </w:p>
        </w:tc>
        <w:tc>
          <w:tcPr>
            <w:tcW w:w="2400" w:type="dxa"/>
            <w:vAlign w:val="bottom"/>
            <w:tcBorders>
              <w:bottom w:val="single" w:sz="8" w:color="C0C0C0"/>
            </w:tcBorders>
          </w:tcPr>
          <w:p>
            <w:pPr>
              <w:spacing w:after="0"/>
              <w:rPr>
                <w:sz w:val="24"/>
                <w:szCs w:val="24"/>
                <w:color w:val="auto"/>
              </w:rPr>
            </w:pPr>
          </w:p>
        </w:tc>
        <w:tc>
          <w:tcPr>
            <w:tcW w:w="262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5613400</wp:posOffset>
            </wp:positionH>
            <wp:positionV relativeFrom="paragraph">
              <wp:posOffset>-334010</wp:posOffset>
            </wp:positionV>
            <wp:extent cx="1286510" cy="8572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1286510" cy="8572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Back to Contents</w:t>
        </w:r>
      </w:hyperlink>
    </w:p>
    <w:p>
      <w:pPr>
        <w:spacing w:after="0" w:line="150" w:lineRule="exact"/>
        <w:rPr>
          <w:sz w:val="20"/>
          <w:szCs w:val="20"/>
          <w:color w:val="auto"/>
        </w:rPr>
      </w:pPr>
    </w:p>
    <w:p>
      <w:pPr>
        <w:ind w:left="2540" w:right="1060" w:hanging="2538"/>
        <w:spacing w:after="0" w:line="251" w:lineRule="auto"/>
        <w:rPr>
          <w:sz w:val="20"/>
          <w:szCs w:val="20"/>
          <w:color w:val="auto"/>
        </w:rPr>
      </w:pPr>
      <w:r>
        <w:rPr>
          <w:rFonts w:ascii="Arial" w:cs="Arial" w:eastAsia="Arial" w:hAnsi="Arial"/>
          <w:sz w:val="40"/>
          <w:szCs w:val="40"/>
          <w:b w:val="1"/>
          <w:bCs w:val="1"/>
          <w:color w:val="1C90D3"/>
        </w:rPr>
        <w:t xml:space="preserve">ITEM NO. 4 </w:t>
      </w:r>
      <w:r>
        <w:rPr>
          <w:rFonts w:ascii="Arial" w:cs="Arial" w:eastAsia="Arial" w:hAnsi="Arial"/>
          <w:sz w:val="40"/>
          <w:szCs w:val="40"/>
          <w:color w:val="08228B"/>
        </w:rPr>
        <w:t>– SHAREHOLDER PROPOSAL REGARDING</w:t>
      </w:r>
      <w:r>
        <w:rPr>
          <w:rFonts w:ascii="Arial" w:cs="Arial" w:eastAsia="Arial" w:hAnsi="Arial"/>
          <w:sz w:val="40"/>
          <w:szCs w:val="40"/>
          <w:b w:val="1"/>
          <w:bCs w:val="1"/>
          <w:color w:val="1C90D3"/>
        </w:rPr>
        <w:t xml:space="preserve"> </w:t>
      </w:r>
      <w:r>
        <w:rPr>
          <w:rFonts w:ascii="Arial" w:cs="Arial" w:eastAsia="Arial" w:hAnsi="Arial"/>
          <w:sz w:val="40"/>
          <w:szCs w:val="40"/>
          <w:color w:val="08228B"/>
        </w:rPr>
        <w:t>IMPLEMENTATION OF HOLY LAND PRINCIPLES FOR EMPLOYMENT IN PALESTINE-ISRAEL</w:t>
      </w:r>
    </w:p>
    <w:p>
      <w:pPr>
        <w:spacing w:after="0" w:line="377"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Holy Land Principles, Inc., Capitol Hill, P.O. Box 15128, Washington, D.C. 20003-0849, owner of approximately 134 shares of common stock, has given notice that it intends to present for action at the Annual Meeting the following shareholder proposal:</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WHEREAS, General Motors Company has operations in Palestine-Israel;</w:t>
      </w:r>
    </w:p>
    <w:p>
      <w:pPr>
        <w:spacing w:after="0" w:line="194"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WHEREAS, achieving a lasting peace in the Holy Land — with security for Israel and justice for Palestinians — encourages us to promote a means for establishing justice and equality;</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WHEREAS, fair employment should be the hallmark of any American company at home or abroad and is a requisite for any just society;</w:t>
      </w:r>
    </w:p>
    <w:p>
      <w:pPr>
        <w:spacing w:after="0" w:line="194"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WHEREAS, Holy Land Principles, Inc., a non-profit organization, has proposed a set of equal opportunity employment principles to serve as guidelines for corporations in Palestine-Israel.</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These are:</w:t>
      </w:r>
    </w:p>
    <w:p>
      <w:pPr>
        <w:spacing w:after="0" w:line="194" w:lineRule="exact"/>
        <w:rPr>
          <w:sz w:val="20"/>
          <w:szCs w:val="20"/>
          <w:color w:val="auto"/>
        </w:rPr>
      </w:pPr>
    </w:p>
    <w:p>
      <w:pPr>
        <w:ind w:left="340" w:right="140" w:hanging="332"/>
        <w:spacing w:after="0" w:line="260" w:lineRule="auto"/>
        <w:tabs>
          <w:tab w:leader="none" w:pos="34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Adhere to equal and fair employment practices in hiring, compensation, training, professional education, advancement and governance without discrimination based on national, racial, ethnic or religious identity.</w:t>
      </w:r>
    </w:p>
    <w:p>
      <w:pPr>
        <w:spacing w:after="0" w:line="168" w:lineRule="exact"/>
        <w:rPr>
          <w:rFonts w:ascii="Arial" w:cs="Arial" w:eastAsia="Arial" w:hAnsi="Arial"/>
          <w:sz w:val="16"/>
          <w:szCs w:val="16"/>
          <w:color w:val="auto"/>
        </w:rPr>
      </w:pPr>
    </w:p>
    <w:p>
      <w:pPr>
        <w:ind w:left="340" w:hanging="332"/>
        <w:spacing w:after="0"/>
        <w:tabs>
          <w:tab w:leader="none" w:pos="34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Identify underrepresented employee groups and initiate active recruitment efforts to increase the number of underrepresented employees.</w:t>
      </w:r>
    </w:p>
    <w:p>
      <w:pPr>
        <w:spacing w:after="0" w:line="194" w:lineRule="exact"/>
        <w:rPr>
          <w:rFonts w:ascii="Arial" w:cs="Arial" w:eastAsia="Arial" w:hAnsi="Arial"/>
          <w:sz w:val="16"/>
          <w:szCs w:val="16"/>
          <w:color w:val="auto"/>
        </w:rPr>
      </w:pPr>
    </w:p>
    <w:p>
      <w:pPr>
        <w:ind w:left="340" w:right="140" w:hanging="332"/>
        <w:spacing w:after="0" w:line="260" w:lineRule="auto"/>
        <w:tabs>
          <w:tab w:leader="none" w:pos="34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Develop training programs that will prepare substantial numbers of current minority employees for skilled jobs, including the expansion of existing programs and the creation of new programs to train, upgrade, and improve the skills of minority employees.</w:t>
      </w:r>
    </w:p>
    <w:p>
      <w:pPr>
        <w:spacing w:after="0" w:line="168" w:lineRule="exact"/>
        <w:rPr>
          <w:rFonts w:ascii="Arial" w:cs="Arial" w:eastAsia="Arial" w:hAnsi="Arial"/>
          <w:sz w:val="16"/>
          <w:szCs w:val="16"/>
          <w:color w:val="auto"/>
        </w:rPr>
      </w:pPr>
    </w:p>
    <w:p>
      <w:pPr>
        <w:ind w:left="340" w:hanging="332"/>
        <w:spacing w:after="0"/>
        <w:tabs>
          <w:tab w:leader="none" w:pos="34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Maintain a work environment that is respectful of all national, racial, ethnic and religious groups.</w:t>
      </w:r>
    </w:p>
    <w:p>
      <w:pPr>
        <w:spacing w:after="0" w:line="194" w:lineRule="exact"/>
        <w:rPr>
          <w:rFonts w:ascii="Arial" w:cs="Arial" w:eastAsia="Arial" w:hAnsi="Arial"/>
          <w:sz w:val="16"/>
          <w:szCs w:val="16"/>
          <w:color w:val="auto"/>
        </w:rPr>
      </w:pPr>
    </w:p>
    <w:p>
      <w:pPr>
        <w:ind w:left="340" w:hanging="332"/>
        <w:spacing w:after="0"/>
        <w:tabs>
          <w:tab w:leader="none" w:pos="34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Ensure that layoff, recall and termination procedures do not favor a particular national, racial, ethnic or religious group.</w:t>
      </w:r>
    </w:p>
    <w:p>
      <w:pPr>
        <w:spacing w:after="0" w:line="194" w:lineRule="exact"/>
        <w:rPr>
          <w:rFonts w:ascii="Arial" w:cs="Arial" w:eastAsia="Arial" w:hAnsi="Arial"/>
          <w:sz w:val="16"/>
          <w:szCs w:val="16"/>
          <w:color w:val="auto"/>
        </w:rPr>
      </w:pPr>
    </w:p>
    <w:p>
      <w:pPr>
        <w:ind w:left="340" w:right="140" w:hanging="332"/>
        <w:spacing w:after="0" w:line="260" w:lineRule="auto"/>
        <w:tabs>
          <w:tab w:leader="none" w:pos="34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Not make military service a precondition or qualification for employment for any position, other than those positions that specifically require such experience, for the fulfillment of an employee’s particular responsibilities.</w:t>
      </w:r>
    </w:p>
    <w:p>
      <w:pPr>
        <w:spacing w:after="0" w:line="168" w:lineRule="exact"/>
        <w:rPr>
          <w:rFonts w:ascii="Arial" w:cs="Arial" w:eastAsia="Arial" w:hAnsi="Arial"/>
          <w:sz w:val="16"/>
          <w:szCs w:val="16"/>
          <w:color w:val="auto"/>
        </w:rPr>
      </w:pPr>
    </w:p>
    <w:p>
      <w:pPr>
        <w:ind w:left="340" w:hanging="332"/>
        <w:spacing w:after="0"/>
        <w:tabs>
          <w:tab w:leader="none" w:pos="34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Not accept subsidies, tax incentives or other benefits that lead to the direct advantage of one national, racial, ethnic or religious group over another.</w:t>
      </w:r>
    </w:p>
    <w:p>
      <w:pPr>
        <w:spacing w:after="0" w:line="194" w:lineRule="exact"/>
        <w:rPr>
          <w:rFonts w:ascii="Arial" w:cs="Arial" w:eastAsia="Arial" w:hAnsi="Arial"/>
          <w:sz w:val="16"/>
          <w:szCs w:val="16"/>
          <w:color w:val="auto"/>
        </w:rPr>
      </w:pPr>
    </w:p>
    <w:p>
      <w:pPr>
        <w:ind w:left="340" w:hanging="332"/>
        <w:spacing w:after="0"/>
        <w:tabs>
          <w:tab w:leader="none" w:pos="34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Appoint staff to monitor, oversee, set timetables, and publicly report on their progress in implementing the Holy Land Principles.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RESOLVED: Shareholders request the Board of Directors to:</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Make all possible lawful efforts to implement and/or increase activity on each of the eight Holy Land Principles.</w:t>
      </w:r>
    </w:p>
    <w:p>
      <w:pPr>
        <w:spacing w:after="0" w:line="307" w:lineRule="exact"/>
        <w:rPr>
          <w:sz w:val="20"/>
          <w:szCs w:val="20"/>
          <w:color w:val="auto"/>
        </w:rPr>
      </w:pPr>
    </w:p>
    <w:p>
      <w:pPr>
        <w:spacing w:after="0"/>
        <w:rPr>
          <w:sz w:val="20"/>
          <w:szCs w:val="20"/>
          <w:color w:val="auto"/>
        </w:rPr>
      </w:pPr>
      <w:r>
        <w:rPr>
          <w:rFonts w:ascii="Arial" w:cs="Arial" w:eastAsia="Arial" w:hAnsi="Arial"/>
          <w:sz w:val="22"/>
          <w:szCs w:val="22"/>
          <w:color w:val="auto"/>
        </w:rPr>
        <w:t>Supporting Statement</w:t>
      </w:r>
    </w:p>
    <w:p>
      <w:pPr>
        <w:spacing w:after="0" w:line="18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proponent believes that GM benefits by hiring from the widest available talent pool. An employee’s ability to do the job should be the primary consideration in hiring and promotion decisions. Implementation of the Holy Land Principles — which are both pro-Jewish and pro-Palestinian — will demonstrate concern for human rights and equality of opportunity in its international operations. Please vote your proxy FOR these concerns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13"/>
        </w:trPr>
        <w:tc>
          <w:tcPr>
            <w:tcW w:w="4340" w:type="dxa"/>
            <w:vAlign w:val="bottom"/>
            <w:tcBorders>
              <w:bottom w:val="single" w:sz="8" w:color="08228B"/>
            </w:tcBorders>
          </w:tcPr>
          <w:p>
            <w:pPr>
              <w:spacing w:after="0"/>
              <w:rPr>
                <w:sz w:val="9"/>
                <w:szCs w:val="9"/>
                <w:color w:val="auto"/>
              </w:rPr>
            </w:pPr>
          </w:p>
        </w:tc>
        <w:tc>
          <w:tcPr>
            <w:tcW w:w="2060" w:type="dxa"/>
            <w:vAlign w:val="bottom"/>
            <w:vMerge w:val="restart"/>
          </w:tcPr>
          <w:p>
            <w:pPr>
              <w:ind w:left="60"/>
              <w:spacing w:after="0"/>
              <w:rPr>
                <w:sz w:val="20"/>
                <w:szCs w:val="20"/>
                <w:color w:val="auto"/>
              </w:rPr>
            </w:pPr>
            <w:r>
              <w:rPr>
                <w:rFonts w:ascii="Arial" w:cs="Arial" w:eastAsia="Arial" w:hAnsi="Arial"/>
                <w:sz w:val="16"/>
                <w:szCs w:val="16"/>
                <w:b w:val="1"/>
                <w:bCs w:val="1"/>
                <w:color w:val="1C90D3"/>
              </w:rPr>
              <w:t xml:space="preserve">2016 </w:t>
            </w:r>
            <w:r>
              <w:rPr>
                <w:rFonts w:ascii="Arial" w:cs="Arial" w:eastAsia="Arial" w:hAnsi="Arial"/>
                <w:sz w:val="16"/>
                <w:szCs w:val="16"/>
                <w:color w:val="08228B"/>
              </w:rPr>
              <w:t>PROXY STATEMENT</w:t>
            </w:r>
          </w:p>
        </w:tc>
        <w:tc>
          <w:tcPr>
            <w:tcW w:w="2400" w:type="dxa"/>
            <w:vAlign w:val="bottom"/>
            <w:tcBorders>
              <w:bottom w:val="single" w:sz="8" w:color="08228B"/>
            </w:tcBorders>
          </w:tcPr>
          <w:p>
            <w:pPr>
              <w:spacing w:after="0"/>
              <w:rPr>
                <w:sz w:val="9"/>
                <w:szCs w:val="9"/>
                <w:color w:val="auto"/>
              </w:rPr>
            </w:pPr>
          </w:p>
        </w:tc>
        <w:tc>
          <w:tcPr>
            <w:tcW w:w="2620" w:type="dxa"/>
            <w:vAlign w:val="bottom"/>
            <w:vMerge w:val="restart"/>
          </w:tcPr>
          <w:p>
            <w:pPr>
              <w:jc w:val="right"/>
              <w:ind w:right="39"/>
              <w:spacing w:after="0"/>
              <w:rPr>
                <w:sz w:val="20"/>
                <w:szCs w:val="20"/>
                <w:color w:val="auto"/>
              </w:rPr>
            </w:pPr>
            <w:r>
              <w:rPr>
                <w:rFonts w:ascii="Arial" w:cs="Arial" w:eastAsia="Arial" w:hAnsi="Arial"/>
                <w:sz w:val="16"/>
                <w:szCs w:val="16"/>
                <w:color w:val="08228B"/>
              </w:rPr>
              <w:t>67</w:t>
            </w:r>
          </w:p>
        </w:tc>
        <w:tc>
          <w:tcPr>
            <w:tcW w:w="0" w:type="dxa"/>
            <w:vAlign w:val="bottom"/>
          </w:tcPr>
          <w:p>
            <w:pPr>
              <w:spacing w:after="0"/>
              <w:rPr>
                <w:sz w:val="1"/>
                <w:szCs w:val="1"/>
                <w:color w:val="auto"/>
              </w:rPr>
            </w:pPr>
          </w:p>
        </w:tc>
      </w:tr>
      <w:tr>
        <w:trPr>
          <w:trHeight w:val="82"/>
        </w:trPr>
        <w:tc>
          <w:tcPr>
            <w:tcW w:w="4340" w:type="dxa"/>
            <w:vAlign w:val="bottom"/>
          </w:tcPr>
          <w:p>
            <w:pPr>
              <w:spacing w:after="0"/>
              <w:rPr>
                <w:sz w:val="7"/>
                <w:szCs w:val="7"/>
                <w:color w:val="auto"/>
              </w:rPr>
            </w:pPr>
          </w:p>
        </w:tc>
        <w:tc>
          <w:tcPr>
            <w:tcW w:w="2060" w:type="dxa"/>
            <w:vAlign w:val="bottom"/>
            <w:vMerge w:val="continue"/>
          </w:tcPr>
          <w:p>
            <w:pPr>
              <w:spacing w:after="0"/>
              <w:rPr>
                <w:sz w:val="7"/>
                <w:szCs w:val="7"/>
                <w:color w:val="auto"/>
              </w:rPr>
            </w:pPr>
          </w:p>
        </w:tc>
        <w:tc>
          <w:tcPr>
            <w:tcW w:w="2400" w:type="dxa"/>
            <w:vAlign w:val="bottom"/>
          </w:tcPr>
          <w:p>
            <w:pPr>
              <w:spacing w:after="0"/>
              <w:rPr>
                <w:sz w:val="7"/>
                <w:szCs w:val="7"/>
                <w:color w:val="auto"/>
              </w:rPr>
            </w:pPr>
          </w:p>
        </w:tc>
        <w:tc>
          <w:tcPr>
            <w:tcW w:w="2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7"/>
        </w:trPr>
        <w:tc>
          <w:tcPr>
            <w:tcW w:w="4340" w:type="dxa"/>
            <w:vAlign w:val="bottom"/>
            <w:tcBorders>
              <w:bottom w:val="single" w:sz="8" w:color="C0C0C0"/>
            </w:tcBorders>
          </w:tcPr>
          <w:p>
            <w:pPr>
              <w:spacing w:after="0"/>
              <w:rPr>
                <w:sz w:val="24"/>
                <w:szCs w:val="24"/>
                <w:color w:val="auto"/>
              </w:rPr>
            </w:pPr>
          </w:p>
        </w:tc>
        <w:tc>
          <w:tcPr>
            <w:tcW w:w="2060" w:type="dxa"/>
            <w:vAlign w:val="bottom"/>
            <w:tcBorders>
              <w:bottom w:val="single" w:sz="8" w:color="C0C0C0"/>
            </w:tcBorders>
          </w:tcPr>
          <w:p>
            <w:pPr>
              <w:spacing w:after="0"/>
              <w:rPr>
                <w:sz w:val="24"/>
                <w:szCs w:val="24"/>
                <w:color w:val="auto"/>
              </w:rPr>
            </w:pPr>
          </w:p>
        </w:tc>
        <w:tc>
          <w:tcPr>
            <w:tcW w:w="2400" w:type="dxa"/>
            <w:vAlign w:val="bottom"/>
            <w:tcBorders>
              <w:bottom w:val="single" w:sz="8" w:color="C0C0C0"/>
            </w:tcBorders>
          </w:tcPr>
          <w:p>
            <w:pPr>
              <w:spacing w:after="0"/>
              <w:rPr>
                <w:sz w:val="24"/>
                <w:szCs w:val="24"/>
                <w:color w:val="auto"/>
              </w:rPr>
            </w:pPr>
          </w:p>
        </w:tc>
        <w:tc>
          <w:tcPr>
            <w:tcW w:w="262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5613400</wp:posOffset>
            </wp:positionH>
            <wp:positionV relativeFrom="paragraph">
              <wp:posOffset>-334010</wp:posOffset>
            </wp:positionV>
            <wp:extent cx="1286510" cy="8572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1286510" cy="8572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Back to Contents</w:t>
        </w:r>
      </w:hyperlink>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The Board of Directors recommends a vote </w:t>
      </w:r>
      <w:r>
        <w:rPr>
          <w:rFonts w:ascii="Arial" w:cs="Arial" w:eastAsia="Arial" w:hAnsi="Arial"/>
          <w:sz w:val="16"/>
          <w:szCs w:val="16"/>
          <w:b w:val="1"/>
          <w:bCs w:val="1"/>
          <w:u w:val="single" w:color="auto"/>
          <w:color w:val="auto"/>
        </w:rPr>
        <w:t>AGAINST</w:t>
      </w:r>
      <w:r>
        <w:rPr>
          <w:rFonts w:ascii="Arial" w:cs="Arial" w:eastAsia="Arial" w:hAnsi="Arial"/>
          <w:sz w:val="16"/>
          <w:szCs w:val="16"/>
          <w:b w:val="1"/>
          <w:bCs w:val="1"/>
          <w:color w:val="auto"/>
        </w:rPr>
        <w:t xml:space="preserve"> the adoption of this shareholder proposal for the following reasons:</w:t>
      </w:r>
    </w:p>
    <w:p>
      <w:pPr>
        <w:spacing w:after="0" w:line="21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GM is committed to providing fair employment throughout its operations, globally. We have robust policies and procedures in place to support our long-standing commitment to equal employment opportunity, non-discrimination and diversity in each of our operations around the world, including in Israel. These policies and procedures also support our objective to provide a workplace environment that naturally encourages each employee to contribute to their highest potential and to be engaged in accomplishing GM’s vision of building the world’s most valued automotive company. They reflect our respect for employee differences as a source of innovation, which is critical to GM’s success.</w:t>
      </w:r>
    </w:p>
    <w:p>
      <w:pPr>
        <w:spacing w:after="0" w:line="160"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 xml:space="preserve">Our commitment to integrity in the workplace can be found in GM’s Code of Conduct, </w:t>
      </w:r>
      <w:r>
        <w:rPr>
          <w:rFonts w:ascii="Arial" w:cs="Arial" w:eastAsia="Arial" w:hAnsi="Arial"/>
          <w:sz w:val="16"/>
          <w:szCs w:val="16"/>
          <w:i w:val="1"/>
          <w:iCs w:val="1"/>
          <w:color w:val="auto"/>
        </w:rPr>
        <w:t>Winning With Integrity: Our Values and Guidelines for Employee Conduct</w:t>
      </w:r>
      <w:r>
        <w:rPr>
          <w:rFonts w:ascii="Arial" w:cs="Arial" w:eastAsia="Arial" w:hAnsi="Arial"/>
          <w:sz w:val="16"/>
          <w:szCs w:val="16"/>
          <w:color w:val="auto"/>
        </w:rPr>
        <w:t xml:space="preserve"> (“Winning With Integrity”)</w:t>
      </w:r>
      <w:r>
        <w:rPr>
          <w:rFonts w:ascii="Arial" w:cs="Arial" w:eastAsia="Arial" w:hAnsi="Arial"/>
          <w:sz w:val="16"/>
          <w:szCs w:val="16"/>
          <w:i w:val="1"/>
          <w:iCs w:val="1"/>
          <w:color w:val="auto"/>
        </w:rPr>
        <w:t>,</w:t>
      </w:r>
      <w:r>
        <w:rPr>
          <w:rFonts w:ascii="Arial" w:cs="Arial" w:eastAsia="Arial" w:hAnsi="Arial"/>
          <w:sz w:val="16"/>
          <w:szCs w:val="16"/>
          <w:color w:val="auto"/>
        </w:rPr>
        <w:t xml:space="preserve"> which describes the policies and expectations that guide the conduct of our employees worldwide. Winning With Integrity can be found on the Company’s website, www.gm.com/investor, by clicking on “Investors,” then “Corporate Governance.”</w:t>
      </w:r>
    </w:p>
    <w:p>
      <w:pPr>
        <w:spacing w:after="0" w:line="16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relevant part, Winning With Integrity describes our guiding principles for the workplace environment and articulates our commitment to fair employment. GM will extend equal employment opportunities to qualified applicants and employees and strives to maintain a workplace environment that is free of discrimination, hostility, and physical or verbal harassment with respect to age, race, color, sex, religion, national origin, disability, sexual orientation, gender identity or expression, or military status. We will also adhere to government, state, and local guidelines that support providing a workplace which exhibits respect for employees and fair employment opportunities. As further explained below, our robust employment policies and procedures support GM’s position.</w:t>
      </w:r>
    </w:p>
    <w:p>
      <w:pPr>
        <w:spacing w:after="0" w:line="17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 xml:space="preserve">We hire, promote, train, and compensate employees based on merit, experience, or other work-related criteria. We recognize the value of incorporating diverse backgrounds in our global workforce and endeavor to drive diversity throughout the Company by creating a work environment that accepts and tolerates differences while promoting productivity and teamwork. As a result of this commitment, GM continues to earn national and global recognition, as evidenced by the many awards we have received from leading publications and organizations, such as </w:t>
      </w:r>
      <w:r>
        <w:rPr>
          <w:rFonts w:ascii="Arial" w:cs="Arial" w:eastAsia="Arial" w:hAnsi="Arial"/>
          <w:sz w:val="16"/>
          <w:szCs w:val="16"/>
          <w:i w:val="1"/>
          <w:iCs w:val="1"/>
          <w:color w:val="auto"/>
        </w:rPr>
        <w:t>DiversityInc</w:t>
      </w:r>
      <w:r>
        <w:rPr>
          <w:rFonts w:ascii="Arial" w:cs="Arial" w:eastAsia="Arial" w:hAnsi="Arial"/>
          <w:sz w:val="16"/>
          <w:szCs w:val="16"/>
          <w:color w:val="auto"/>
        </w:rPr>
        <w:t xml:space="preserve">, </w:t>
      </w:r>
      <w:r>
        <w:rPr>
          <w:rFonts w:ascii="Arial" w:cs="Arial" w:eastAsia="Arial" w:hAnsi="Arial"/>
          <w:sz w:val="16"/>
          <w:szCs w:val="16"/>
          <w:i w:val="1"/>
          <w:iCs w:val="1"/>
          <w:color w:val="auto"/>
        </w:rPr>
        <w:t>LATINA Style</w:t>
      </w:r>
      <w:r>
        <w:rPr>
          <w:rFonts w:ascii="Arial" w:cs="Arial" w:eastAsia="Arial" w:hAnsi="Arial"/>
          <w:sz w:val="16"/>
          <w:szCs w:val="16"/>
          <w:color w:val="auto"/>
        </w:rPr>
        <w:t xml:space="preserve">, </w:t>
      </w:r>
      <w:r>
        <w:rPr>
          <w:rFonts w:ascii="Arial" w:cs="Arial" w:eastAsia="Arial" w:hAnsi="Arial"/>
          <w:sz w:val="16"/>
          <w:szCs w:val="16"/>
          <w:i w:val="1"/>
          <w:iCs w:val="1"/>
          <w:color w:val="auto"/>
        </w:rPr>
        <w:t>Black Enterprise</w:t>
      </w:r>
      <w:r>
        <w:rPr>
          <w:rFonts w:ascii="Arial" w:cs="Arial" w:eastAsia="Arial" w:hAnsi="Arial"/>
          <w:sz w:val="16"/>
          <w:szCs w:val="16"/>
          <w:color w:val="auto"/>
        </w:rPr>
        <w:t xml:space="preserve">, American Chamber of Commerce (Middle East and North Africa), and </w:t>
      </w:r>
      <w:r>
        <w:rPr>
          <w:rFonts w:ascii="Arial" w:cs="Arial" w:eastAsia="Arial" w:hAnsi="Arial"/>
          <w:sz w:val="16"/>
          <w:szCs w:val="16"/>
          <w:i w:val="1"/>
          <w:iCs w:val="1"/>
          <w:color w:val="auto"/>
        </w:rPr>
        <w:t>Fortune Magazine Korea</w:t>
      </w:r>
      <w:r>
        <w:rPr>
          <w:rFonts w:ascii="Arial" w:cs="Arial" w:eastAsia="Arial" w:hAnsi="Arial"/>
          <w:sz w:val="16"/>
          <w:szCs w:val="16"/>
          <w:color w:val="auto"/>
        </w:rPr>
        <w:t>, just to name a few.</w:t>
      </w:r>
    </w:p>
    <w:p>
      <w:pPr>
        <w:spacing w:after="0" w:line="17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GM’s operations in Israel complies with all of GM’s global employment principles and practices, while operating according to all local and international regulatory requirements. We are actively growing our team in Israel and doing so through application of our own fair employment policies. GM Israel is a diverse organization with employees from different nationalities, such as Israeli, German, French, and Danish; various countries of origin, such as Russia, Argentina, United Kingdom, Australia, and Peru; and different religions, including Judaism, Islam, and Christianity.</w:t>
      </w:r>
    </w:p>
    <w:p>
      <w:pPr>
        <w:spacing w:after="0" w:line="17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As with many other local and multinational companies, GM Israel receives incentives from the local government, particularly provided to companies, similar to GM, that have a local research and development or product development site. The purpose of these incentives is to promote local technical activity and deliverables with a goal only to increase Israel’s industrial business and activity. None of these government incentives lead directly or indirectly to discrimination or a preference toward a particular nationality, race, ethnic, or religious group.</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GM maintains strong policies and procedures that affirm our commitment to equal opportunity employment, non-discrimination and diversity that we apply globally. As such, the Board believes that our current employment standards fully satisfy the proposal’s objective and, therefore, the adoption of the proposal is unnecessary.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08228B"/>
        </w:rPr>
        <w:t xml:space="preserve">The Board of Directors recommends a vote </w:t>
      </w:r>
      <w:r>
        <w:rPr>
          <w:rFonts w:ascii="Arial" w:cs="Arial" w:eastAsia="Arial" w:hAnsi="Arial"/>
          <w:sz w:val="18"/>
          <w:szCs w:val="18"/>
          <w:b w:val="1"/>
          <w:bCs w:val="1"/>
          <w:color w:val="1C90D3"/>
        </w:rPr>
        <w:t>AGAINST</w:t>
      </w:r>
      <w:r>
        <w:rPr>
          <w:rFonts w:ascii="Arial" w:cs="Arial" w:eastAsia="Arial" w:hAnsi="Arial"/>
          <w:sz w:val="18"/>
          <w:szCs w:val="18"/>
          <w:b w:val="1"/>
          <w:bCs w:val="1"/>
          <w:color w:val="08228B"/>
        </w:rPr>
        <w:t xml:space="preserve"> this shareholder proposal, Item No. 4.</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13"/>
        </w:trPr>
        <w:tc>
          <w:tcPr>
            <w:tcW w:w="4340" w:type="dxa"/>
            <w:vAlign w:val="bottom"/>
            <w:tcBorders>
              <w:bottom w:val="single" w:sz="8" w:color="08228B"/>
            </w:tcBorders>
          </w:tcPr>
          <w:p>
            <w:pPr>
              <w:spacing w:after="0"/>
              <w:rPr>
                <w:sz w:val="9"/>
                <w:szCs w:val="9"/>
                <w:color w:val="auto"/>
              </w:rPr>
            </w:pPr>
          </w:p>
        </w:tc>
        <w:tc>
          <w:tcPr>
            <w:tcW w:w="2060" w:type="dxa"/>
            <w:vAlign w:val="bottom"/>
            <w:vMerge w:val="restart"/>
          </w:tcPr>
          <w:p>
            <w:pPr>
              <w:ind w:left="60"/>
              <w:spacing w:after="0"/>
              <w:rPr>
                <w:sz w:val="20"/>
                <w:szCs w:val="20"/>
                <w:color w:val="auto"/>
              </w:rPr>
            </w:pPr>
            <w:r>
              <w:rPr>
                <w:rFonts w:ascii="Arial" w:cs="Arial" w:eastAsia="Arial" w:hAnsi="Arial"/>
                <w:sz w:val="16"/>
                <w:szCs w:val="16"/>
                <w:b w:val="1"/>
                <w:bCs w:val="1"/>
                <w:color w:val="1C90D3"/>
              </w:rPr>
              <w:t xml:space="preserve">2016 </w:t>
            </w:r>
            <w:r>
              <w:rPr>
                <w:rFonts w:ascii="Arial" w:cs="Arial" w:eastAsia="Arial" w:hAnsi="Arial"/>
                <w:sz w:val="16"/>
                <w:szCs w:val="16"/>
                <w:color w:val="08228B"/>
              </w:rPr>
              <w:t>PROXY STATEMENT</w:t>
            </w:r>
          </w:p>
        </w:tc>
        <w:tc>
          <w:tcPr>
            <w:tcW w:w="2400" w:type="dxa"/>
            <w:vAlign w:val="bottom"/>
            <w:tcBorders>
              <w:bottom w:val="single" w:sz="8" w:color="08228B"/>
            </w:tcBorders>
          </w:tcPr>
          <w:p>
            <w:pPr>
              <w:spacing w:after="0"/>
              <w:rPr>
                <w:sz w:val="9"/>
                <w:szCs w:val="9"/>
                <w:color w:val="auto"/>
              </w:rPr>
            </w:pPr>
          </w:p>
        </w:tc>
        <w:tc>
          <w:tcPr>
            <w:tcW w:w="2620" w:type="dxa"/>
            <w:vAlign w:val="bottom"/>
            <w:vMerge w:val="restart"/>
          </w:tcPr>
          <w:p>
            <w:pPr>
              <w:jc w:val="right"/>
              <w:ind w:right="39"/>
              <w:spacing w:after="0"/>
              <w:rPr>
                <w:sz w:val="20"/>
                <w:szCs w:val="20"/>
                <w:color w:val="auto"/>
              </w:rPr>
            </w:pPr>
            <w:r>
              <w:rPr>
                <w:rFonts w:ascii="Arial" w:cs="Arial" w:eastAsia="Arial" w:hAnsi="Arial"/>
                <w:sz w:val="16"/>
                <w:szCs w:val="16"/>
                <w:color w:val="08228B"/>
              </w:rPr>
              <w:t>68</w:t>
            </w:r>
          </w:p>
        </w:tc>
        <w:tc>
          <w:tcPr>
            <w:tcW w:w="0" w:type="dxa"/>
            <w:vAlign w:val="bottom"/>
          </w:tcPr>
          <w:p>
            <w:pPr>
              <w:spacing w:after="0"/>
              <w:rPr>
                <w:sz w:val="1"/>
                <w:szCs w:val="1"/>
                <w:color w:val="auto"/>
              </w:rPr>
            </w:pPr>
          </w:p>
        </w:tc>
      </w:tr>
      <w:tr>
        <w:trPr>
          <w:trHeight w:val="82"/>
        </w:trPr>
        <w:tc>
          <w:tcPr>
            <w:tcW w:w="4340" w:type="dxa"/>
            <w:vAlign w:val="bottom"/>
          </w:tcPr>
          <w:p>
            <w:pPr>
              <w:spacing w:after="0"/>
              <w:rPr>
                <w:sz w:val="7"/>
                <w:szCs w:val="7"/>
                <w:color w:val="auto"/>
              </w:rPr>
            </w:pPr>
          </w:p>
        </w:tc>
        <w:tc>
          <w:tcPr>
            <w:tcW w:w="2060" w:type="dxa"/>
            <w:vAlign w:val="bottom"/>
            <w:vMerge w:val="continue"/>
          </w:tcPr>
          <w:p>
            <w:pPr>
              <w:spacing w:after="0"/>
              <w:rPr>
                <w:sz w:val="7"/>
                <w:szCs w:val="7"/>
                <w:color w:val="auto"/>
              </w:rPr>
            </w:pPr>
          </w:p>
        </w:tc>
        <w:tc>
          <w:tcPr>
            <w:tcW w:w="2400" w:type="dxa"/>
            <w:vAlign w:val="bottom"/>
          </w:tcPr>
          <w:p>
            <w:pPr>
              <w:spacing w:after="0"/>
              <w:rPr>
                <w:sz w:val="7"/>
                <w:szCs w:val="7"/>
                <w:color w:val="auto"/>
              </w:rPr>
            </w:pPr>
          </w:p>
        </w:tc>
        <w:tc>
          <w:tcPr>
            <w:tcW w:w="2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7"/>
        </w:trPr>
        <w:tc>
          <w:tcPr>
            <w:tcW w:w="4340" w:type="dxa"/>
            <w:vAlign w:val="bottom"/>
            <w:tcBorders>
              <w:bottom w:val="single" w:sz="8" w:color="C0C0C0"/>
            </w:tcBorders>
          </w:tcPr>
          <w:p>
            <w:pPr>
              <w:spacing w:after="0"/>
              <w:rPr>
                <w:sz w:val="24"/>
                <w:szCs w:val="24"/>
                <w:color w:val="auto"/>
              </w:rPr>
            </w:pPr>
          </w:p>
        </w:tc>
        <w:tc>
          <w:tcPr>
            <w:tcW w:w="2060" w:type="dxa"/>
            <w:vAlign w:val="bottom"/>
            <w:tcBorders>
              <w:bottom w:val="single" w:sz="8" w:color="C0C0C0"/>
            </w:tcBorders>
          </w:tcPr>
          <w:p>
            <w:pPr>
              <w:spacing w:after="0"/>
              <w:rPr>
                <w:sz w:val="24"/>
                <w:szCs w:val="24"/>
                <w:color w:val="auto"/>
              </w:rPr>
            </w:pPr>
          </w:p>
        </w:tc>
        <w:tc>
          <w:tcPr>
            <w:tcW w:w="2400" w:type="dxa"/>
            <w:vAlign w:val="bottom"/>
            <w:tcBorders>
              <w:bottom w:val="single" w:sz="8" w:color="C0C0C0"/>
            </w:tcBorders>
          </w:tcPr>
          <w:p>
            <w:pPr>
              <w:spacing w:after="0"/>
              <w:rPr>
                <w:sz w:val="24"/>
                <w:szCs w:val="24"/>
                <w:color w:val="auto"/>
              </w:rPr>
            </w:pPr>
          </w:p>
        </w:tc>
        <w:tc>
          <w:tcPr>
            <w:tcW w:w="262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5613400</wp:posOffset>
            </wp:positionH>
            <wp:positionV relativeFrom="paragraph">
              <wp:posOffset>-334010</wp:posOffset>
            </wp:positionV>
            <wp:extent cx="1286510" cy="8572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1286510" cy="8572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Back to Contents</w:t>
        </w:r>
      </w:hyperlink>
    </w:p>
    <w:p>
      <w:pPr>
        <w:spacing w:after="0" w:line="200" w:lineRule="exact"/>
        <w:rPr>
          <w:sz w:val="20"/>
          <w:szCs w:val="20"/>
          <w:color w:val="auto"/>
        </w:rPr>
      </w:pPr>
    </w:p>
    <w:p>
      <w:pPr>
        <w:spacing w:after="0"/>
        <w:rPr>
          <w:sz w:val="20"/>
          <w:szCs w:val="20"/>
          <w:color w:val="auto"/>
        </w:rPr>
      </w:pPr>
      <w:r>
        <w:rPr>
          <w:rFonts w:ascii="Arial" w:cs="Arial" w:eastAsia="Arial" w:hAnsi="Arial"/>
          <w:sz w:val="40"/>
          <w:szCs w:val="40"/>
          <w:color w:val="08278B"/>
        </w:rPr>
        <w:t>QUESTIONS AND ANSWERS</w:t>
      </w:r>
    </w:p>
    <w:p>
      <w:pPr>
        <w:spacing w:after="0" w:line="200" w:lineRule="exact"/>
        <w:rPr>
          <w:sz w:val="20"/>
          <w:szCs w:val="20"/>
          <w:color w:val="auto"/>
        </w:rPr>
      </w:pPr>
    </w:p>
    <w:p>
      <w:pPr>
        <w:spacing w:after="0" w:line="254" w:lineRule="exact"/>
        <w:rPr>
          <w:sz w:val="20"/>
          <w:szCs w:val="20"/>
          <w:color w:val="auto"/>
        </w:rPr>
      </w:pPr>
    </w:p>
    <w:p>
      <w:pPr>
        <w:ind w:left="500" w:hanging="492"/>
        <w:spacing w:after="0"/>
        <w:tabs>
          <w:tab w:leader="none" w:pos="500" w:val="left"/>
        </w:tabs>
        <w:numPr>
          <w:ilvl w:val="0"/>
          <w:numId w:val="114"/>
        </w:numPr>
        <w:rPr>
          <w:rFonts w:ascii="Arial" w:cs="Arial" w:eastAsia="Arial" w:hAnsi="Arial"/>
          <w:sz w:val="25"/>
          <w:szCs w:val="25"/>
          <w:color w:val="08228B"/>
        </w:rPr>
      </w:pPr>
      <w:r>
        <w:rPr>
          <w:rFonts w:ascii="Arial" w:cs="Arial" w:eastAsia="Arial" w:hAnsi="Arial"/>
          <w:sz w:val="25"/>
          <w:szCs w:val="25"/>
          <w:color w:val="auto"/>
        </w:rPr>
        <w:t>Proxy Materials and Voting Information</w:t>
      </w:r>
    </w:p>
    <w:p>
      <w:pPr>
        <w:spacing w:after="0" w:line="312" w:lineRule="exact"/>
        <w:rPr>
          <w:sz w:val="20"/>
          <w:szCs w:val="20"/>
          <w:color w:val="auto"/>
        </w:rPr>
      </w:pPr>
    </w:p>
    <w:p>
      <w:pPr>
        <w:ind w:left="500" w:hanging="492"/>
        <w:spacing w:after="0"/>
        <w:tabs>
          <w:tab w:leader="none" w:pos="500" w:val="left"/>
        </w:tabs>
        <w:numPr>
          <w:ilvl w:val="0"/>
          <w:numId w:val="115"/>
        </w:numPr>
        <w:rPr>
          <w:rFonts w:ascii="Arial" w:cs="Arial" w:eastAsia="Arial" w:hAnsi="Arial"/>
          <w:sz w:val="22"/>
          <w:szCs w:val="22"/>
          <w:color w:val="auto"/>
        </w:rPr>
      </w:pPr>
      <w:r>
        <w:rPr>
          <w:rFonts w:ascii="Arial" w:cs="Arial" w:eastAsia="Arial" w:hAnsi="Arial"/>
          <w:sz w:val="22"/>
          <w:szCs w:val="22"/>
          <w:color w:val="auto"/>
        </w:rPr>
        <w:t>How does the Board of Directors recommend that I vote on matters to be considered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69150" cy="1714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The Board of Directors recommends that you vote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380" w:type="dxa"/>
            <w:vAlign w:val="bottom"/>
            <w:tcBorders>
              <w:top w:val="single" w:sz="8" w:color="1C90D3"/>
            </w:tcBorders>
          </w:tcPr>
          <w:p>
            <w:pPr>
              <w:spacing w:after="0"/>
              <w:rPr>
                <w:sz w:val="17"/>
                <w:szCs w:val="17"/>
                <w:color w:val="auto"/>
              </w:rPr>
            </w:pPr>
          </w:p>
        </w:tc>
        <w:tc>
          <w:tcPr>
            <w:tcW w:w="8060" w:type="dxa"/>
            <w:vAlign w:val="bottom"/>
            <w:tcBorders>
              <w:top w:val="single" w:sz="8" w:color="1C90D3"/>
            </w:tcBorders>
          </w:tcPr>
          <w:p>
            <w:pPr>
              <w:spacing w:after="0"/>
              <w:rPr>
                <w:sz w:val="17"/>
                <w:szCs w:val="17"/>
                <w:color w:val="auto"/>
              </w:rPr>
            </w:pPr>
          </w:p>
        </w:tc>
        <w:tc>
          <w:tcPr>
            <w:tcW w:w="1860" w:type="dxa"/>
            <w:vAlign w:val="bottom"/>
            <w:tcBorders>
              <w:top w:val="single" w:sz="8" w:color="1C90D3"/>
            </w:tcBorders>
          </w:tcPr>
          <w:p>
            <w:pPr>
              <w:jc w:val="right"/>
              <w:spacing w:after="0"/>
              <w:rPr>
                <w:sz w:val="20"/>
                <w:szCs w:val="20"/>
                <w:color w:val="auto"/>
              </w:rPr>
            </w:pPr>
            <w:r>
              <w:rPr>
                <w:rFonts w:ascii="Arial" w:cs="Arial" w:eastAsia="Arial" w:hAnsi="Arial"/>
                <w:sz w:val="16"/>
                <w:szCs w:val="16"/>
                <w:b w:val="1"/>
                <w:bCs w:val="1"/>
                <w:color w:val="1C90D3"/>
              </w:rPr>
              <w:t>Board Voting</w:t>
            </w:r>
          </w:p>
        </w:tc>
      </w:tr>
      <w:tr>
        <w:trPr>
          <w:trHeight w:val="214"/>
        </w:trPr>
        <w:tc>
          <w:tcPr>
            <w:tcW w:w="1380" w:type="dxa"/>
            <w:vAlign w:val="bottom"/>
            <w:tcBorders>
              <w:bottom w:val="single" w:sz="8" w:color="1C90D3"/>
            </w:tcBorders>
          </w:tcPr>
          <w:p>
            <w:pPr>
              <w:ind w:left="60"/>
              <w:spacing w:after="0"/>
              <w:rPr>
                <w:sz w:val="20"/>
                <w:szCs w:val="20"/>
                <w:color w:val="auto"/>
              </w:rPr>
            </w:pPr>
            <w:r>
              <w:rPr>
                <w:rFonts w:ascii="Arial" w:cs="Arial" w:eastAsia="Arial" w:hAnsi="Arial"/>
                <w:sz w:val="16"/>
                <w:szCs w:val="16"/>
                <w:b w:val="1"/>
                <w:bCs w:val="1"/>
                <w:color w:val="1C90D3"/>
              </w:rPr>
              <w:t>Agenda Item</w:t>
            </w:r>
          </w:p>
        </w:tc>
        <w:tc>
          <w:tcPr>
            <w:tcW w:w="8060" w:type="dxa"/>
            <w:vAlign w:val="bottom"/>
            <w:tcBorders>
              <w:bottom w:val="single" w:sz="8" w:color="1C90D3"/>
            </w:tcBorders>
          </w:tcPr>
          <w:p>
            <w:pPr>
              <w:ind w:left="320"/>
              <w:spacing w:after="0"/>
              <w:rPr>
                <w:sz w:val="20"/>
                <w:szCs w:val="20"/>
                <w:color w:val="auto"/>
              </w:rPr>
            </w:pPr>
            <w:r>
              <w:rPr>
                <w:rFonts w:ascii="Arial" w:cs="Arial" w:eastAsia="Arial" w:hAnsi="Arial"/>
                <w:sz w:val="16"/>
                <w:szCs w:val="16"/>
                <w:b w:val="1"/>
                <w:bCs w:val="1"/>
                <w:color w:val="1C90D3"/>
              </w:rPr>
              <w:t>Description</w:t>
            </w:r>
          </w:p>
        </w:tc>
        <w:tc>
          <w:tcPr>
            <w:tcW w:w="1860" w:type="dxa"/>
            <w:vAlign w:val="bottom"/>
            <w:tcBorders>
              <w:bottom w:val="single" w:sz="8" w:color="1C90D3"/>
            </w:tcBorders>
          </w:tcPr>
          <w:p>
            <w:pPr>
              <w:jc w:val="right"/>
              <w:spacing w:after="0"/>
              <w:rPr>
                <w:sz w:val="20"/>
                <w:szCs w:val="20"/>
                <w:color w:val="auto"/>
              </w:rPr>
            </w:pPr>
            <w:r>
              <w:rPr>
                <w:rFonts w:ascii="Arial" w:cs="Arial" w:eastAsia="Arial" w:hAnsi="Arial"/>
                <w:sz w:val="16"/>
                <w:szCs w:val="16"/>
                <w:b w:val="1"/>
                <w:bCs w:val="1"/>
                <w:color w:val="1C90D3"/>
              </w:rPr>
              <w:t>Recommendation</w:t>
            </w:r>
          </w:p>
        </w:tc>
      </w:tr>
      <w:tr>
        <w:trPr>
          <w:trHeight w:val="189"/>
        </w:trPr>
        <w:tc>
          <w:tcPr>
            <w:tcW w:w="138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1</w:t>
            </w:r>
          </w:p>
        </w:tc>
        <w:tc>
          <w:tcPr>
            <w:tcW w:w="8060" w:type="dxa"/>
            <w:vAlign w:val="bottom"/>
            <w:tcBorders>
              <w:bottom w:val="single" w:sz="8" w:color="auto"/>
            </w:tcBorders>
          </w:tcPr>
          <w:p>
            <w:pPr>
              <w:ind w:left="320"/>
              <w:spacing w:after="0"/>
              <w:rPr>
                <w:sz w:val="20"/>
                <w:szCs w:val="20"/>
                <w:color w:val="auto"/>
              </w:rPr>
            </w:pPr>
            <w:r>
              <w:rPr>
                <w:rFonts w:ascii="Arial" w:cs="Arial" w:eastAsia="Arial" w:hAnsi="Arial"/>
                <w:sz w:val="16"/>
                <w:szCs w:val="16"/>
                <w:color w:val="auto"/>
              </w:rPr>
              <w:t>Election of directors</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1C90D3"/>
              </w:rPr>
              <w:t>FOR ALL</w:t>
            </w:r>
          </w:p>
        </w:tc>
      </w:tr>
      <w:tr>
        <w:trPr>
          <w:trHeight w:val="183"/>
        </w:trPr>
        <w:tc>
          <w:tcPr>
            <w:tcW w:w="1380" w:type="dxa"/>
            <w:vAlign w:val="bottom"/>
            <w:tcBorders>
              <w:bottom w:val="single" w:sz="8" w:color="auto"/>
            </w:tcBorders>
          </w:tcPr>
          <w:p>
            <w:pPr>
              <w:ind w:left="60"/>
              <w:spacing w:after="0" w:line="183" w:lineRule="exact"/>
              <w:rPr>
                <w:sz w:val="20"/>
                <w:szCs w:val="20"/>
                <w:color w:val="auto"/>
              </w:rPr>
            </w:pPr>
            <w:r>
              <w:rPr>
                <w:rFonts w:ascii="Arial" w:cs="Arial" w:eastAsia="Arial" w:hAnsi="Arial"/>
                <w:sz w:val="16"/>
                <w:szCs w:val="16"/>
                <w:color w:val="auto"/>
              </w:rPr>
              <w:t>2</w:t>
            </w:r>
          </w:p>
        </w:tc>
        <w:tc>
          <w:tcPr>
            <w:tcW w:w="8060" w:type="dxa"/>
            <w:vAlign w:val="bottom"/>
            <w:tcBorders>
              <w:bottom w:val="single" w:sz="8" w:color="auto"/>
            </w:tcBorders>
          </w:tcPr>
          <w:p>
            <w:pPr>
              <w:ind w:left="320"/>
              <w:spacing w:after="0" w:line="183" w:lineRule="exact"/>
              <w:rPr>
                <w:sz w:val="20"/>
                <w:szCs w:val="20"/>
                <w:color w:val="auto"/>
              </w:rPr>
            </w:pPr>
            <w:r>
              <w:rPr>
                <w:rFonts w:ascii="Arial" w:cs="Arial" w:eastAsia="Arial" w:hAnsi="Arial"/>
                <w:sz w:val="16"/>
                <w:szCs w:val="16"/>
                <w:color w:val="auto"/>
              </w:rPr>
              <w:t>Approve, on an advisory basis, named executive officer compensation</w:t>
            </w:r>
          </w:p>
        </w:tc>
        <w:tc>
          <w:tcPr>
            <w:tcW w:w="18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1C90D3"/>
              </w:rPr>
              <w:t>FOR</w:t>
            </w:r>
          </w:p>
        </w:tc>
      </w:tr>
      <w:tr>
        <w:trPr>
          <w:trHeight w:val="184"/>
        </w:trPr>
        <w:tc>
          <w:tcPr>
            <w:tcW w:w="1380" w:type="dxa"/>
            <w:vAlign w:val="bottom"/>
          </w:tcPr>
          <w:p>
            <w:pPr>
              <w:spacing w:after="0"/>
              <w:rPr>
                <w:sz w:val="16"/>
                <w:szCs w:val="16"/>
                <w:color w:val="auto"/>
              </w:rPr>
            </w:pPr>
          </w:p>
        </w:tc>
        <w:tc>
          <w:tcPr>
            <w:tcW w:w="8060" w:type="dxa"/>
            <w:vAlign w:val="bottom"/>
          </w:tcPr>
          <w:p>
            <w:pPr>
              <w:ind w:left="320"/>
              <w:spacing w:after="0"/>
              <w:rPr>
                <w:sz w:val="20"/>
                <w:szCs w:val="20"/>
                <w:color w:val="auto"/>
              </w:rPr>
            </w:pPr>
            <w:r>
              <w:rPr>
                <w:rFonts w:ascii="Arial" w:cs="Arial" w:eastAsia="Arial" w:hAnsi="Arial"/>
                <w:sz w:val="16"/>
                <w:szCs w:val="16"/>
                <w:color w:val="auto"/>
              </w:rPr>
              <w:t>Ratification of the selection of Deloitte &amp; Touche LLP as the Company’s independent registered public</w:t>
            </w:r>
          </w:p>
        </w:tc>
        <w:tc>
          <w:tcPr>
            <w:tcW w:w="1860" w:type="dxa"/>
            <w:vAlign w:val="bottom"/>
          </w:tcPr>
          <w:p>
            <w:pPr>
              <w:jc w:val="right"/>
              <w:spacing w:after="0"/>
              <w:rPr>
                <w:sz w:val="20"/>
                <w:szCs w:val="20"/>
                <w:color w:val="auto"/>
              </w:rPr>
            </w:pPr>
            <w:r>
              <w:rPr>
                <w:rFonts w:ascii="Arial" w:cs="Arial" w:eastAsia="Arial" w:hAnsi="Arial"/>
                <w:sz w:val="16"/>
                <w:szCs w:val="16"/>
                <w:color w:val="1C90D3"/>
              </w:rPr>
              <w:t>FOR</w:t>
            </w:r>
          </w:p>
        </w:tc>
      </w:tr>
      <w:tr>
        <w:trPr>
          <w:trHeight w:val="187"/>
        </w:trPr>
        <w:tc>
          <w:tcPr>
            <w:tcW w:w="138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3</w:t>
            </w:r>
          </w:p>
        </w:tc>
        <w:tc>
          <w:tcPr>
            <w:tcW w:w="8060" w:type="dxa"/>
            <w:vAlign w:val="bottom"/>
            <w:tcBorders>
              <w:bottom w:val="single" w:sz="8" w:color="auto"/>
            </w:tcBorders>
          </w:tcPr>
          <w:p>
            <w:pPr>
              <w:ind w:left="320"/>
              <w:spacing w:after="0"/>
              <w:rPr>
                <w:sz w:val="20"/>
                <w:szCs w:val="20"/>
                <w:color w:val="auto"/>
              </w:rPr>
            </w:pPr>
            <w:r>
              <w:rPr>
                <w:rFonts w:ascii="Arial" w:cs="Arial" w:eastAsia="Arial" w:hAnsi="Arial"/>
                <w:sz w:val="16"/>
                <w:szCs w:val="16"/>
                <w:color w:val="auto"/>
              </w:rPr>
              <w:t>accounting firm for 2016</w:t>
            </w:r>
          </w:p>
        </w:tc>
        <w:tc>
          <w:tcPr>
            <w:tcW w:w="1860" w:type="dxa"/>
            <w:vAlign w:val="bottom"/>
            <w:tcBorders>
              <w:bottom w:val="single" w:sz="8" w:color="auto"/>
            </w:tcBorders>
          </w:tcPr>
          <w:p>
            <w:pPr>
              <w:spacing w:after="0"/>
              <w:rPr>
                <w:sz w:val="16"/>
                <w:szCs w:val="16"/>
                <w:color w:val="auto"/>
              </w:rPr>
            </w:pPr>
          </w:p>
        </w:tc>
      </w:tr>
      <w:tr>
        <w:trPr>
          <w:trHeight w:val="184"/>
        </w:trPr>
        <w:tc>
          <w:tcPr>
            <w:tcW w:w="1380" w:type="dxa"/>
            <w:vAlign w:val="bottom"/>
          </w:tcPr>
          <w:p>
            <w:pPr>
              <w:spacing w:after="0"/>
              <w:rPr>
                <w:sz w:val="16"/>
                <w:szCs w:val="16"/>
                <w:color w:val="auto"/>
              </w:rPr>
            </w:pPr>
          </w:p>
        </w:tc>
        <w:tc>
          <w:tcPr>
            <w:tcW w:w="8060" w:type="dxa"/>
            <w:vAlign w:val="bottom"/>
          </w:tcPr>
          <w:p>
            <w:pPr>
              <w:ind w:left="320"/>
              <w:spacing w:after="0"/>
              <w:rPr>
                <w:sz w:val="20"/>
                <w:szCs w:val="20"/>
                <w:color w:val="auto"/>
              </w:rPr>
            </w:pPr>
            <w:r>
              <w:rPr>
                <w:rFonts w:ascii="Arial" w:cs="Arial" w:eastAsia="Arial" w:hAnsi="Arial"/>
                <w:sz w:val="16"/>
                <w:szCs w:val="16"/>
                <w:color w:val="auto"/>
              </w:rPr>
              <w:t>Shareholder proposal regarding Implementation of Holy Land Principles for Employment in Palestine-</w:t>
            </w:r>
          </w:p>
        </w:tc>
        <w:tc>
          <w:tcPr>
            <w:tcW w:w="1860" w:type="dxa"/>
            <w:vAlign w:val="bottom"/>
          </w:tcPr>
          <w:p>
            <w:pPr>
              <w:jc w:val="right"/>
              <w:spacing w:after="0"/>
              <w:rPr>
                <w:sz w:val="20"/>
                <w:szCs w:val="20"/>
                <w:color w:val="auto"/>
              </w:rPr>
            </w:pPr>
            <w:r>
              <w:rPr>
                <w:rFonts w:ascii="Arial" w:cs="Arial" w:eastAsia="Arial" w:hAnsi="Arial"/>
                <w:sz w:val="16"/>
                <w:szCs w:val="16"/>
                <w:color w:val="1C90D3"/>
              </w:rPr>
              <w:t>AGAINST</w:t>
            </w:r>
          </w:p>
        </w:tc>
      </w:tr>
      <w:tr>
        <w:trPr>
          <w:trHeight w:val="194"/>
        </w:trPr>
        <w:tc>
          <w:tcPr>
            <w:tcW w:w="1380" w:type="dxa"/>
            <w:vAlign w:val="bottom"/>
            <w:tcBorders>
              <w:bottom w:val="single" w:sz="8" w:color="08228B"/>
            </w:tcBorders>
          </w:tcPr>
          <w:p>
            <w:pPr>
              <w:ind w:left="60"/>
              <w:spacing w:after="0"/>
              <w:rPr>
                <w:sz w:val="20"/>
                <w:szCs w:val="20"/>
                <w:color w:val="auto"/>
              </w:rPr>
            </w:pPr>
            <w:r>
              <w:rPr>
                <w:rFonts w:ascii="Arial" w:cs="Arial" w:eastAsia="Arial" w:hAnsi="Arial"/>
                <w:sz w:val="16"/>
                <w:szCs w:val="16"/>
                <w:color w:val="auto"/>
              </w:rPr>
              <w:t>4</w:t>
            </w:r>
          </w:p>
        </w:tc>
        <w:tc>
          <w:tcPr>
            <w:tcW w:w="8060" w:type="dxa"/>
            <w:vAlign w:val="bottom"/>
            <w:tcBorders>
              <w:bottom w:val="single" w:sz="8" w:color="08228B"/>
            </w:tcBorders>
          </w:tcPr>
          <w:p>
            <w:pPr>
              <w:ind w:left="320"/>
              <w:spacing w:after="0"/>
              <w:rPr>
                <w:sz w:val="20"/>
                <w:szCs w:val="20"/>
                <w:color w:val="auto"/>
              </w:rPr>
            </w:pPr>
            <w:r>
              <w:rPr>
                <w:rFonts w:ascii="Arial" w:cs="Arial" w:eastAsia="Arial" w:hAnsi="Arial"/>
                <w:sz w:val="16"/>
                <w:szCs w:val="16"/>
                <w:color w:val="auto"/>
              </w:rPr>
              <w:t>Israel</w:t>
            </w:r>
          </w:p>
        </w:tc>
        <w:tc>
          <w:tcPr>
            <w:tcW w:w="1860" w:type="dxa"/>
            <w:vAlign w:val="bottom"/>
            <w:tcBorders>
              <w:bottom w:val="single" w:sz="8" w:color="08228B"/>
            </w:tcBorders>
          </w:tcPr>
          <w:p>
            <w:pPr>
              <w:spacing w:after="0"/>
              <w:rPr>
                <w:sz w:val="16"/>
                <w:szCs w:val="16"/>
                <w:color w:val="auto"/>
              </w:rPr>
            </w:pPr>
          </w:p>
        </w:tc>
      </w:tr>
    </w:tbl>
    <w:p>
      <w:pPr>
        <w:spacing w:after="0" w:line="304" w:lineRule="exact"/>
        <w:rPr>
          <w:sz w:val="20"/>
          <w:szCs w:val="20"/>
          <w:color w:val="auto"/>
        </w:rPr>
      </w:pPr>
    </w:p>
    <w:p>
      <w:pPr>
        <w:ind w:left="500" w:hanging="492"/>
        <w:spacing w:after="0"/>
        <w:tabs>
          <w:tab w:leader="none" w:pos="500" w:val="left"/>
        </w:tabs>
        <w:numPr>
          <w:ilvl w:val="0"/>
          <w:numId w:val="116"/>
        </w:numPr>
        <w:rPr>
          <w:rFonts w:ascii="Arial" w:cs="Arial" w:eastAsia="Arial" w:hAnsi="Arial"/>
          <w:sz w:val="22"/>
          <w:szCs w:val="22"/>
          <w:color w:val="auto"/>
        </w:rPr>
      </w:pPr>
      <w:r>
        <w:rPr>
          <w:rFonts w:ascii="Arial" w:cs="Arial" w:eastAsia="Arial" w:hAnsi="Arial"/>
          <w:sz w:val="22"/>
          <w:szCs w:val="22"/>
          <w:color w:val="auto"/>
        </w:rPr>
        <w:t>Who is entitled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69150" cy="1714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195"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Holders of record of our common stock as of the close of business on April 8, 2016, are entitled to vote at the Annual Meeting. On that date, the Company had 1,539,751,519 shares of common stock outstanding and entitled to vote. Each share of our common stock entitles the holder to one vote.</w:t>
      </w:r>
    </w:p>
    <w:p>
      <w:pPr>
        <w:spacing w:after="0" w:line="282" w:lineRule="exact"/>
        <w:rPr>
          <w:sz w:val="20"/>
          <w:szCs w:val="20"/>
          <w:color w:val="auto"/>
        </w:rPr>
      </w:pPr>
    </w:p>
    <w:p>
      <w:pPr>
        <w:ind w:left="500" w:hanging="492"/>
        <w:spacing w:after="0"/>
        <w:tabs>
          <w:tab w:leader="none" w:pos="500" w:val="left"/>
        </w:tabs>
        <w:numPr>
          <w:ilvl w:val="0"/>
          <w:numId w:val="117"/>
        </w:numPr>
        <w:rPr>
          <w:rFonts w:ascii="Arial" w:cs="Arial" w:eastAsia="Arial" w:hAnsi="Arial"/>
          <w:sz w:val="22"/>
          <w:szCs w:val="22"/>
          <w:color w:val="auto"/>
        </w:rPr>
      </w:pPr>
      <w:r>
        <w:rPr>
          <w:rFonts w:ascii="Arial" w:cs="Arial" w:eastAsia="Arial" w:hAnsi="Arial"/>
          <w:sz w:val="22"/>
          <w:szCs w:val="22"/>
          <w:color w:val="auto"/>
        </w:rPr>
        <w:t>How do I vote without attending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69150" cy="1714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19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When you timely submit your proxy or voting instructions in the proper form, your shares will be voted according to your instructions. You may give instructions to vote for or against or to abstain from voting for the election of all the Board of Directors’ nominees or any individual nominee and to vote for or against or to abstain from voting on, each of the other matters submitted for voting. If you sign, date, and return the proxy card or voting instruction form without specifying how you wish to cast your vote, your shares will be voted according to the recommendations of the Board of Directors, as indicated in this Proxy Statement. Internet and telephone voting is available 24 hours a day, through 11:59 p.m. Eastern Time on Monday, June 6, 2016.</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Shareholders may vote their proxy in any one of the following ways:</w:t>
      </w:r>
    </w:p>
    <w:p>
      <w:pPr>
        <w:spacing w:after="0" w:line="174" w:lineRule="exact"/>
        <w:rPr>
          <w:sz w:val="20"/>
          <w:szCs w:val="20"/>
          <w:color w:val="auto"/>
        </w:rPr>
      </w:pPr>
    </w:p>
    <w:p>
      <w:pPr>
        <w:jc w:val="both"/>
        <w:ind w:left="180" w:right="120" w:hanging="172"/>
        <w:spacing w:after="0" w:line="254" w:lineRule="auto"/>
        <w:tabs>
          <w:tab w:leader="none" w:pos="180" w:val="left"/>
        </w:tabs>
        <w:numPr>
          <w:ilvl w:val="0"/>
          <w:numId w:val="118"/>
        </w:numPr>
        <w:rPr>
          <w:rFonts w:ascii="Arial" w:cs="Arial" w:eastAsia="Arial" w:hAnsi="Arial"/>
          <w:sz w:val="16"/>
          <w:szCs w:val="16"/>
          <w:color w:val="08228B"/>
        </w:rPr>
      </w:pPr>
      <w:r>
        <w:rPr>
          <w:rFonts w:ascii="Arial" w:cs="Arial" w:eastAsia="Arial" w:hAnsi="Arial"/>
          <w:sz w:val="16"/>
          <w:szCs w:val="16"/>
          <w:b w:val="1"/>
          <w:bCs w:val="1"/>
          <w:color w:val="08228B"/>
        </w:rPr>
        <w:t xml:space="preserve">If you received a paper copy of proxy materials: </w:t>
      </w:r>
      <w:r>
        <w:rPr>
          <w:rFonts w:ascii="Arial" w:cs="Arial" w:eastAsia="Arial" w:hAnsi="Arial"/>
          <w:sz w:val="16"/>
          <w:szCs w:val="16"/>
          <w:color w:val="000000"/>
        </w:rPr>
        <w:t>To vote by Internet or telephone, you should follow the instructions provided on the proxy card or voting</w:t>
      </w:r>
      <w:r>
        <w:rPr>
          <w:rFonts w:ascii="Arial" w:cs="Arial" w:eastAsia="Arial" w:hAnsi="Arial"/>
          <w:sz w:val="16"/>
          <w:szCs w:val="16"/>
          <w:b w:val="1"/>
          <w:bCs w:val="1"/>
          <w:color w:val="08228B"/>
        </w:rPr>
        <w:t xml:space="preserve"> </w:t>
      </w:r>
      <w:r>
        <w:rPr>
          <w:rFonts w:ascii="Arial" w:cs="Arial" w:eastAsia="Arial" w:hAnsi="Arial"/>
          <w:sz w:val="16"/>
          <w:szCs w:val="16"/>
          <w:color w:val="000000"/>
        </w:rPr>
        <w:t>instruction form enclosed with the proxy materials. To vote by mail, mark, sign, date, and return the proxy card or voting instruction form. We encourage you to mark, sign, date, and mail the proxy card or voting instruction form included with the proxy materials and return it in time to be received before the date of the Annual Meeting. If you hold your shares in multiple accounts or registrations, you will receive a proxy card or voting instruction form for each account. Please mark, sign, date, and return all proxy cards or voting instruction forms you receive. If you choose to vote by phone or by the Internet, please vote once for each proxy card or voting instruction form you receive, and you do not need to mail your proxy card or voting instruction form.</w:t>
      </w:r>
    </w:p>
    <w:p>
      <w:pPr>
        <w:spacing w:after="0" w:line="155" w:lineRule="exact"/>
        <w:rPr>
          <w:rFonts w:ascii="Arial" w:cs="Arial" w:eastAsia="Arial" w:hAnsi="Arial"/>
          <w:sz w:val="16"/>
          <w:szCs w:val="16"/>
          <w:color w:val="08228B"/>
        </w:rPr>
      </w:pPr>
    </w:p>
    <w:p>
      <w:pPr>
        <w:jc w:val="both"/>
        <w:ind w:left="180" w:right="120" w:hanging="172"/>
        <w:spacing w:after="0" w:line="266" w:lineRule="auto"/>
        <w:tabs>
          <w:tab w:leader="none" w:pos="180" w:val="left"/>
        </w:tabs>
        <w:numPr>
          <w:ilvl w:val="0"/>
          <w:numId w:val="118"/>
        </w:numPr>
        <w:rPr>
          <w:rFonts w:ascii="Arial" w:cs="Arial" w:eastAsia="Arial" w:hAnsi="Arial"/>
          <w:sz w:val="16"/>
          <w:szCs w:val="16"/>
          <w:color w:val="08228B"/>
        </w:rPr>
      </w:pPr>
      <w:r>
        <w:rPr>
          <w:rFonts w:ascii="Arial" w:cs="Arial" w:eastAsia="Arial" w:hAnsi="Arial"/>
          <w:sz w:val="16"/>
          <w:szCs w:val="16"/>
          <w:b w:val="1"/>
          <w:bCs w:val="1"/>
          <w:color w:val="08228B"/>
        </w:rPr>
        <w:t xml:space="preserve">If you received a paper Notice: </w:t>
      </w:r>
      <w:r>
        <w:rPr>
          <w:rFonts w:ascii="Arial" w:cs="Arial" w:eastAsia="Arial" w:hAnsi="Arial"/>
          <w:sz w:val="16"/>
          <w:szCs w:val="16"/>
          <w:color w:val="000000"/>
        </w:rPr>
        <w:t>You may access and review the Proxy Statement and Annual Report on the Internet and submit your vote by Internet by</w:t>
      </w:r>
      <w:r>
        <w:rPr>
          <w:rFonts w:ascii="Arial" w:cs="Arial" w:eastAsia="Arial" w:hAnsi="Arial"/>
          <w:sz w:val="16"/>
          <w:szCs w:val="16"/>
          <w:b w:val="1"/>
          <w:bCs w:val="1"/>
          <w:color w:val="08228B"/>
        </w:rPr>
        <w:t xml:space="preserve"> </w:t>
      </w:r>
      <w:r>
        <w:rPr>
          <w:rFonts w:ascii="Arial" w:cs="Arial" w:eastAsia="Arial" w:hAnsi="Arial"/>
          <w:sz w:val="16"/>
          <w:szCs w:val="16"/>
          <w:color w:val="000000"/>
        </w:rPr>
        <w:t>following the instructions provided in the Notice or on the website indicated in the Notice. If you prefer to vote by mail, you must request a paper copy of the proxy materials and follow the instructions on the proxy card or voting instruction form included with the proxy materials.</w:t>
      </w:r>
    </w:p>
    <w:p>
      <w:pPr>
        <w:spacing w:after="0" w:line="144" w:lineRule="exact"/>
        <w:rPr>
          <w:rFonts w:ascii="Arial" w:cs="Arial" w:eastAsia="Arial" w:hAnsi="Arial"/>
          <w:sz w:val="16"/>
          <w:szCs w:val="16"/>
          <w:color w:val="08228B"/>
        </w:rPr>
      </w:pPr>
    </w:p>
    <w:p>
      <w:pPr>
        <w:ind w:left="180" w:right="120" w:hanging="172"/>
        <w:spacing w:after="0" w:line="286" w:lineRule="auto"/>
        <w:tabs>
          <w:tab w:leader="none" w:pos="180" w:val="left"/>
        </w:tabs>
        <w:numPr>
          <w:ilvl w:val="0"/>
          <w:numId w:val="118"/>
        </w:numPr>
        <w:rPr>
          <w:rFonts w:ascii="Arial" w:cs="Arial" w:eastAsia="Arial" w:hAnsi="Arial"/>
          <w:sz w:val="16"/>
          <w:szCs w:val="16"/>
          <w:color w:val="08228B"/>
        </w:rPr>
      </w:pPr>
      <w:r>
        <w:rPr>
          <w:rFonts w:ascii="Arial" w:cs="Arial" w:eastAsia="Arial" w:hAnsi="Arial"/>
          <w:sz w:val="16"/>
          <w:szCs w:val="16"/>
          <w:b w:val="1"/>
          <w:bCs w:val="1"/>
          <w:color w:val="08228B"/>
        </w:rPr>
        <w:t xml:space="preserve">If you received the proxy materials electronically via e-mail: </w:t>
      </w:r>
      <w:r>
        <w:rPr>
          <w:rFonts w:ascii="Arial" w:cs="Arial" w:eastAsia="Arial" w:hAnsi="Arial"/>
          <w:sz w:val="16"/>
          <w:szCs w:val="16"/>
          <w:color w:val="000000"/>
        </w:rPr>
        <w:t>You may access and review the Proxy Statement and Annual Report on the Internet and</w:t>
      </w:r>
      <w:r>
        <w:rPr>
          <w:rFonts w:ascii="Arial" w:cs="Arial" w:eastAsia="Arial" w:hAnsi="Arial"/>
          <w:sz w:val="16"/>
          <w:szCs w:val="16"/>
          <w:b w:val="1"/>
          <w:bCs w:val="1"/>
          <w:color w:val="08228B"/>
        </w:rPr>
        <w:t xml:space="preserve"> </w:t>
      </w:r>
      <w:r>
        <w:rPr>
          <w:rFonts w:ascii="Arial" w:cs="Arial" w:eastAsia="Arial" w:hAnsi="Arial"/>
          <w:sz w:val="16"/>
          <w:szCs w:val="16"/>
          <w:color w:val="000000"/>
        </w:rPr>
        <w:t>submit your vote by Internet or telephone by following the instructions on the website provided in the e-mail notification.</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13"/>
        </w:trPr>
        <w:tc>
          <w:tcPr>
            <w:tcW w:w="4340" w:type="dxa"/>
            <w:vAlign w:val="bottom"/>
            <w:tcBorders>
              <w:bottom w:val="single" w:sz="8" w:color="08228B"/>
            </w:tcBorders>
          </w:tcPr>
          <w:p>
            <w:pPr>
              <w:spacing w:after="0"/>
              <w:rPr>
                <w:sz w:val="9"/>
                <w:szCs w:val="9"/>
                <w:color w:val="auto"/>
              </w:rPr>
            </w:pPr>
          </w:p>
        </w:tc>
        <w:tc>
          <w:tcPr>
            <w:tcW w:w="2060" w:type="dxa"/>
            <w:vAlign w:val="bottom"/>
            <w:vMerge w:val="restart"/>
          </w:tcPr>
          <w:p>
            <w:pPr>
              <w:ind w:left="60"/>
              <w:spacing w:after="0"/>
              <w:rPr>
                <w:sz w:val="20"/>
                <w:szCs w:val="20"/>
                <w:color w:val="auto"/>
              </w:rPr>
            </w:pPr>
            <w:r>
              <w:rPr>
                <w:rFonts w:ascii="Arial" w:cs="Arial" w:eastAsia="Arial" w:hAnsi="Arial"/>
                <w:sz w:val="16"/>
                <w:szCs w:val="16"/>
                <w:b w:val="1"/>
                <w:bCs w:val="1"/>
                <w:color w:val="1C90D3"/>
              </w:rPr>
              <w:t xml:space="preserve">2016 </w:t>
            </w:r>
            <w:r>
              <w:rPr>
                <w:rFonts w:ascii="Arial" w:cs="Arial" w:eastAsia="Arial" w:hAnsi="Arial"/>
                <w:sz w:val="16"/>
                <w:szCs w:val="16"/>
                <w:color w:val="08228B"/>
              </w:rPr>
              <w:t>PROXY STATEMENT</w:t>
            </w:r>
          </w:p>
        </w:tc>
        <w:tc>
          <w:tcPr>
            <w:tcW w:w="2400" w:type="dxa"/>
            <w:vAlign w:val="bottom"/>
            <w:tcBorders>
              <w:bottom w:val="single" w:sz="8" w:color="08228B"/>
            </w:tcBorders>
          </w:tcPr>
          <w:p>
            <w:pPr>
              <w:spacing w:after="0"/>
              <w:rPr>
                <w:sz w:val="9"/>
                <w:szCs w:val="9"/>
                <w:color w:val="auto"/>
              </w:rPr>
            </w:pPr>
          </w:p>
        </w:tc>
        <w:tc>
          <w:tcPr>
            <w:tcW w:w="2620" w:type="dxa"/>
            <w:vAlign w:val="bottom"/>
            <w:vMerge w:val="restart"/>
          </w:tcPr>
          <w:p>
            <w:pPr>
              <w:jc w:val="right"/>
              <w:ind w:right="39"/>
              <w:spacing w:after="0"/>
              <w:rPr>
                <w:sz w:val="20"/>
                <w:szCs w:val="20"/>
                <w:color w:val="auto"/>
              </w:rPr>
            </w:pPr>
            <w:r>
              <w:rPr>
                <w:rFonts w:ascii="Arial" w:cs="Arial" w:eastAsia="Arial" w:hAnsi="Arial"/>
                <w:sz w:val="16"/>
                <w:szCs w:val="16"/>
                <w:color w:val="08228B"/>
              </w:rPr>
              <w:t>69</w:t>
            </w:r>
          </w:p>
        </w:tc>
        <w:tc>
          <w:tcPr>
            <w:tcW w:w="0" w:type="dxa"/>
            <w:vAlign w:val="bottom"/>
          </w:tcPr>
          <w:p>
            <w:pPr>
              <w:spacing w:after="0"/>
              <w:rPr>
                <w:sz w:val="1"/>
                <w:szCs w:val="1"/>
                <w:color w:val="auto"/>
              </w:rPr>
            </w:pPr>
          </w:p>
        </w:tc>
      </w:tr>
      <w:tr>
        <w:trPr>
          <w:trHeight w:val="82"/>
        </w:trPr>
        <w:tc>
          <w:tcPr>
            <w:tcW w:w="4340" w:type="dxa"/>
            <w:vAlign w:val="bottom"/>
          </w:tcPr>
          <w:p>
            <w:pPr>
              <w:spacing w:after="0"/>
              <w:rPr>
                <w:sz w:val="7"/>
                <w:szCs w:val="7"/>
                <w:color w:val="auto"/>
              </w:rPr>
            </w:pPr>
          </w:p>
        </w:tc>
        <w:tc>
          <w:tcPr>
            <w:tcW w:w="2060" w:type="dxa"/>
            <w:vAlign w:val="bottom"/>
            <w:vMerge w:val="continue"/>
          </w:tcPr>
          <w:p>
            <w:pPr>
              <w:spacing w:after="0"/>
              <w:rPr>
                <w:sz w:val="7"/>
                <w:szCs w:val="7"/>
                <w:color w:val="auto"/>
              </w:rPr>
            </w:pPr>
          </w:p>
        </w:tc>
        <w:tc>
          <w:tcPr>
            <w:tcW w:w="2400" w:type="dxa"/>
            <w:vAlign w:val="bottom"/>
          </w:tcPr>
          <w:p>
            <w:pPr>
              <w:spacing w:after="0"/>
              <w:rPr>
                <w:sz w:val="7"/>
                <w:szCs w:val="7"/>
                <w:color w:val="auto"/>
              </w:rPr>
            </w:pPr>
          </w:p>
        </w:tc>
        <w:tc>
          <w:tcPr>
            <w:tcW w:w="2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7"/>
        </w:trPr>
        <w:tc>
          <w:tcPr>
            <w:tcW w:w="4340" w:type="dxa"/>
            <w:vAlign w:val="bottom"/>
            <w:tcBorders>
              <w:bottom w:val="single" w:sz="8" w:color="C0C0C0"/>
            </w:tcBorders>
          </w:tcPr>
          <w:p>
            <w:pPr>
              <w:spacing w:after="0"/>
              <w:rPr>
                <w:sz w:val="24"/>
                <w:szCs w:val="24"/>
                <w:color w:val="auto"/>
              </w:rPr>
            </w:pPr>
          </w:p>
        </w:tc>
        <w:tc>
          <w:tcPr>
            <w:tcW w:w="2060" w:type="dxa"/>
            <w:vAlign w:val="bottom"/>
            <w:tcBorders>
              <w:bottom w:val="single" w:sz="8" w:color="C0C0C0"/>
            </w:tcBorders>
          </w:tcPr>
          <w:p>
            <w:pPr>
              <w:spacing w:after="0"/>
              <w:rPr>
                <w:sz w:val="24"/>
                <w:szCs w:val="24"/>
                <w:color w:val="auto"/>
              </w:rPr>
            </w:pPr>
          </w:p>
        </w:tc>
        <w:tc>
          <w:tcPr>
            <w:tcW w:w="2400" w:type="dxa"/>
            <w:vAlign w:val="bottom"/>
            <w:tcBorders>
              <w:bottom w:val="single" w:sz="8" w:color="C0C0C0"/>
            </w:tcBorders>
          </w:tcPr>
          <w:p>
            <w:pPr>
              <w:spacing w:after="0"/>
              <w:rPr>
                <w:sz w:val="24"/>
                <w:szCs w:val="24"/>
                <w:color w:val="auto"/>
              </w:rPr>
            </w:pPr>
          </w:p>
        </w:tc>
        <w:tc>
          <w:tcPr>
            <w:tcW w:w="262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5613400</wp:posOffset>
            </wp:positionH>
            <wp:positionV relativeFrom="paragraph">
              <wp:posOffset>-334010</wp:posOffset>
            </wp:positionV>
            <wp:extent cx="1286510" cy="8572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1286510" cy="8572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Back to Contents</w:t>
        </w:r>
      </w:hyperlink>
    </w:p>
    <w:p>
      <w:pPr>
        <w:spacing w:after="0" w:line="196"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By submitting your vote by Internet, telephone, or mail and following the instructions on the proxy card or voting instruction form, you will authorize the Proxy Committee to vote your shares of our common stock as you direct and as they determine on all matters that we do not know about now, but that may be properly presented at the meeting. We encourage you to vote by Internet or by telephone by following the instructions on the proxy card or voting instruction form.</w:t>
      </w:r>
    </w:p>
    <w:p>
      <w:pPr>
        <w:spacing w:after="0" w:line="200" w:lineRule="exact"/>
        <w:rPr>
          <w:sz w:val="20"/>
          <w:szCs w:val="20"/>
          <w:color w:val="auto"/>
        </w:rPr>
      </w:pPr>
    </w:p>
    <w:p>
      <w:pPr>
        <w:spacing w:after="0" w:line="279" w:lineRule="exact"/>
        <w:rPr>
          <w:sz w:val="20"/>
          <w:szCs w:val="20"/>
          <w:color w:val="auto"/>
        </w:rPr>
      </w:pPr>
    </w:p>
    <w:p>
      <w:pPr>
        <w:ind w:left="500" w:hanging="492"/>
        <w:spacing w:after="0"/>
        <w:tabs>
          <w:tab w:leader="none" w:pos="500" w:val="left"/>
        </w:tabs>
        <w:numPr>
          <w:ilvl w:val="0"/>
          <w:numId w:val="119"/>
        </w:numPr>
        <w:rPr>
          <w:rFonts w:ascii="Arial" w:cs="Arial" w:eastAsia="Arial" w:hAnsi="Arial"/>
          <w:sz w:val="22"/>
          <w:szCs w:val="22"/>
          <w:color w:val="auto"/>
        </w:rPr>
      </w:pPr>
      <w:r>
        <w:rPr>
          <w:rFonts w:ascii="Arial" w:cs="Arial" w:eastAsia="Arial" w:hAnsi="Arial"/>
          <w:sz w:val="22"/>
          <w:szCs w:val="22"/>
          <w:color w:val="auto"/>
        </w:rPr>
        <w:t>How can I change or revoke my proxy or voting instruction?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69150" cy="1714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19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 xml:space="preserve">After you have submitted your proxy or voting instructions by Internet, telephone, or mail, you may revoke your proxy at any time until it is voted at the Annual Meeting. If you are a shareholder of record, you may do this by voting subsequently by Internet or telephone, submitting a new proxy card with a later date, sending a written notice of revocation to the Corporate Secretary at the address provided in </w:t>
      </w:r>
      <w:r>
        <w:rPr>
          <w:rFonts w:ascii="Arial" w:cs="Arial" w:eastAsia="Arial" w:hAnsi="Arial"/>
          <w:sz w:val="16"/>
          <w:szCs w:val="16"/>
          <w:i w:val="1"/>
          <w:iCs w:val="1"/>
          <w:color w:val="auto"/>
        </w:rPr>
        <w:t>“How can I obtain the Company’s corporate governance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information?” </w:t>
      </w:r>
      <w:r>
        <w:rPr>
          <w:rFonts w:ascii="Arial" w:cs="Arial" w:eastAsia="Arial" w:hAnsi="Arial"/>
          <w:sz w:val="16"/>
          <w:szCs w:val="16"/>
          <w:color w:val="auto"/>
        </w:rPr>
        <w:t>on page 74, or by voting in person at the Annual Meeting.</w:t>
      </w:r>
    </w:p>
    <w:p>
      <w:pPr>
        <w:spacing w:after="0" w:line="17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If you are a beneficial shareholder, you may subsequently vote by Internet or telephone, or you may revoke your vote through your broker, bank, or other nominee in accordance with their instructions.</w:t>
      </w:r>
    </w:p>
    <w:p>
      <w:pPr>
        <w:spacing w:after="0" w:line="282" w:lineRule="exact"/>
        <w:rPr>
          <w:sz w:val="20"/>
          <w:szCs w:val="20"/>
          <w:color w:val="auto"/>
        </w:rPr>
      </w:pPr>
    </w:p>
    <w:p>
      <w:pPr>
        <w:ind w:left="500" w:hanging="492"/>
        <w:spacing w:after="0"/>
        <w:tabs>
          <w:tab w:leader="none" w:pos="500" w:val="left"/>
        </w:tabs>
        <w:numPr>
          <w:ilvl w:val="0"/>
          <w:numId w:val="120"/>
        </w:numPr>
        <w:rPr>
          <w:rFonts w:ascii="Arial" w:cs="Arial" w:eastAsia="Arial" w:hAnsi="Arial"/>
          <w:sz w:val="22"/>
          <w:szCs w:val="22"/>
          <w:color w:val="auto"/>
        </w:rPr>
      </w:pPr>
      <w:r>
        <w:rPr>
          <w:rFonts w:ascii="Arial" w:cs="Arial" w:eastAsia="Arial" w:hAnsi="Arial"/>
          <w:sz w:val="22"/>
          <w:szCs w:val="22"/>
          <w:color w:val="auto"/>
        </w:rPr>
        <w:t>Will my vote be confidential? Who will count the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69150" cy="1714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195"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As a matter of policy, GM believes your vote should be private except in contested elections. Therefore, we use an independent third party to receive, inspect, count, and tabulate proxies. Representatives of the independent third party also act as judges at the Annual Meeting.</w:t>
      </w:r>
    </w:p>
    <w:p>
      <w:pPr>
        <w:spacing w:after="0" w:line="282" w:lineRule="exact"/>
        <w:rPr>
          <w:sz w:val="20"/>
          <w:szCs w:val="20"/>
          <w:color w:val="auto"/>
        </w:rPr>
      </w:pPr>
    </w:p>
    <w:p>
      <w:pPr>
        <w:ind w:left="500" w:right="360" w:hanging="492"/>
        <w:spacing w:after="0" w:line="238" w:lineRule="auto"/>
        <w:tabs>
          <w:tab w:leader="none" w:pos="500" w:val="left"/>
        </w:tabs>
        <w:numPr>
          <w:ilvl w:val="0"/>
          <w:numId w:val="121"/>
        </w:numPr>
        <w:rPr>
          <w:rFonts w:ascii="Arial" w:cs="Arial" w:eastAsia="Arial" w:hAnsi="Arial"/>
          <w:sz w:val="22"/>
          <w:szCs w:val="22"/>
          <w:color w:val="auto"/>
        </w:rPr>
      </w:pPr>
      <w:r>
        <w:rPr>
          <w:rFonts w:ascii="Arial" w:cs="Arial" w:eastAsia="Arial" w:hAnsi="Arial"/>
          <w:sz w:val="22"/>
          <w:szCs w:val="22"/>
          <w:color w:val="auto"/>
        </w:rPr>
        <w:t>What is the difference between a “shareholder of record” and a “beneficial” shareholder of shares held in street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69150" cy="1714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18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If your shares are owned directly in your name in an account with GM’s stock transfer agent, Computershare Trust Company, N.A. (“Computershare”), you are considered the “shareholder of record” of those shares in your account.</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If your shares are held in an account with a broker, bank, or other nominee as custodian on your behalf, you are considered a “beneficial” shareholder of those shares, which are held in “street name.” The broker, bank, or other nominee is considered the shareholder of record for those shares. As the beneficial owner, you have the right to instruct the broker, bank, or other nominee on how to vote the shares in your account.</w:t>
      </w:r>
    </w:p>
    <w:p>
      <w:pPr>
        <w:spacing w:after="0" w:line="288" w:lineRule="exact"/>
        <w:rPr>
          <w:sz w:val="20"/>
          <w:szCs w:val="20"/>
          <w:color w:val="auto"/>
        </w:rPr>
      </w:pPr>
    </w:p>
    <w:p>
      <w:pPr>
        <w:ind w:left="500" w:hanging="492"/>
        <w:spacing w:after="0"/>
        <w:tabs>
          <w:tab w:leader="none" w:pos="500" w:val="left"/>
        </w:tabs>
        <w:numPr>
          <w:ilvl w:val="0"/>
          <w:numId w:val="122"/>
        </w:numPr>
        <w:rPr>
          <w:rFonts w:ascii="Arial" w:cs="Arial" w:eastAsia="Arial" w:hAnsi="Arial"/>
          <w:sz w:val="22"/>
          <w:szCs w:val="22"/>
          <w:color w:val="auto"/>
        </w:rPr>
      </w:pPr>
      <w:r>
        <w:rPr>
          <w:rFonts w:ascii="Arial" w:cs="Arial" w:eastAsia="Arial" w:hAnsi="Arial"/>
          <w:sz w:val="22"/>
          <w:szCs w:val="22"/>
          <w:color w:val="auto"/>
        </w:rPr>
        <w:t>I am a beneficial shareholder. What happens if I do not provide voting instructions to my broker?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69150" cy="1714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 xml:space="preserve">As a beneficial shareholder, you </w:t>
      </w:r>
      <w:r>
        <w:rPr>
          <w:rFonts w:ascii="Arial" w:cs="Arial" w:eastAsia="Arial" w:hAnsi="Arial"/>
          <w:sz w:val="16"/>
          <w:szCs w:val="16"/>
          <w:b w:val="1"/>
          <w:bCs w:val="1"/>
          <w:u w:val="single" w:color="auto"/>
          <w:color w:val="auto"/>
        </w:rPr>
        <w:t>must</w:t>
      </w:r>
      <w:r>
        <w:rPr>
          <w:rFonts w:ascii="Arial" w:cs="Arial" w:eastAsia="Arial" w:hAnsi="Arial"/>
          <w:sz w:val="16"/>
          <w:szCs w:val="16"/>
          <w:color w:val="auto"/>
        </w:rPr>
        <w:t xml:space="preserve"> provide voting instructions to your broker, bank, or other nominee by the deadline provided in the proxy materials you receive from your broker, bank, or other nominee to ensure your shares are voted the way you would like. If you do not provide voting instructions to your broker, bank, or other nominee, whether your shares can be voted on your behalf depends on the type of item being considered for vote. Under NYSE rules, brokers are permitted to exercise discretionary voting authority only on “routine” matters. Therefore, your broker may vote on Item No. 2 (Ratification of the Selection of Deloitte &amp; Touche LLP as the Company’s Independent Registered Public Accounting Firm for 2016) even if you do not provide voting instructions, because it is considered a routine matter. </w:t>
      </w:r>
      <w:r>
        <w:rPr>
          <w:rFonts w:ascii="Arial" w:cs="Arial" w:eastAsia="Arial" w:hAnsi="Arial"/>
          <w:sz w:val="16"/>
          <w:szCs w:val="16"/>
          <w:b w:val="1"/>
          <w:bCs w:val="1"/>
          <w:color w:val="auto"/>
        </w:rPr>
        <w:t>Your broker is not permitted to vote on the other Agenda Items if you do not provide voting instructions,</w:t>
      </w:r>
      <w:r>
        <w:rPr>
          <w:rFonts w:ascii="Arial" w:cs="Arial" w:eastAsia="Arial" w:hAnsi="Arial"/>
          <w:sz w:val="16"/>
          <w:szCs w:val="16"/>
          <w:color w:val="auto"/>
        </w:rPr>
        <w:t xml:space="preserve"> </w:t>
      </w:r>
      <w:r>
        <w:rPr>
          <w:rFonts w:ascii="Arial" w:cs="Arial" w:eastAsia="Arial" w:hAnsi="Arial"/>
          <w:sz w:val="16"/>
          <w:szCs w:val="16"/>
          <w:b w:val="1"/>
          <w:bCs w:val="1"/>
          <w:color w:val="auto"/>
        </w:rPr>
        <w:t>because those items involve matters that are considered non-routine.</w:t>
      </w:r>
    </w:p>
    <w:p>
      <w:pPr>
        <w:spacing w:after="0" w:line="288" w:lineRule="exact"/>
        <w:rPr>
          <w:sz w:val="20"/>
          <w:szCs w:val="20"/>
          <w:color w:val="auto"/>
        </w:rPr>
      </w:pPr>
    </w:p>
    <w:p>
      <w:pPr>
        <w:ind w:left="500" w:hanging="492"/>
        <w:spacing w:after="0"/>
        <w:tabs>
          <w:tab w:leader="none" w:pos="500" w:val="left"/>
        </w:tabs>
        <w:numPr>
          <w:ilvl w:val="0"/>
          <w:numId w:val="123"/>
        </w:numPr>
        <w:rPr>
          <w:rFonts w:ascii="Arial" w:cs="Arial" w:eastAsia="Arial" w:hAnsi="Arial"/>
          <w:sz w:val="22"/>
          <w:szCs w:val="22"/>
          <w:color w:val="auto"/>
        </w:rPr>
      </w:pPr>
      <w:r>
        <w:rPr>
          <w:rFonts w:ascii="Arial" w:cs="Arial" w:eastAsia="Arial" w:hAnsi="Arial"/>
          <w:sz w:val="22"/>
          <w:szCs w:val="22"/>
          <w:color w:val="auto"/>
        </w:rPr>
        <w:t>What is a broker non-vote?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69150" cy="1714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19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If your broker does not receive instructions from you on how to vote your shares and does not have discretion to vote on a proposal because it is a non-routine matter, the broker may return the proxy without voting on that proposal. This is known as a “broker non-vote.” A broker non-vote is deemed as not entitled to vote at the meeting with regard to a proposal so that it does not have any effect on the outcome of a vote.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13"/>
        </w:trPr>
        <w:tc>
          <w:tcPr>
            <w:tcW w:w="4340" w:type="dxa"/>
            <w:vAlign w:val="bottom"/>
            <w:tcBorders>
              <w:bottom w:val="single" w:sz="8" w:color="08228B"/>
            </w:tcBorders>
          </w:tcPr>
          <w:p>
            <w:pPr>
              <w:spacing w:after="0"/>
              <w:rPr>
                <w:sz w:val="9"/>
                <w:szCs w:val="9"/>
                <w:color w:val="auto"/>
              </w:rPr>
            </w:pPr>
          </w:p>
        </w:tc>
        <w:tc>
          <w:tcPr>
            <w:tcW w:w="2060" w:type="dxa"/>
            <w:vAlign w:val="bottom"/>
            <w:vMerge w:val="restart"/>
          </w:tcPr>
          <w:p>
            <w:pPr>
              <w:ind w:left="60"/>
              <w:spacing w:after="0"/>
              <w:rPr>
                <w:sz w:val="20"/>
                <w:szCs w:val="20"/>
                <w:color w:val="auto"/>
              </w:rPr>
            </w:pPr>
            <w:r>
              <w:rPr>
                <w:rFonts w:ascii="Arial" w:cs="Arial" w:eastAsia="Arial" w:hAnsi="Arial"/>
                <w:sz w:val="16"/>
                <w:szCs w:val="16"/>
                <w:b w:val="1"/>
                <w:bCs w:val="1"/>
                <w:color w:val="1C90D3"/>
              </w:rPr>
              <w:t xml:space="preserve">2016 </w:t>
            </w:r>
            <w:r>
              <w:rPr>
                <w:rFonts w:ascii="Arial" w:cs="Arial" w:eastAsia="Arial" w:hAnsi="Arial"/>
                <w:sz w:val="16"/>
                <w:szCs w:val="16"/>
                <w:color w:val="08228B"/>
              </w:rPr>
              <w:t>PROXY STATEMENT</w:t>
            </w:r>
          </w:p>
        </w:tc>
        <w:tc>
          <w:tcPr>
            <w:tcW w:w="2400" w:type="dxa"/>
            <w:vAlign w:val="bottom"/>
            <w:tcBorders>
              <w:bottom w:val="single" w:sz="8" w:color="08228B"/>
            </w:tcBorders>
          </w:tcPr>
          <w:p>
            <w:pPr>
              <w:spacing w:after="0"/>
              <w:rPr>
                <w:sz w:val="9"/>
                <w:szCs w:val="9"/>
                <w:color w:val="auto"/>
              </w:rPr>
            </w:pPr>
          </w:p>
        </w:tc>
        <w:tc>
          <w:tcPr>
            <w:tcW w:w="2620" w:type="dxa"/>
            <w:vAlign w:val="bottom"/>
            <w:vMerge w:val="restart"/>
          </w:tcPr>
          <w:p>
            <w:pPr>
              <w:jc w:val="right"/>
              <w:ind w:right="39"/>
              <w:spacing w:after="0"/>
              <w:rPr>
                <w:sz w:val="20"/>
                <w:szCs w:val="20"/>
                <w:color w:val="auto"/>
              </w:rPr>
            </w:pPr>
            <w:r>
              <w:rPr>
                <w:rFonts w:ascii="Arial" w:cs="Arial" w:eastAsia="Arial" w:hAnsi="Arial"/>
                <w:sz w:val="16"/>
                <w:szCs w:val="16"/>
                <w:color w:val="08228B"/>
              </w:rPr>
              <w:t>70</w:t>
            </w:r>
          </w:p>
        </w:tc>
        <w:tc>
          <w:tcPr>
            <w:tcW w:w="0" w:type="dxa"/>
            <w:vAlign w:val="bottom"/>
          </w:tcPr>
          <w:p>
            <w:pPr>
              <w:spacing w:after="0"/>
              <w:rPr>
                <w:sz w:val="1"/>
                <w:szCs w:val="1"/>
                <w:color w:val="auto"/>
              </w:rPr>
            </w:pPr>
          </w:p>
        </w:tc>
      </w:tr>
      <w:tr>
        <w:trPr>
          <w:trHeight w:val="82"/>
        </w:trPr>
        <w:tc>
          <w:tcPr>
            <w:tcW w:w="4340" w:type="dxa"/>
            <w:vAlign w:val="bottom"/>
          </w:tcPr>
          <w:p>
            <w:pPr>
              <w:spacing w:after="0"/>
              <w:rPr>
                <w:sz w:val="7"/>
                <w:szCs w:val="7"/>
                <w:color w:val="auto"/>
              </w:rPr>
            </w:pPr>
          </w:p>
        </w:tc>
        <w:tc>
          <w:tcPr>
            <w:tcW w:w="2060" w:type="dxa"/>
            <w:vAlign w:val="bottom"/>
            <w:vMerge w:val="continue"/>
          </w:tcPr>
          <w:p>
            <w:pPr>
              <w:spacing w:after="0"/>
              <w:rPr>
                <w:sz w:val="7"/>
                <w:szCs w:val="7"/>
                <w:color w:val="auto"/>
              </w:rPr>
            </w:pPr>
          </w:p>
        </w:tc>
        <w:tc>
          <w:tcPr>
            <w:tcW w:w="2400" w:type="dxa"/>
            <w:vAlign w:val="bottom"/>
          </w:tcPr>
          <w:p>
            <w:pPr>
              <w:spacing w:after="0"/>
              <w:rPr>
                <w:sz w:val="7"/>
                <w:szCs w:val="7"/>
                <w:color w:val="auto"/>
              </w:rPr>
            </w:pPr>
          </w:p>
        </w:tc>
        <w:tc>
          <w:tcPr>
            <w:tcW w:w="2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7"/>
        </w:trPr>
        <w:tc>
          <w:tcPr>
            <w:tcW w:w="4340" w:type="dxa"/>
            <w:vAlign w:val="bottom"/>
            <w:tcBorders>
              <w:bottom w:val="single" w:sz="8" w:color="C0C0C0"/>
            </w:tcBorders>
          </w:tcPr>
          <w:p>
            <w:pPr>
              <w:spacing w:after="0"/>
              <w:rPr>
                <w:sz w:val="24"/>
                <w:szCs w:val="24"/>
                <w:color w:val="auto"/>
              </w:rPr>
            </w:pPr>
          </w:p>
        </w:tc>
        <w:tc>
          <w:tcPr>
            <w:tcW w:w="2060" w:type="dxa"/>
            <w:vAlign w:val="bottom"/>
            <w:tcBorders>
              <w:bottom w:val="single" w:sz="8" w:color="C0C0C0"/>
            </w:tcBorders>
          </w:tcPr>
          <w:p>
            <w:pPr>
              <w:spacing w:after="0"/>
              <w:rPr>
                <w:sz w:val="24"/>
                <w:szCs w:val="24"/>
                <w:color w:val="auto"/>
              </w:rPr>
            </w:pPr>
          </w:p>
        </w:tc>
        <w:tc>
          <w:tcPr>
            <w:tcW w:w="2400" w:type="dxa"/>
            <w:vAlign w:val="bottom"/>
            <w:tcBorders>
              <w:bottom w:val="single" w:sz="8" w:color="C0C0C0"/>
            </w:tcBorders>
          </w:tcPr>
          <w:p>
            <w:pPr>
              <w:spacing w:after="0"/>
              <w:rPr>
                <w:sz w:val="24"/>
                <w:szCs w:val="24"/>
                <w:color w:val="auto"/>
              </w:rPr>
            </w:pPr>
          </w:p>
        </w:tc>
        <w:tc>
          <w:tcPr>
            <w:tcW w:w="262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5613400</wp:posOffset>
            </wp:positionH>
            <wp:positionV relativeFrom="paragraph">
              <wp:posOffset>-334010</wp:posOffset>
            </wp:positionV>
            <wp:extent cx="1286510" cy="8572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1286510" cy="8572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Back to Contents</w:t>
        </w:r>
      </w:hyperlink>
    </w:p>
    <w:p>
      <w:pPr>
        <w:spacing w:after="0" w:line="188" w:lineRule="exact"/>
        <w:rPr>
          <w:sz w:val="20"/>
          <w:szCs w:val="20"/>
          <w:color w:val="auto"/>
        </w:rPr>
      </w:pPr>
    </w:p>
    <w:p>
      <w:pPr>
        <w:ind w:left="500" w:hanging="492"/>
        <w:spacing w:after="0"/>
        <w:tabs>
          <w:tab w:leader="none" w:pos="500" w:val="left"/>
        </w:tabs>
        <w:numPr>
          <w:ilvl w:val="0"/>
          <w:numId w:val="124"/>
        </w:numPr>
        <w:rPr>
          <w:rFonts w:ascii="Arial" w:cs="Arial" w:eastAsia="Arial" w:hAnsi="Arial"/>
          <w:sz w:val="22"/>
          <w:szCs w:val="22"/>
          <w:color w:val="auto"/>
        </w:rPr>
      </w:pPr>
      <w:r>
        <w:rPr>
          <w:rFonts w:ascii="Arial" w:cs="Arial" w:eastAsia="Arial" w:hAnsi="Arial"/>
          <w:sz w:val="22"/>
          <w:szCs w:val="22"/>
          <w:color w:val="auto"/>
        </w:rPr>
        <w:t>What is the Proxy Committee and what do they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69150" cy="1714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19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 xml:space="preserve">The Proxy Committee, which is appointed by the Board, is composed of the following executive officers of the Company: Mary T. Barra, Daniel Ammann, and Charles K. Stevens, III. If you sign and return a proxy card or voting instruction form with voting instructions, one or more members of the Proxy Committee will vote your shares as you direct on the matters described in this Proxy Statement. </w:t>
      </w:r>
      <w:r>
        <w:rPr>
          <w:rFonts w:ascii="Arial" w:cs="Arial" w:eastAsia="Arial" w:hAnsi="Arial"/>
          <w:sz w:val="16"/>
          <w:szCs w:val="16"/>
          <w:b w:val="1"/>
          <w:bCs w:val="1"/>
          <w:i w:val="1"/>
          <w:iCs w:val="1"/>
          <w:color w:val="auto"/>
        </w:rPr>
        <w:t>If you sign and return a proxy card or voting instruction form without</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voting instructions, one or more members of the Proxy Committee will vote your shares as recommended by the Board.</w:t>
      </w:r>
    </w:p>
    <w:p>
      <w:pPr>
        <w:spacing w:after="0" w:line="289"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10.</w:t>
      </w:r>
      <w:r>
        <w:rPr>
          <w:sz w:val="20"/>
          <w:szCs w:val="20"/>
          <w:color w:val="auto"/>
        </w:rPr>
        <w:tab/>
      </w:r>
      <w:r>
        <w:rPr>
          <w:rFonts w:ascii="Arial" w:cs="Arial" w:eastAsia="Arial" w:hAnsi="Arial"/>
          <w:sz w:val="21"/>
          <w:szCs w:val="21"/>
          <w:color w:val="auto"/>
        </w:rPr>
        <w:t>What are the voting requirements to elect the directors and to approve each of the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69150" cy="1714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19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 xml:space="preserve">Under GM’s Bylaws, directors are elected by a majority in uncontested elections and by a plurality in contested elections. A contested election is one in which the number of nominees exceeds the number of directors to be elected, and other conditions are met. In an </w:t>
      </w:r>
      <w:r>
        <w:rPr>
          <w:rFonts w:ascii="Arial" w:cs="Arial" w:eastAsia="Arial" w:hAnsi="Arial"/>
          <w:sz w:val="16"/>
          <w:szCs w:val="16"/>
          <w:u w:val="single" w:color="auto"/>
          <w:color w:val="auto"/>
        </w:rPr>
        <w:t>uncontested election</w:t>
      </w:r>
      <w:r>
        <w:rPr>
          <w:rFonts w:ascii="Arial" w:cs="Arial" w:eastAsia="Arial" w:hAnsi="Arial"/>
          <w:sz w:val="16"/>
          <w:szCs w:val="16"/>
          <w:color w:val="auto"/>
        </w:rPr>
        <w:t xml:space="preserve">, nominees will be elected directors if they receive a majority of the votes cast (i.e., the number of shares voted “for” a director must exceed the number of votes cast “against” that director, without counting abstentions or broker non-votes). In a </w:t>
      </w:r>
      <w:r>
        <w:rPr>
          <w:rFonts w:ascii="Arial" w:cs="Arial" w:eastAsia="Arial" w:hAnsi="Arial"/>
          <w:sz w:val="16"/>
          <w:szCs w:val="16"/>
          <w:u w:val="single" w:color="auto"/>
          <w:color w:val="auto"/>
        </w:rPr>
        <w:t>contested election</w:t>
      </w:r>
      <w:r>
        <w:rPr>
          <w:rFonts w:ascii="Arial" w:cs="Arial" w:eastAsia="Arial" w:hAnsi="Arial"/>
          <w:sz w:val="16"/>
          <w:szCs w:val="16"/>
          <w:color w:val="auto"/>
        </w:rPr>
        <w:t>, the nominees who receive a plurality of the votes cast (i.e., more votes in favor of their election than other nominees) will be elected directors.</w:t>
      </w:r>
    </w:p>
    <w:p>
      <w:pPr>
        <w:spacing w:after="0" w:line="17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following table sets forth the vote required for approval and the effect of abstentions and broker non-votes for each of the following Agenda Items for the Annual Meeting.</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280" w:type="dxa"/>
            <w:vAlign w:val="bottom"/>
            <w:tcBorders>
              <w:top w:val="single" w:sz="8" w:color="1C90D3"/>
            </w:tcBorders>
          </w:tcPr>
          <w:p>
            <w:pPr>
              <w:spacing w:after="0"/>
              <w:rPr>
                <w:sz w:val="17"/>
                <w:szCs w:val="17"/>
                <w:color w:val="auto"/>
              </w:rPr>
            </w:pPr>
          </w:p>
        </w:tc>
        <w:tc>
          <w:tcPr>
            <w:tcW w:w="3880" w:type="dxa"/>
            <w:vAlign w:val="bottom"/>
            <w:tcBorders>
              <w:top w:val="single" w:sz="8" w:color="1C90D3"/>
            </w:tcBorders>
          </w:tcPr>
          <w:p>
            <w:pPr>
              <w:spacing w:after="0"/>
              <w:rPr>
                <w:sz w:val="17"/>
                <w:szCs w:val="17"/>
                <w:color w:val="auto"/>
              </w:rPr>
            </w:pPr>
          </w:p>
        </w:tc>
        <w:tc>
          <w:tcPr>
            <w:tcW w:w="4140" w:type="dxa"/>
            <w:vAlign w:val="bottom"/>
            <w:tcBorders>
              <w:top w:val="single" w:sz="8" w:color="1C90D3"/>
            </w:tcBorders>
          </w:tcPr>
          <w:p>
            <w:pPr>
              <w:ind w:left="760"/>
              <w:spacing w:after="0"/>
              <w:rPr>
                <w:sz w:val="20"/>
                <w:szCs w:val="20"/>
                <w:color w:val="auto"/>
              </w:rPr>
            </w:pPr>
            <w:r>
              <w:rPr>
                <w:rFonts w:ascii="Arial" w:cs="Arial" w:eastAsia="Arial" w:hAnsi="Arial"/>
                <w:sz w:val="16"/>
                <w:szCs w:val="16"/>
                <w:b w:val="1"/>
                <w:bCs w:val="1"/>
                <w:color w:val="1C90D3"/>
              </w:rPr>
              <w:t>Effect of Abstentions</w:t>
            </w:r>
          </w:p>
        </w:tc>
      </w:tr>
      <w:tr>
        <w:trPr>
          <w:trHeight w:val="215"/>
        </w:trPr>
        <w:tc>
          <w:tcPr>
            <w:tcW w:w="3280" w:type="dxa"/>
            <w:vAlign w:val="bottom"/>
          </w:tcPr>
          <w:p>
            <w:pPr>
              <w:ind w:left="100"/>
              <w:spacing w:after="0"/>
              <w:rPr>
                <w:sz w:val="20"/>
                <w:szCs w:val="20"/>
                <w:color w:val="auto"/>
              </w:rPr>
            </w:pPr>
            <w:r>
              <w:rPr>
                <w:rFonts w:ascii="Arial" w:cs="Arial" w:eastAsia="Arial" w:hAnsi="Arial"/>
                <w:sz w:val="16"/>
                <w:szCs w:val="16"/>
                <w:b w:val="1"/>
                <w:bCs w:val="1"/>
                <w:color w:val="1C90D3"/>
              </w:rPr>
              <w:t>Agenda Item   Description</w:t>
            </w:r>
          </w:p>
        </w:tc>
        <w:tc>
          <w:tcPr>
            <w:tcW w:w="3880" w:type="dxa"/>
            <w:vAlign w:val="bottom"/>
          </w:tcPr>
          <w:p>
            <w:pPr>
              <w:ind w:left="1040"/>
              <w:spacing w:after="0"/>
              <w:rPr>
                <w:sz w:val="20"/>
                <w:szCs w:val="20"/>
                <w:color w:val="auto"/>
              </w:rPr>
            </w:pPr>
            <w:r>
              <w:rPr>
                <w:rFonts w:ascii="Arial" w:cs="Arial" w:eastAsia="Arial" w:hAnsi="Arial"/>
                <w:sz w:val="16"/>
                <w:szCs w:val="16"/>
                <w:b w:val="1"/>
                <w:bCs w:val="1"/>
                <w:color w:val="1C90D3"/>
              </w:rPr>
              <w:t>Vote Required for Approval</w:t>
            </w:r>
          </w:p>
        </w:tc>
        <w:tc>
          <w:tcPr>
            <w:tcW w:w="4140" w:type="dxa"/>
            <w:vAlign w:val="bottom"/>
          </w:tcPr>
          <w:p>
            <w:pPr>
              <w:ind w:left="760"/>
              <w:spacing w:after="0"/>
              <w:rPr>
                <w:sz w:val="20"/>
                <w:szCs w:val="20"/>
                <w:color w:val="auto"/>
              </w:rPr>
            </w:pPr>
            <w:r>
              <w:rPr>
                <w:rFonts w:ascii="Arial" w:cs="Arial" w:eastAsia="Arial" w:hAnsi="Arial"/>
                <w:sz w:val="16"/>
                <w:szCs w:val="16"/>
                <w:b w:val="1"/>
                <w:bCs w:val="1"/>
                <w:color w:val="1C90D3"/>
              </w:rPr>
              <w:t>and Broker Non-Votes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69150" cy="1714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p>
      <w:pPr>
        <w:spacing w:after="0" w:line="21" w:lineRule="exact"/>
        <w:rPr>
          <w:sz w:val="20"/>
          <w:szCs w:val="20"/>
          <w:color w:val="auto"/>
        </w:rPr>
      </w:pPr>
    </w:p>
    <w:tbl>
      <w:tblPr>
        <w:tblLayout w:type="fixed"/>
        <w:tblInd w:w="540" w:type="dxa"/>
        <w:tblCellMar>
          <w:top w:w="0" w:type="dxa"/>
          <w:left w:w="0" w:type="dxa"/>
          <w:bottom w:w="0" w:type="dxa"/>
          <w:right w:w="0" w:type="dxa"/>
        </w:tblCellMar>
      </w:tblPr>
      <w:tr>
        <w:trPr>
          <w:trHeight w:val="189"/>
        </w:trPr>
        <w:tc>
          <w:tcPr>
            <w:tcW w:w="460" w:type="dxa"/>
            <w:vAlign w:val="bottom"/>
          </w:tcPr>
          <w:p>
            <w:pPr>
              <w:jc w:val="right"/>
              <w:ind w:right="304"/>
              <w:spacing w:after="0"/>
              <w:rPr>
                <w:sz w:val="20"/>
                <w:szCs w:val="20"/>
                <w:color w:val="auto"/>
              </w:rPr>
            </w:pPr>
            <w:r>
              <w:rPr>
                <w:rFonts w:ascii="Arial" w:cs="Arial" w:eastAsia="Arial" w:hAnsi="Arial"/>
                <w:sz w:val="15"/>
                <w:szCs w:val="15"/>
                <w:color w:val="auto"/>
                <w:w w:val="71"/>
              </w:rPr>
              <w:t>1</w:t>
            </w:r>
          </w:p>
        </w:tc>
        <w:tc>
          <w:tcPr>
            <w:tcW w:w="2560" w:type="dxa"/>
            <w:vAlign w:val="bottom"/>
          </w:tcPr>
          <w:p>
            <w:pPr>
              <w:ind w:left="380"/>
              <w:spacing w:after="0"/>
              <w:rPr>
                <w:sz w:val="20"/>
                <w:szCs w:val="20"/>
                <w:color w:val="auto"/>
              </w:rPr>
            </w:pPr>
            <w:r>
              <w:rPr>
                <w:rFonts w:ascii="Arial" w:cs="Arial" w:eastAsia="Arial" w:hAnsi="Arial"/>
                <w:sz w:val="16"/>
                <w:szCs w:val="16"/>
                <w:color w:val="auto"/>
              </w:rPr>
              <w:t>Election of directors</w:t>
            </w:r>
          </w:p>
        </w:tc>
        <w:tc>
          <w:tcPr>
            <w:tcW w:w="4120" w:type="dxa"/>
            <w:vAlign w:val="bottom"/>
          </w:tcPr>
          <w:p>
            <w:pPr>
              <w:ind w:left="760"/>
              <w:spacing w:after="0"/>
              <w:rPr>
                <w:sz w:val="20"/>
                <w:szCs w:val="20"/>
                <w:color w:val="auto"/>
              </w:rPr>
            </w:pPr>
            <w:r>
              <w:rPr>
                <w:rFonts w:ascii="Arial" w:cs="Arial" w:eastAsia="Arial" w:hAnsi="Arial"/>
                <w:sz w:val="16"/>
                <w:szCs w:val="16"/>
                <w:color w:val="auto"/>
              </w:rPr>
              <w:t>This year’s election will be considered</w:t>
            </w:r>
          </w:p>
        </w:tc>
      </w:tr>
      <w:tr>
        <w:trPr>
          <w:trHeight w:val="189"/>
        </w:trPr>
        <w:tc>
          <w:tcPr>
            <w:tcW w:w="46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4120" w:type="dxa"/>
            <w:vAlign w:val="bottom"/>
          </w:tcPr>
          <w:p>
            <w:pPr>
              <w:ind w:left="760"/>
              <w:spacing w:after="0"/>
              <w:rPr>
                <w:sz w:val="20"/>
                <w:szCs w:val="20"/>
                <w:color w:val="auto"/>
              </w:rPr>
            </w:pPr>
            <w:r>
              <w:rPr>
                <w:rFonts w:ascii="Arial" w:cs="Arial" w:eastAsia="Arial" w:hAnsi="Arial"/>
                <w:sz w:val="16"/>
                <w:szCs w:val="16"/>
                <w:color w:val="auto"/>
              </w:rPr>
              <w:t>uncontested, so majority voting will apply.</w:t>
            </w:r>
          </w:p>
        </w:tc>
      </w:tr>
      <w:tr>
        <w:trPr>
          <w:trHeight w:val="189"/>
        </w:trPr>
        <w:tc>
          <w:tcPr>
            <w:tcW w:w="46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4120" w:type="dxa"/>
            <w:vAlign w:val="bottom"/>
          </w:tcPr>
          <w:p>
            <w:pPr>
              <w:ind w:left="760"/>
              <w:spacing w:after="0"/>
              <w:rPr>
                <w:sz w:val="20"/>
                <w:szCs w:val="20"/>
                <w:color w:val="auto"/>
              </w:rPr>
            </w:pPr>
            <w:r>
              <w:rPr>
                <w:rFonts w:ascii="Arial" w:cs="Arial" w:eastAsia="Arial" w:hAnsi="Arial"/>
                <w:sz w:val="16"/>
                <w:szCs w:val="16"/>
                <w:color w:val="auto"/>
              </w:rPr>
              <w:t>Nominees receiving a majority of votes cast for</w:t>
            </w:r>
          </w:p>
        </w:tc>
      </w:tr>
      <w:tr>
        <w:trPr>
          <w:trHeight w:val="195"/>
        </w:trPr>
        <w:tc>
          <w:tcPr>
            <w:tcW w:w="46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4120" w:type="dxa"/>
            <w:vAlign w:val="bottom"/>
          </w:tcPr>
          <w:p>
            <w:pPr>
              <w:ind w:left="760"/>
              <w:spacing w:after="0"/>
              <w:rPr>
                <w:sz w:val="20"/>
                <w:szCs w:val="20"/>
                <w:color w:val="auto"/>
              </w:rPr>
            </w:pPr>
            <w:r>
              <w:rPr>
                <w:rFonts w:ascii="Arial" w:cs="Arial" w:eastAsia="Arial" w:hAnsi="Arial"/>
                <w:sz w:val="16"/>
                <w:szCs w:val="16"/>
                <w:color w:val="auto"/>
              </w:rPr>
              <w:t>their election will be elected as a 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69150" cy="889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71691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right="340"/>
        <w:spacing w:after="0" w:line="253" w:lineRule="auto"/>
        <w:rPr>
          <w:sz w:val="20"/>
          <w:szCs w:val="20"/>
          <w:color w:val="auto"/>
        </w:rPr>
      </w:pPr>
      <w:r>
        <w:rPr>
          <w:rFonts w:ascii="Arial" w:cs="Arial" w:eastAsia="Arial" w:hAnsi="Arial"/>
          <w:sz w:val="16"/>
          <w:szCs w:val="16"/>
          <w:color w:val="auto"/>
        </w:rPr>
        <w:t>Abstentions and broker non-votes are not considered as votes cast and have no effect on the outcome of the vote.</w:t>
      </w:r>
    </w:p>
    <w:p>
      <w:pPr>
        <w:spacing w:after="0" w:line="188" w:lineRule="exact"/>
        <w:rPr>
          <w:sz w:val="20"/>
          <w:szCs w:val="20"/>
          <w:color w:val="auto"/>
        </w:rPr>
      </w:pPr>
    </w:p>
    <w:p>
      <w:pPr>
        <w:sectPr>
          <w:pgSz w:w="11900" w:h="16838" w:orient="portrait"/>
          <w:cols w:equalWidth="0" w:num="2">
            <w:col w:w="7680" w:space="240"/>
            <w:col w:w="3500"/>
          </w:cols>
          <w:pgMar w:left="240" w:top="225" w:right="239" w:bottom="1440" w:gutter="0" w:footer="0" w:header="0"/>
          <w:type w:val="continuous"/>
        </w:sectPr>
      </w:pPr>
    </w:p>
    <w:p>
      <w:pPr>
        <w:ind w:left="1380" w:right="20" w:hanging="850"/>
        <w:spacing w:after="0" w:line="253" w:lineRule="auto"/>
        <w:tabs>
          <w:tab w:leader="none" w:pos="138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Approve, on an advisory basis, named executive officer compensation</w:t>
      </w:r>
    </w:p>
    <w:p>
      <w:pPr>
        <w:spacing w:after="0" w:line="20" w:lineRule="exact"/>
        <w:rPr>
          <w:sz w:val="20"/>
          <w:szCs w:val="20"/>
          <w:color w:val="auto"/>
        </w:rPr>
      </w:pPr>
      <w:r>
        <w:rPr>
          <w:sz w:val="20"/>
          <w:szCs w:val="20"/>
          <w:color w:val="auto"/>
        </w:rPr>
        <w:br w:type="column"/>
      </w:r>
    </w:p>
    <w:p>
      <w:pPr>
        <w:spacing w:after="0" w:line="260" w:lineRule="auto"/>
        <w:rPr>
          <w:sz w:val="20"/>
          <w:szCs w:val="20"/>
          <w:color w:val="auto"/>
        </w:rPr>
      </w:pPr>
      <w:r>
        <w:rPr>
          <w:rFonts w:ascii="Arial" w:cs="Arial" w:eastAsia="Arial" w:hAnsi="Arial"/>
          <w:sz w:val="16"/>
          <w:szCs w:val="16"/>
          <w:color w:val="auto"/>
        </w:rPr>
        <w:t>The majority of votes cast of shares present in person or by proxy and entitled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-2737485</wp:posOffset>
            </wp:positionH>
            <wp:positionV relativeFrom="paragraph">
              <wp:posOffset>346075</wp:posOffset>
            </wp:positionV>
            <wp:extent cx="7169150" cy="889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71691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400"/>
        <w:spacing w:after="0" w:line="260" w:lineRule="auto"/>
        <w:rPr>
          <w:sz w:val="20"/>
          <w:szCs w:val="20"/>
          <w:color w:val="auto"/>
        </w:rPr>
      </w:pPr>
      <w:r>
        <w:rPr>
          <w:rFonts w:ascii="Arial" w:cs="Arial" w:eastAsia="Arial" w:hAnsi="Arial"/>
          <w:sz w:val="16"/>
          <w:szCs w:val="16"/>
          <w:color w:val="auto"/>
        </w:rPr>
        <w:t>Abstentions have the same effect as a vote against.</w:t>
      </w:r>
    </w:p>
    <w:p>
      <w:pPr>
        <w:spacing w:after="0" w:line="169" w:lineRule="exact"/>
        <w:rPr>
          <w:sz w:val="20"/>
          <w:szCs w:val="20"/>
          <w:color w:val="auto"/>
        </w:rPr>
      </w:pPr>
    </w:p>
    <w:p>
      <w:pPr>
        <w:ind w:right="700"/>
        <w:spacing w:after="0" w:line="255" w:lineRule="auto"/>
        <w:rPr>
          <w:sz w:val="20"/>
          <w:szCs w:val="20"/>
          <w:color w:val="auto"/>
        </w:rPr>
      </w:pPr>
      <w:r>
        <w:rPr>
          <w:rFonts w:ascii="Arial" w:cs="Arial" w:eastAsia="Arial" w:hAnsi="Arial"/>
          <w:sz w:val="16"/>
          <w:szCs w:val="16"/>
          <w:color w:val="auto"/>
        </w:rPr>
        <w:t>Broker non-votes have no effect on the outcome of the vote.</w:t>
      </w:r>
    </w:p>
    <w:p>
      <w:pPr>
        <w:spacing w:after="0" w:line="1" w:lineRule="exact"/>
        <w:rPr>
          <w:sz w:val="20"/>
          <w:szCs w:val="20"/>
          <w:color w:val="auto"/>
        </w:rPr>
      </w:pPr>
    </w:p>
    <w:p>
      <w:pPr>
        <w:sectPr>
          <w:pgSz w:w="11900" w:h="16838" w:orient="portrait"/>
          <w:cols w:equalWidth="0" w:num="3">
            <w:col w:w="3600" w:space="720"/>
            <w:col w:w="3320" w:space="280"/>
            <w:col w:w="3500"/>
          </w:cols>
          <w:pgMar w:left="240" w:top="225" w:right="239" w:bottom="1440" w:gutter="0" w:footer="0" w:header="0"/>
          <w:type w:val="continuous"/>
        </w:sectPr>
      </w:pPr>
    </w:p>
    <w:p>
      <w:pPr>
        <w:ind w:left="1380" w:hanging="850"/>
        <w:spacing w:after="0" w:line="251" w:lineRule="auto"/>
        <w:tabs>
          <w:tab w:leader="none" w:pos="138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Ratification of the selection of Deloitte &amp; Touche LLP as the Company’s independent registered public accounting firm for 2016</w:t>
      </w:r>
    </w:p>
    <w:p>
      <w:pPr>
        <w:spacing w:after="0" w:line="20" w:lineRule="exact"/>
        <w:rPr>
          <w:sz w:val="20"/>
          <w:szCs w:val="20"/>
          <w:color w:val="auto"/>
        </w:rPr>
      </w:pPr>
      <w:r>
        <w:rPr>
          <w:sz w:val="20"/>
          <w:szCs w:val="20"/>
          <w:color w:val="auto"/>
        </w:rPr>
        <w:br w:type="column"/>
      </w:r>
    </w:p>
    <w:p>
      <w:pPr>
        <w:spacing w:after="0" w:line="260" w:lineRule="auto"/>
        <w:rPr>
          <w:sz w:val="20"/>
          <w:szCs w:val="20"/>
          <w:color w:val="auto"/>
        </w:rPr>
      </w:pPr>
      <w:r>
        <w:rPr>
          <w:rFonts w:ascii="Arial" w:cs="Arial" w:eastAsia="Arial" w:hAnsi="Arial"/>
          <w:sz w:val="16"/>
          <w:szCs w:val="16"/>
          <w:color w:val="auto"/>
        </w:rPr>
        <w:t>The majority of votes cast of shares present in person or by proxy and entitled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-2737485</wp:posOffset>
            </wp:positionH>
            <wp:positionV relativeFrom="paragraph">
              <wp:posOffset>586105</wp:posOffset>
            </wp:positionV>
            <wp:extent cx="7169150" cy="889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71691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400"/>
        <w:spacing w:after="0" w:line="260" w:lineRule="auto"/>
        <w:rPr>
          <w:sz w:val="20"/>
          <w:szCs w:val="20"/>
          <w:color w:val="auto"/>
        </w:rPr>
      </w:pPr>
      <w:r>
        <w:rPr>
          <w:rFonts w:ascii="Arial" w:cs="Arial" w:eastAsia="Arial" w:hAnsi="Arial"/>
          <w:sz w:val="16"/>
          <w:szCs w:val="16"/>
          <w:color w:val="auto"/>
        </w:rPr>
        <w:t>Abstentions have the same effect as a vote against.</w:t>
      </w:r>
    </w:p>
    <w:p>
      <w:pPr>
        <w:spacing w:after="0" w:line="169" w:lineRule="exact"/>
        <w:rPr>
          <w:sz w:val="20"/>
          <w:szCs w:val="20"/>
          <w:color w:val="auto"/>
        </w:rPr>
      </w:pPr>
    </w:p>
    <w:p>
      <w:pPr>
        <w:ind w:right="280"/>
        <w:spacing w:after="0" w:line="251" w:lineRule="auto"/>
        <w:rPr>
          <w:sz w:val="20"/>
          <w:szCs w:val="20"/>
          <w:color w:val="auto"/>
        </w:rPr>
      </w:pPr>
      <w:r>
        <w:rPr>
          <w:rFonts w:ascii="Arial" w:cs="Arial" w:eastAsia="Arial" w:hAnsi="Arial"/>
          <w:sz w:val="16"/>
          <w:szCs w:val="16"/>
          <w:color w:val="auto"/>
        </w:rPr>
        <w:t>NYSE rules permit brokers to vote uninstructed shares at their discretion on this proposal, so broker non-votes are not expected.</w:t>
      </w:r>
    </w:p>
    <w:p>
      <w:pPr>
        <w:spacing w:after="0" w:line="1" w:lineRule="exact"/>
        <w:rPr>
          <w:sz w:val="20"/>
          <w:szCs w:val="20"/>
          <w:color w:val="auto"/>
        </w:rPr>
      </w:pPr>
    </w:p>
    <w:p>
      <w:pPr>
        <w:sectPr>
          <w:pgSz w:w="11900" w:h="16838" w:orient="portrait"/>
          <w:cols w:equalWidth="0" w:num="3">
            <w:col w:w="4080" w:space="240"/>
            <w:col w:w="3320" w:space="280"/>
            <w:col w:w="3500"/>
          </w:cols>
          <w:pgMar w:left="240" w:top="225" w:right="239" w:bottom="1440" w:gutter="0" w:footer="0" w:header="0"/>
          <w:type w:val="continuous"/>
        </w:sectPr>
      </w:pPr>
    </w:p>
    <w:p>
      <w:pPr>
        <w:ind w:left="1380" w:hanging="850"/>
        <w:spacing w:after="0" w:line="251" w:lineRule="auto"/>
        <w:tabs>
          <w:tab w:leader="none" w:pos="138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Shareholder proposal regarding Implementation of Holy Land Principles for Employment in Palestine-Israel</w:t>
      </w:r>
    </w:p>
    <w:p>
      <w:pPr>
        <w:spacing w:after="0" w:line="20" w:lineRule="exact"/>
        <w:rPr>
          <w:sz w:val="20"/>
          <w:szCs w:val="20"/>
          <w:color w:val="auto"/>
        </w:rPr>
      </w:pPr>
      <w:r>
        <w:rPr>
          <w:sz w:val="20"/>
          <w:szCs w:val="20"/>
          <w:color w:val="auto"/>
        </w:rPr>
        <w:br w:type="column"/>
      </w:r>
    </w:p>
    <w:p>
      <w:pPr>
        <w:spacing w:after="0" w:line="260" w:lineRule="auto"/>
        <w:rPr>
          <w:sz w:val="20"/>
          <w:szCs w:val="20"/>
          <w:color w:val="auto"/>
        </w:rPr>
      </w:pPr>
      <w:r>
        <w:rPr>
          <w:rFonts w:ascii="Arial" w:cs="Arial" w:eastAsia="Arial" w:hAnsi="Arial"/>
          <w:sz w:val="16"/>
          <w:szCs w:val="16"/>
          <w:color w:val="auto"/>
        </w:rPr>
        <w:t>The majority of votes cast of shares present in person or by proxy and entitled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-2737485</wp:posOffset>
            </wp:positionH>
            <wp:positionV relativeFrom="paragraph">
              <wp:posOffset>346075</wp:posOffset>
            </wp:positionV>
            <wp:extent cx="7169150" cy="1714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400"/>
        <w:spacing w:after="0" w:line="260" w:lineRule="auto"/>
        <w:rPr>
          <w:sz w:val="20"/>
          <w:szCs w:val="20"/>
          <w:color w:val="auto"/>
        </w:rPr>
      </w:pPr>
      <w:r>
        <w:rPr>
          <w:rFonts w:ascii="Arial" w:cs="Arial" w:eastAsia="Arial" w:hAnsi="Arial"/>
          <w:sz w:val="16"/>
          <w:szCs w:val="16"/>
          <w:color w:val="auto"/>
        </w:rPr>
        <w:t>Abstentions have the same effect as a vote against.</w:t>
      </w:r>
    </w:p>
    <w:p>
      <w:pPr>
        <w:spacing w:after="0" w:line="169" w:lineRule="exact"/>
        <w:rPr>
          <w:sz w:val="20"/>
          <w:szCs w:val="20"/>
          <w:color w:val="auto"/>
        </w:rPr>
      </w:pPr>
    </w:p>
    <w:p>
      <w:pPr>
        <w:ind w:right="700"/>
        <w:spacing w:after="0" w:line="260" w:lineRule="auto"/>
        <w:rPr>
          <w:sz w:val="20"/>
          <w:szCs w:val="20"/>
          <w:color w:val="auto"/>
        </w:rPr>
      </w:pPr>
      <w:r>
        <w:rPr>
          <w:rFonts w:ascii="Arial" w:cs="Arial" w:eastAsia="Arial" w:hAnsi="Arial"/>
          <w:sz w:val="16"/>
          <w:szCs w:val="16"/>
          <w:color w:val="auto"/>
        </w:rPr>
        <w:t>Broker non-votes have no effect on the outcome of the vote.</w:t>
      </w:r>
    </w:p>
    <w:p>
      <w:pPr>
        <w:spacing w:after="0" w:line="200" w:lineRule="exact"/>
        <w:rPr>
          <w:sz w:val="20"/>
          <w:szCs w:val="20"/>
          <w:color w:val="auto"/>
        </w:rPr>
      </w:pPr>
    </w:p>
    <w:p>
      <w:pPr>
        <w:sectPr>
          <w:pgSz w:w="11900" w:h="16838" w:orient="portrait"/>
          <w:cols w:equalWidth="0" w:num="3">
            <w:col w:w="3660" w:space="660"/>
            <w:col w:w="3320" w:space="280"/>
            <w:col w:w="3500"/>
          </w:cols>
          <w:pgMar w:left="240" w:top="225" w:right="239" w:bottom="1440" w:gutter="0" w:footer="0" w:header="0"/>
          <w:type w:val="continuous"/>
        </w:sectPr>
      </w:pPr>
    </w:p>
    <w:p>
      <w:pPr>
        <w:spacing w:after="0" w:line="109"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21"/>
          <w:szCs w:val="21"/>
          <w:color w:val="auto"/>
        </w:rPr>
        <w:t>Can I access proxy materials on the Internet instead of receiving paper copies?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69150" cy="1714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19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 xml:space="preserve">Yes. You may consent to receive your proxy materials and Annual Report by Internet, which will reduce the amount of paper you receive, our future postage and printing expenses, and the impact on the environment. At your request, you will be notified by e-mail when these documents are available electronically through the Internet. If you are a shareholder of record, you may sign up for this service at </w:t>
      </w:r>
      <w:r>
        <w:rPr>
          <w:rFonts w:ascii="Arial" w:cs="Arial" w:eastAsia="Arial" w:hAnsi="Arial"/>
          <w:sz w:val="16"/>
          <w:szCs w:val="16"/>
          <w:i w:val="1"/>
          <w:iCs w:val="1"/>
          <w:color w:val="auto"/>
        </w:rPr>
        <w:t>www.computershare.com/gm</w:t>
      </w:r>
      <w:r>
        <w:rPr>
          <w:rFonts w:ascii="Arial" w:cs="Arial" w:eastAsia="Arial" w:hAnsi="Arial"/>
          <w:sz w:val="16"/>
          <w:szCs w:val="16"/>
          <w:color w:val="auto"/>
        </w:rPr>
        <w:t>. If you are a beneficial shareholder, you should refer to the instructions provided by your broker, bank, or other nominee on how to receive electronic delivery of proxy materials. You may also enroll for electronic delivery when you vote by Internet.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13"/>
        </w:trPr>
        <w:tc>
          <w:tcPr>
            <w:tcW w:w="4340" w:type="dxa"/>
            <w:vAlign w:val="bottom"/>
            <w:tcBorders>
              <w:bottom w:val="single" w:sz="8" w:color="08228B"/>
            </w:tcBorders>
          </w:tcPr>
          <w:p>
            <w:pPr>
              <w:spacing w:after="0"/>
              <w:rPr>
                <w:sz w:val="9"/>
                <w:szCs w:val="9"/>
                <w:color w:val="auto"/>
              </w:rPr>
            </w:pPr>
          </w:p>
        </w:tc>
        <w:tc>
          <w:tcPr>
            <w:tcW w:w="2060" w:type="dxa"/>
            <w:vAlign w:val="bottom"/>
            <w:vMerge w:val="restart"/>
          </w:tcPr>
          <w:p>
            <w:pPr>
              <w:ind w:left="60"/>
              <w:spacing w:after="0"/>
              <w:rPr>
                <w:sz w:val="20"/>
                <w:szCs w:val="20"/>
                <w:color w:val="auto"/>
              </w:rPr>
            </w:pPr>
            <w:r>
              <w:rPr>
                <w:rFonts w:ascii="Arial" w:cs="Arial" w:eastAsia="Arial" w:hAnsi="Arial"/>
                <w:sz w:val="16"/>
                <w:szCs w:val="16"/>
                <w:b w:val="1"/>
                <w:bCs w:val="1"/>
                <w:color w:val="1C90D3"/>
              </w:rPr>
              <w:t xml:space="preserve">2016 </w:t>
            </w:r>
            <w:r>
              <w:rPr>
                <w:rFonts w:ascii="Arial" w:cs="Arial" w:eastAsia="Arial" w:hAnsi="Arial"/>
                <w:sz w:val="16"/>
                <w:szCs w:val="16"/>
                <w:color w:val="08228B"/>
              </w:rPr>
              <w:t>PROXY STATEMENT</w:t>
            </w:r>
          </w:p>
        </w:tc>
        <w:tc>
          <w:tcPr>
            <w:tcW w:w="2400" w:type="dxa"/>
            <w:vAlign w:val="bottom"/>
            <w:tcBorders>
              <w:bottom w:val="single" w:sz="8" w:color="08228B"/>
            </w:tcBorders>
          </w:tcPr>
          <w:p>
            <w:pPr>
              <w:spacing w:after="0"/>
              <w:rPr>
                <w:sz w:val="9"/>
                <w:szCs w:val="9"/>
                <w:color w:val="auto"/>
              </w:rPr>
            </w:pPr>
          </w:p>
        </w:tc>
        <w:tc>
          <w:tcPr>
            <w:tcW w:w="2620" w:type="dxa"/>
            <w:vAlign w:val="bottom"/>
            <w:vMerge w:val="restart"/>
          </w:tcPr>
          <w:p>
            <w:pPr>
              <w:jc w:val="right"/>
              <w:ind w:right="39"/>
              <w:spacing w:after="0"/>
              <w:rPr>
                <w:sz w:val="20"/>
                <w:szCs w:val="20"/>
                <w:color w:val="auto"/>
              </w:rPr>
            </w:pPr>
            <w:r>
              <w:rPr>
                <w:rFonts w:ascii="Arial" w:cs="Arial" w:eastAsia="Arial" w:hAnsi="Arial"/>
                <w:sz w:val="16"/>
                <w:szCs w:val="16"/>
                <w:color w:val="08228B"/>
              </w:rPr>
              <w:t>71</w:t>
            </w:r>
          </w:p>
        </w:tc>
        <w:tc>
          <w:tcPr>
            <w:tcW w:w="0" w:type="dxa"/>
            <w:vAlign w:val="bottom"/>
          </w:tcPr>
          <w:p>
            <w:pPr>
              <w:spacing w:after="0"/>
              <w:rPr>
                <w:sz w:val="1"/>
                <w:szCs w:val="1"/>
                <w:color w:val="auto"/>
              </w:rPr>
            </w:pPr>
          </w:p>
        </w:tc>
      </w:tr>
      <w:tr>
        <w:trPr>
          <w:trHeight w:val="82"/>
        </w:trPr>
        <w:tc>
          <w:tcPr>
            <w:tcW w:w="4340" w:type="dxa"/>
            <w:vAlign w:val="bottom"/>
          </w:tcPr>
          <w:p>
            <w:pPr>
              <w:spacing w:after="0"/>
              <w:rPr>
                <w:sz w:val="7"/>
                <w:szCs w:val="7"/>
                <w:color w:val="auto"/>
              </w:rPr>
            </w:pPr>
          </w:p>
        </w:tc>
        <w:tc>
          <w:tcPr>
            <w:tcW w:w="2060" w:type="dxa"/>
            <w:vAlign w:val="bottom"/>
            <w:vMerge w:val="continue"/>
          </w:tcPr>
          <w:p>
            <w:pPr>
              <w:spacing w:after="0"/>
              <w:rPr>
                <w:sz w:val="7"/>
                <w:szCs w:val="7"/>
                <w:color w:val="auto"/>
              </w:rPr>
            </w:pPr>
          </w:p>
        </w:tc>
        <w:tc>
          <w:tcPr>
            <w:tcW w:w="2400" w:type="dxa"/>
            <w:vAlign w:val="bottom"/>
          </w:tcPr>
          <w:p>
            <w:pPr>
              <w:spacing w:after="0"/>
              <w:rPr>
                <w:sz w:val="7"/>
                <w:szCs w:val="7"/>
                <w:color w:val="auto"/>
              </w:rPr>
            </w:pPr>
          </w:p>
        </w:tc>
        <w:tc>
          <w:tcPr>
            <w:tcW w:w="2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7"/>
        </w:trPr>
        <w:tc>
          <w:tcPr>
            <w:tcW w:w="4340" w:type="dxa"/>
            <w:vAlign w:val="bottom"/>
            <w:tcBorders>
              <w:bottom w:val="single" w:sz="8" w:color="C0C0C0"/>
            </w:tcBorders>
          </w:tcPr>
          <w:p>
            <w:pPr>
              <w:spacing w:after="0"/>
              <w:rPr>
                <w:sz w:val="24"/>
                <w:szCs w:val="24"/>
                <w:color w:val="auto"/>
              </w:rPr>
            </w:pPr>
          </w:p>
        </w:tc>
        <w:tc>
          <w:tcPr>
            <w:tcW w:w="2060" w:type="dxa"/>
            <w:vAlign w:val="bottom"/>
            <w:tcBorders>
              <w:bottom w:val="single" w:sz="8" w:color="C0C0C0"/>
            </w:tcBorders>
          </w:tcPr>
          <w:p>
            <w:pPr>
              <w:spacing w:after="0"/>
              <w:rPr>
                <w:sz w:val="24"/>
                <w:szCs w:val="24"/>
                <w:color w:val="auto"/>
              </w:rPr>
            </w:pPr>
          </w:p>
        </w:tc>
        <w:tc>
          <w:tcPr>
            <w:tcW w:w="2400" w:type="dxa"/>
            <w:vAlign w:val="bottom"/>
            <w:tcBorders>
              <w:bottom w:val="single" w:sz="8" w:color="C0C0C0"/>
            </w:tcBorders>
          </w:tcPr>
          <w:p>
            <w:pPr>
              <w:spacing w:after="0"/>
              <w:rPr>
                <w:sz w:val="24"/>
                <w:szCs w:val="24"/>
                <w:color w:val="auto"/>
              </w:rPr>
            </w:pPr>
          </w:p>
        </w:tc>
        <w:tc>
          <w:tcPr>
            <w:tcW w:w="262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5613400</wp:posOffset>
            </wp:positionH>
            <wp:positionV relativeFrom="paragraph">
              <wp:posOffset>-334010</wp:posOffset>
            </wp:positionV>
            <wp:extent cx="1286510" cy="8572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1286510" cy="8572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type w:val="continuous"/>
        </w:sectPr>
      </w:pPr>
    </w:p>
    <w:bookmarkStart w:id="75" w:name="page76"/>
    <w:bookmarkEnd w:id="75"/>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Back to Contents</w:t>
        </w:r>
      </w:hyperlink>
    </w:p>
    <w:p>
      <w:pPr>
        <w:spacing w:after="0" w:line="188"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21"/>
          <w:szCs w:val="21"/>
          <w:color w:val="auto"/>
        </w:rPr>
        <w:t>Why did I receive a Notice of Internet Availability of Proxy Materials in the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69150" cy="1714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19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SEC permits companies to furnish proxy materials to shareholders through the Internet, a process called “Notice and Access.” In that regard, we are mailing a Notice instead of a paper copy of the proxy materials to most of our shareholders. The Notice tells you how to access and review our Proxy Statement and Annual Report on the Internet and how to vote your shares after you have reviewed the proxy materials. If you would like to receive a paper copy of these proxy materials or electronic delivery of materials via e-mail, free of charge, you should follow the instructions for requesting such materials included in the Notice. Shareholders who have previously elected delivery of proxy materials electronically will receive an e-mail with instructions on how to access these proxy materials electronically. Shareholders who have previously elected to receive a paper copy of our proxy materials will receive a full paper set of these materials by mail.</w:t>
      </w:r>
    </w:p>
    <w:p>
      <w:pPr>
        <w:spacing w:after="0" w:line="295"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13.</w:t>
      </w:r>
      <w:r>
        <w:rPr>
          <w:sz w:val="20"/>
          <w:szCs w:val="20"/>
          <w:color w:val="auto"/>
        </w:rPr>
        <w:tab/>
      </w:r>
      <w:r>
        <w:rPr>
          <w:rFonts w:ascii="Arial" w:cs="Arial" w:eastAsia="Arial" w:hAnsi="Arial"/>
          <w:sz w:val="21"/>
          <w:szCs w:val="21"/>
          <w:color w:val="auto"/>
        </w:rPr>
        <w:t>What is “householding” and how does it affect 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69150" cy="1714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19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SEC permits companies to send a single envelope containing all of the Notices or a single copy of their Annual Report and Proxy Statement to any household at which two or more shareholders reside if it appears they are members of the same family. Each shareholder will continue to receive a separate proxy card, voting instruction form, or Notice and it will include the unique control number, which is needed to vote those shares. This procedure, referred to as householding, is intended to reduce the volume of duplicate information shareholders receive and also to reduce expenses for companies. General Motors has instituted this procedure for its shareholders.</w:t>
      </w:r>
    </w:p>
    <w:p>
      <w:pPr>
        <w:spacing w:after="0" w:line="17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If one set of these documents was sent to your household for the use of all GM shareholders in your household and one or more of you would prefer to receive additional sets, or if multiple copies of these documents were sent to your household and you want to receive one set, please contact Broadridge Financial Solutions, Inc., by calling toll-free at 866-540-7095, or by writing to Broadridge Financial Solutions, Inc., Householding Department, 51 Mercedes Way, Edgewood, New York 11717.</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If a broker, bank, or other nominee holds your shares, please contact your broker, bank, or other nominee directly if you have questions about delivery of materials, require additional copies of the Proxy Statement or Annual Report, or wish to receive multiple copies of proxy materials by stating that you do not consent to householding.</w:t>
      </w:r>
    </w:p>
    <w:p>
      <w:pPr>
        <w:spacing w:after="0" w:line="288"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14.</w:t>
      </w:r>
      <w:r>
        <w:rPr>
          <w:sz w:val="20"/>
          <w:szCs w:val="20"/>
          <w:color w:val="auto"/>
        </w:rPr>
        <w:tab/>
      </w:r>
      <w:r>
        <w:rPr>
          <w:rFonts w:ascii="Arial" w:cs="Arial" w:eastAsia="Arial" w:hAnsi="Arial"/>
          <w:sz w:val="21"/>
          <w:szCs w:val="21"/>
          <w:color w:val="auto"/>
        </w:rPr>
        <w:t>How can nominees obtain proxy materials for beneficial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69150" cy="1714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195"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Brokers, banks, and other nominees who want a supply of the Company’s proxy materials to send to beneficial owners should write to Broadridge Financial Solutions, Inc., 51 Mercedes Way, Edgewood, New York 11717.</w:t>
      </w:r>
    </w:p>
    <w:p>
      <w:pPr>
        <w:spacing w:after="0" w:line="290" w:lineRule="exact"/>
        <w:rPr>
          <w:sz w:val="20"/>
          <w:szCs w:val="20"/>
          <w:color w:val="auto"/>
        </w:rPr>
      </w:pPr>
    </w:p>
    <w:p>
      <w:pPr>
        <w:ind w:left="500" w:hanging="492"/>
        <w:spacing w:after="0"/>
        <w:tabs>
          <w:tab w:leader="none" w:pos="500" w:val="left"/>
        </w:tabs>
        <w:numPr>
          <w:ilvl w:val="0"/>
          <w:numId w:val="128"/>
        </w:numPr>
        <w:rPr>
          <w:rFonts w:ascii="Arial" w:cs="Arial" w:eastAsia="Arial" w:hAnsi="Arial"/>
          <w:sz w:val="25"/>
          <w:szCs w:val="25"/>
          <w:color w:val="08228B"/>
        </w:rPr>
      </w:pPr>
      <w:r>
        <w:rPr>
          <w:rFonts w:ascii="Arial" w:cs="Arial" w:eastAsia="Arial" w:hAnsi="Arial"/>
          <w:sz w:val="25"/>
          <w:szCs w:val="25"/>
          <w:color w:val="auto"/>
        </w:rPr>
        <w:t>Annual Meeting Information</w:t>
      </w:r>
    </w:p>
    <w:p>
      <w:pPr>
        <w:spacing w:after="0" w:line="312"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15.</w:t>
      </w:r>
      <w:r>
        <w:rPr>
          <w:sz w:val="20"/>
          <w:szCs w:val="20"/>
          <w:color w:val="auto"/>
        </w:rPr>
        <w:tab/>
      </w:r>
      <w:r>
        <w:rPr>
          <w:rFonts w:ascii="Arial" w:cs="Arial" w:eastAsia="Arial" w:hAnsi="Arial"/>
          <w:sz w:val="21"/>
          <w:szCs w:val="21"/>
          <w:color w:val="auto"/>
        </w:rPr>
        <w:t>Are there any other matters to be voted upon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69150" cy="1714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19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do not know of any matters to be voted on by shareholders at the Annual Meeting other than those included in this Proxy Statement. Your executed proxy gives the Proxy Committee authority to vote your shares in accordance with its best judgment with respect to any other matter that may properly come before the shareholders at the Annual Meeting in accordance with Rule 14a-4(c) of the SEC’s proxy rules, and the Proxy Committee intends to exercise its judgment accordingly in such circumstances.</w:t>
      </w:r>
    </w:p>
    <w:p>
      <w:pPr>
        <w:spacing w:after="0" w:line="289"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16.</w:t>
      </w:r>
      <w:r>
        <w:rPr>
          <w:sz w:val="20"/>
          <w:szCs w:val="20"/>
          <w:color w:val="auto"/>
        </w:rPr>
        <w:tab/>
      </w:r>
      <w:r>
        <w:rPr>
          <w:rFonts w:ascii="Arial" w:cs="Arial" w:eastAsia="Arial" w:hAnsi="Arial"/>
          <w:sz w:val="21"/>
          <w:szCs w:val="21"/>
          <w:color w:val="auto"/>
        </w:rPr>
        <w:t>How can I vote in person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69150" cy="1714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19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If you are a shareholder of record, you may vote your shares at the Annual Meeting by completing a ballot at the meeting. If you are a beneficial shareholder and want to vote your shares in person at the Annual Meeting, you must bring a signed legal proxy from your broker, bank, or other nominee giving you the right to vote the shares, which must be submitted with your ballot at the meeting. You will not be able to vote your shares at the meeting without a legal proxy. Accordingly, we encourage you to vote your shares in advance by telephone, Internet, or by completing and mailing the enclosed proxy card or voting instruction form, even if you plan to attend the meeting. Your vote at the Annual Meeting will supersede any prior vote by you.</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13"/>
        </w:trPr>
        <w:tc>
          <w:tcPr>
            <w:tcW w:w="4340" w:type="dxa"/>
            <w:vAlign w:val="bottom"/>
            <w:tcBorders>
              <w:bottom w:val="single" w:sz="8" w:color="08228B"/>
            </w:tcBorders>
          </w:tcPr>
          <w:p>
            <w:pPr>
              <w:spacing w:after="0"/>
              <w:rPr>
                <w:sz w:val="9"/>
                <w:szCs w:val="9"/>
                <w:color w:val="auto"/>
              </w:rPr>
            </w:pPr>
          </w:p>
        </w:tc>
        <w:tc>
          <w:tcPr>
            <w:tcW w:w="2060" w:type="dxa"/>
            <w:vAlign w:val="bottom"/>
            <w:vMerge w:val="restart"/>
          </w:tcPr>
          <w:p>
            <w:pPr>
              <w:ind w:left="60"/>
              <w:spacing w:after="0"/>
              <w:rPr>
                <w:sz w:val="20"/>
                <w:szCs w:val="20"/>
                <w:color w:val="auto"/>
              </w:rPr>
            </w:pPr>
            <w:r>
              <w:rPr>
                <w:rFonts w:ascii="Arial" w:cs="Arial" w:eastAsia="Arial" w:hAnsi="Arial"/>
                <w:sz w:val="16"/>
                <w:szCs w:val="16"/>
                <w:b w:val="1"/>
                <w:bCs w:val="1"/>
                <w:color w:val="1C90D3"/>
              </w:rPr>
              <w:t xml:space="preserve">2016 </w:t>
            </w:r>
            <w:r>
              <w:rPr>
                <w:rFonts w:ascii="Arial" w:cs="Arial" w:eastAsia="Arial" w:hAnsi="Arial"/>
                <w:sz w:val="16"/>
                <w:szCs w:val="16"/>
                <w:color w:val="08228B"/>
              </w:rPr>
              <w:t>PROXY STATEMENT</w:t>
            </w:r>
          </w:p>
        </w:tc>
        <w:tc>
          <w:tcPr>
            <w:tcW w:w="2400" w:type="dxa"/>
            <w:vAlign w:val="bottom"/>
            <w:tcBorders>
              <w:bottom w:val="single" w:sz="8" w:color="08228B"/>
            </w:tcBorders>
          </w:tcPr>
          <w:p>
            <w:pPr>
              <w:spacing w:after="0"/>
              <w:rPr>
                <w:sz w:val="9"/>
                <w:szCs w:val="9"/>
                <w:color w:val="auto"/>
              </w:rPr>
            </w:pPr>
          </w:p>
        </w:tc>
        <w:tc>
          <w:tcPr>
            <w:tcW w:w="2620" w:type="dxa"/>
            <w:vAlign w:val="bottom"/>
            <w:vMerge w:val="restart"/>
          </w:tcPr>
          <w:p>
            <w:pPr>
              <w:jc w:val="right"/>
              <w:ind w:right="39"/>
              <w:spacing w:after="0"/>
              <w:rPr>
                <w:sz w:val="20"/>
                <w:szCs w:val="20"/>
                <w:color w:val="auto"/>
              </w:rPr>
            </w:pPr>
            <w:r>
              <w:rPr>
                <w:rFonts w:ascii="Arial" w:cs="Arial" w:eastAsia="Arial" w:hAnsi="Arial"/>
                <w:sz w:val="16"/>
                <w:szCs w:val="16"/>
                <w:color w:val="08228B"/>
              </w:rPr>
              <w:t>72</w:t>
            </w:r>
          </w:p>
        </w:tc>
        <w:tc>
          <w:tcPr>
            <w:tcW w:w="0" w:type="dxa"/>
            <w:vAlign w:val="bottom"/>
          </w:tcPr>
          <w:p>
            <w:pPr>
              <w:spacing w:after="0"/>
              <w:rPr>
                <w:sz w:val="1"/>
                <w:szCs w:val="1"/>
                <w:color w:val="auto"/>
              </w:rPr>
            </w:pPr>
          </w:p>
        </w:tc>
      </w:tr>
      <w:tr>
        <w:trPr>
          <w:trHeight w:val="82"/>
        </w:trPr>
        <w:tc>
          <w:tcPr>
            <w:tcW w:w="4340" w:type="dxa"/>
            <w:vAlign w:val="bottom"/>
          </w:tcPr>
          <w:p>
            <w:pPr>
              <w:spacing w:after="0"/>
              <w:rPr>
                <w:sz w:val="7"/>
                <w:szCs w:val="7"/>
                <w:color w:val="auto"/>
              </w:rPr>
            </w:pPr>
          </w:p>
        </w:tc>
        <w:tc>
          <w:tcPr>
            <w:tcW w:w="2060" w:type="dxa"/>
            <w:vAlign w:val="bottom"/>
            <w:vMerge w:val="continue"/>
          </w:tcPr>
          <w:p>
            <w:pPr>
              <w:spacing w:after="0"/>
              <w:rPr>
                <w:sz w:val="7"/>
                <w:szCs w:val="7"/>
                <w:color w:val="auto"/>
              </w:rPr>
            </w:pPr>
          </w:p>
        </w:tc>
        <w:tc>
          <w:tcPr>
            <w:tcW w:w="2400" w:type="dxa"/>
            <w:vAlign w:val="bottom"/>
          </w:tcPr>
          <w:p>
            <w:pPr>
              <w:spacing w:after="0"/>
              <w:rPr>
                <w:sz w:val="7"/>
                <w:szCs w:val="7"/>
                <w:color w:val="auto"/>
              </w:rPr>
            </w:pPr>
          </w:p>
        </w:tc>
        <w:tc>
          <w:tcPr>
            <w:tcW w:w="2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7"/>
        </w:trPr>
        <w:tc>
          <w:tcPr>
            <w:tcW w:w="4340" w:type="dxa"/>
            <w:vAlign w:val="bottom"/>
            <w:tcBorders>
              <w:bottom w:val="single" w:sz="8" w:color="C0C0C0"/>
            </w:tcBorders>
          </w:tcPr>
          <w:p>
            <w:pPr>
              <w:spacing w:after="0"/>
              <w:rPr>
                <w:sz w:val="24"/>
                <w:szCs w:val="24"/>
                <w:color w:val="auto"/>
              </w:rPr>
            </w:pPr>
          </w:p>
        </w:tc>
        <w:tc>
          <w:tcPr>
            <w:tcW w:w="2060" w:type="dxa"/>
            <w:vAlign w:val="bottom"/>
            <w:tcBorders>
              <w:bottom w:val="single" w:sz="8" w:color="C0C0C0"/>
            </w:tcBorders>
          </w:tcPr>
          <w:p>
            <w:pPr>
              <w:spacing w:after="0"/>
              <w:rPr>
                <w:sz w:val="24"/>
                <w:szCs w:val="24"/>
                <w:color w:val="auto"/>
              </w:rPr>
            </w:pPr>
          </w:p>
        </w:tc>
        <w:tc>
          <w:tcPr>
            <w:tcW w:w="2400" w:type="dxa"/>
            <w:vAlign w:val="bottom"/>
            <w:tcBorders>
              <w:bottom w:val="single" w:sz="8" w:color="C0C0C0"/>
            </w:tcBorders>
          </w:tcPr>
          <w:p>
            <w:pPr>
              <w:spacing w:after="0"/>
              <w:rPr>
                <w:sz w:val="24"/>
                <w:szCs w:val="24"/>
                <w:color w:val="auto"/>
              </w:rPr>
            </w:pPr>
          </w:p>
        </w:tc>
        <w:tc>
          <w:tcPr>
            <w:tcW w:w="262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5613400</wp:posOffset>
            </wp:positionH>
            <wp:positionV relativeFrom="paragraph">
              <wp:posOffset>-334010</wp:posOffset>
            </wp:positionV>
            <wp:extent cx="1286510" cy="8572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1286510" cy="8572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Back to Contents</w:t>
        </w:r>
      </w:hyperlink>
    </w:p>
    <w:p>
      <w:pPr>
        <w:spacing w:after="0" w:line="188"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17.</w:t>
      </w:r>
      <w:r>
        <w:rPr>
          <w:sz w:val="20"/>
          <w:szCs w:val="20"/>
          <w:color w:val="auto"/>
        </w:rPr>
        <w:tab/>
      </w:r>
      <w:r>
        <w:rPr>
          <w:rFonts w:ascii="Arial" w:cs="Arial" w:eastAsia="Arial" w:hAnsi="Arial"/>
          <w:sz w:val="21"/>
          <w:szCs w:val="21"/>
          <w:color w:val="auto"/>
        </w:rPr>
        <w:t>What constitutes a quorum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69150" cy="1714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195"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The presence of the holders of a majority of the outstanding shares of our common stock, in person or by proxy, will constitute a quorum for transacting business at the Annual Meeting. Abstentions and broker non-votes are counted as present for purposes of establishing a quorum at the meeting.</w:t>
      </w:r>
    </w:p>
    <w:p>
      <w:pPr>
        <w:spacing w:after="0" w:line="282"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18.</w:t>
      </w:r>
      <w:r>
        <w:rPr>
          <w:sz w:val="20"/>
          <w:szCs w:val="20"/>
          <w:color w:val="auto"/>
        </w:rPr>
        <w:tab/>
      </w:r>
      <w:r>
        <w:rPr>
          <w:rFonts w:ascii="Arial" w:cs="Arial" w:eastAsia="Arial" w:hAnsi="Arial"/>
          <w:sz w:val="21"/>
          <w:szCs w:val="21"/>
          <w:color w:val="auto"/>
        </w:rPr>
        <w:t>How can I attend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69150" cy="1714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19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To attend the Annual Meeting, you must be a holder of our common stock as of the record date of April 8, 2016, and request an admission ticket in advance by following the instructions below.</w:t>
      </w:r>
    </w:p>
    <w:p>
      <w:pPr>
        <w:spacing w:after="0" w:line="16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 xml:space="preserve">If your shares are owned directly in your name in an account with Computershare, GM’s stock transfer agent, you must provide your name and address as shown on your account or voting materials with your admission ticket request. If you hold your shares in an account with a broker, bank, or other nominee, you must include proof of your stock ownership, such as a copy of the portion of your Notice or voting instruction form that shows your name and address or a letter from your broker, bank, or other nominee confirming your stock ownership as of April 8, 2016. </w:t>
      </w:r>
      <w:r>
        <w:rPr>
          <w:rFonts w:ascii="Arial" w:cs="Arial" w:eastAsia="Arial" w:hAnsi="Arial"/>
          <w:sz w:val="16"/>
          <w:szCs w:val="16"/>
          <w:b w:val="1"/>
          <w:bCs w:val="1"/>
          <w:color w:val="auto"/>
        </w:rPr>
        <w:t>The e-mail notification received with electronic delivery of</w:t>
      </w:r>
      <w:r>
        <w:rPr>
          <w:rFonts w:ascii="Arial" w:cs="Arial" w:eastAsia="Arial" w:hAnsi="Arial"/>
          <w:sz w:val="16"/>
          <w:szCs w:val="16"/>
          <w:color w:val="auto"/>
        </w:rPr>
        <w:t xml:space="preserve"> </w:t>
      </w:r>
      <w:r>
        <w:rPr>
          <w:rFonts w:ascii="Arial" w:cs="Arial" w:eastAsia="Arial" w:hAnsi="Arial"/>
          <w:sz w:val="16"/>
          <w:szCs w:val="16"/>
          <w:b w:val="1"/>
          <w:bCs w:val="1"/>
          <w:color w:val="auto"/>
        </w:rPr>
        <w:t>proxy materials is not sufficient proof of stock ownership.</w:t>
      </w:r>
    </w:p>
    <w:p>
      <w:pPr>
        <w:spacing w:after="0" w:line="17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Please send your Annual Meeting admission ticket request and proof of stock ownership as described above to GM Stockholder Services by one of the following methods:</w:t>
      </w:r>
    </w:p>
    <w:p>
      <w:pPr>
        <w:spacing w:after="0" w:line="169" w:lineRule="exact"/>
        <w:rPr>
          <w:sz w:val="20"/>
          <w:szCs w:val="20"/>
          <w:color w:val="auto"/>
        </w:rPr>
      </w:pPr>
    </w:p>
    <w:p>
      <w:pPr>
        <w:ind w:left="180" w:hanging="172"/>
        <w:spacing w:after="0"/>
        <w:tabs>
          <w:tab w:leader="none" w:pos="180" w:val="left"/>
        </w:tabs>
        <w:numPr>
          <w:ilvl w:val="0"/>
          <w:numId w:val="129"/>
        </w:numPr>
        <w:rPr>
          <w:rFonts w:ascii="Arial" w:cs="Arial" w:eastAsia="Arial" w:hAnsi="Arial"/>
          <w:sz w:val="16"/>
          <w:szCs w:val="16"/>
          <w:color w:val="08228B"/>
        </w:rPr>
      </w:pPr>
      <w:r>
        <w:rPr>
          <w:rFonts w:ascii="Arial" w:cs="Arial" w:eastAsia="Arial" w:hAnsi="Arial"/>
          <w:sz w:val="16"/>
          <w:szCs w:val="16"/>
          <w:color w:val="auto"/>
        </w:rPr>
        <w:t>Email: stockholder.services@gm.com;</w:t>
      </w:r>
    </w:p>
    <w:p>
      <w:pPr>
        <w:spacing w:after="0" w:line="194" w:lineRule="exact"/>
        <w:rPr>
          <w:rFonts w:ascii="Arial" w:cs="Arial" w:eastAsia="Arial" w:hAnsi="Arial"/>
          <w:sz w:val="16"/>
          <w:szCs w:val="16"/>
          <w:color w:val="08228B"/>
        </w:rPr>
      </w:pPr>
    </w:p>
    <w:p>
      <w:pPr>
        <w:ind w:left="180" w:hanging="172"/>
        <w:spacing w:after="0"/>
        <w:tabs>
          <w:tab w:leader="none" w:pos="180" w:val="left"/>
        </w:tabs>
        <w:numPr>
          <w:ilvl w:val="0"/>
          <w:numId w:val="129"/>
        </w:numPr>
        <w:rPr>
          <w:rFonts w:ascii="Arial" w:cs="Arial" w:eastAsia="Arial" w:hAnsi="Arial"/>
          <w:sz w:val="16"/>
          <w:szCs w:val="16"/>
          <w:color w:val="08228B"/>
        </w:rPr>
      </w:pPr>
      <w:r>
        <w:rPr>
          <w:rFonts w:ascii="Arial" w:cs="Arial" w:eastAsia="Arial" w:hAnsi="Arial"/>
          <w:sz w:val="16"/>
          <w:szCs w:val="16"/>
          <w:color w:val="auto"/>
        </w:rPr>
        <w:t>Fax: 313-667-1426; or</w:t>
      </w:r>
    </w:p>
    <w:p>
      <w:pPr>
        <w:spacing w:after="0" w:line="194" w:lineRule="exact"/>
        <w:rPr>
          <w:rFonts w:ascii="Arial" w:cs="Arial" w:eastAsia="Arial" w:hAnsi="Arial"/>
          <w:sz w:val="16"/>
          <w:szCs w:val="16"/>
          <w:color w:val="08228B"/>
        </w:rPr>
      </w:pPr>
    </w:p>
    <w:p>
      <w:pPr>
        <w:ind w:left="180" w:right="7140" w:hanging="172"/>
        <w:spacing w:after="0" w:line="246" w:lineRule="auto"/>
        <w:tabs>
          <w:tab w:leader="none" w:pos="180" w:val="left"/>
        </w:tabs>
        <w:numPr>
          <w:ilvl w:val="0"/>
          <w:numId w:val="129"/>
        </w:numPr>
        <w:rPr>
          <w:rFonts w:ascii="Arial" w:cs="Arial" w:eastAsia="Arial" w:hAnsi="Arial"/>
          <w:sz w:val="16"/>
          <w:szCs w:val="16"/>
          <w:color w:val="08228B"/>
        </w:rPr>
      </w:pPr>
      <w:r>
        <w:rPr>
          <w:rFonts w:ascii="Arial" w:cs="Arial" w:eastAsia="Arial" w:hAnsi="Arial"/>
          <w:sz w:val="16"/>
          <w:szCs w:val="16"/>
          <w:color w:val="auto"/>
        </w:rPr>
        <w:t>Mail: GM Stockholder Services, Mail Code 482-C23-D24, 300 Renaissance Center</w:t>
      </w:r>
    </w:p>
    <w:p>
      <w:pPr>
        <w:ind w:left="180"/>
        <w:spacing w:after="0"/>
        <w:rPr>
          <w:rFonts w:ascii="Arial" w:cs="Arial" w:eastAsia="Arial" w:hAnsi="Arial"/>
          <w:sz w:val="16"/>
          <w:szCs w:val="16"/>
          <w:color w:val="08228B"/>
        </w:rPr>
      </w:pPr>
      <w:r>
        <w:rPr>
          <w:rFonts w:ascii="Arial" w:cs="Arial" w:eastAsia="Arial" w:hAnsi="Arial"/>
          <w:sz w:val="16"/>
          <w:szCs w:val="16"/>
          <w:color w:val="auto"/>
        </w:rPr>
        <w:t>Detroit, Michigan 48265.</w:t>
      </w:r>
    </w:p>
    <w:p>
      <w:pPr>
        <w:spacing w:after="0" w:line="19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Because our space is limited, you may bring only one guest to the meeting. If you plan to bring a guest, you will need to provide the name of your guest when making your ticket request. Ticket requests will be processed in the order in which they are received and must be received no later than June 1, 2016. Please include your e-mail address or telephone number in your fax or mail communication in case we need to contact you regarding your ticket request. You will receive your admission ticket(s) by mail. On the day of the meeting, each shareholder must accompany their guest at the meeting entrance. Shareholders and accompanying guests must each have an admission ticket to enter the meeting. Both admission tickets will be issued in the shareholder’s name. Along with the admission ticket, each shareholder and accompanying guest will be required to present a form of government-issued photo identification, such as a driver’s license or passport. The admission ticket is not transferable.</w:t>
      </w:r>
    </w:p>
    <w:p>
      <w:pPr>
        <w:spacing w:after="0" w:line="18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Large bags, backpacks and packages, suitcases, briefcases, personal communication devices (e.g., cell phones, smartphones, and tablets), cameras, recording equipment, and other electronic devices will not be permitted in the meeting, and attendees will be subject to a security inspection.</w:t>
      </w:r>
    </w:p>
    <w:p>
      <w:pPr>
        <w:spacing w:after="0" w:line="282"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19.</w:t>
      </w:r>
      <w:r>
        <w:rPr>
          <w:sz w:val="20"/>
          <w:szCs w:val="20"/>
          <w:color w:val="auto"/>
        </w:rPr>
        <w:tab/>
      </w:r>
      <w:r>
        <w:rPr>
          <w:rFonts w:ascii="Arial" w:cs="Arial" w:eastAsia="Arial" w:hAnsi="Arial"/>
          <w:sz w:val="21"/>
          <w:szCs w:val="21"/>
          <w:color w:val="auto"/>
        </w:rPr>
        <w:t>Will there be a webcast of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69150" cy="1714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19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 xml:space="preserve">Yes. There will be an audio webcast of our Annual Meeting on Tuesday, June 7, 2016, at 9:30 a.m. Eastern Time and it may be accessed at </w:t>
      </w:r>
      <w:r>
        <w:rPr>
          <w:rFonts w:ascii="Arial" w:cs="Arial" w:eastAsia="Arial" w:hAnsi="Arial"/>
          <w:sz w:val="16"/>
          <w:szCs w:val="16"/>
          <w:i w:val="1"/>
          <w:iCs w:val="1"/>
          <w:color w:val="auto"/>
        </w:rPr>
        <w:t xml:space="preserve">www.gm.com/gmannualmeeting. </w:t>
      </w:r>
      <w:r>
        <w:rPr>
          <w:rFonts w:ascii="Arial" w:cs="Arial" w:eastAsia="Arial" w:hAnsi="Arial"/>
          <w:sz w:val="16"/>
          <w:szCs w:val="16"/>
          <w:color w:val="auto"/>
        </w:rPr>
        <w:t>Listening to our Annual Meeting audio webcast will not constitute attendance at the meeting, and you will not be able to cast a</w:t>
      </w:r>
      <w:r>
        <w:rPr>
          <w:rFonts w:ascii="Arial" w:cs="Arial" w:eastAsia="Arial" w:hAnsi="Arial"/>
          <w:sz w:val="16"/>
          <w:szCs w:val="16"/>
          <w:i w:val="1"/>
          <w:iCs w:val="1"/>
          <w:color w:val="auto"/>
        </w:rPr>
        <w:t xml:space="preserve"> </w:t>
      </w:r>
      <w:r>
        <w:rPr>
          <w:rFonts w:ascii="Arial" w:cs="Arial" w:eastAsia="Arial" w:hAnsi="Arial"/>
          <w:sz w:val="16"/>
          <w:szCs w:val="16"/>
          <w:color w:val="auto"/>
        </w:rPr>
        <w:t>vote as a listener to the live audio webcast. For specific instructions on how to vote your shares, please see, “</w:t>
      </w:r>
      <w:r>
        <w:rPr>
          <w:rFonts w:ascii="Arial" w:cs="Arial" w:eastAsia="Arial" w:hAnsi="Arial"/>
          <w:sz w:val="16"/>
          <w:szCs w:val="16"/>
          <w:i w:val="1"/>
          <w:iCs w:val="1"/>
          <w:color w:val="auto"/>
        </w:rPr>
        <w:t>How do I vote without attending the Annual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Meeting?” </w:t>
      </w:r>
      <w:r>
        <w:rPr>
          <w:rFonts w:ascii="Arial" w:cs="Arial" w:eastAsia="Arial" w:hAnsi="Arial"/>
          <w:sz w:val="16"/>
          <w:szCs w:val="16"/>
          <w:color w:val="auto"/>
        </w:rPr>
        <w:t>on page 69.</w:t>
      </w:r>
    </w:p>
    <w:p>
      <w:pPr>
        <w:spacing w:after="0" w:line="289"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20.</w:t>
      </w:r>
      <w:r>
        <w:rPr>
          <w:sz w:val="20"/>
          <w:szCs w:val="20"/>
          <w:color w:val="auto"/>
        </w:rPr>
        <w:tab/>
      </w:r>
      <w:r>
        <w:rPr>
          <w:rFonts w:ascii="Arial" w:cs="Arial" w:eastAsia="Arial" w:hAnsi="Arial"/>
          <w:sz w:val="21"/>
          <w:szCs w:val="21"/>
          <w:color w:val="auto"/>
        </w:rPr>
        <w:t>How can I review a list of shareholders entitled to vote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69150" cy="1714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19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 list of shareholders of record entitled to vote at the Annual Meeting will be available for examination for a purpose that is germane to the meeting at General Motors Global Headquarters, 300 Renaissance Center, Detroit, Michigan, 48265, for 10 business days before the Annual Meeting between 9:00 a.m. and 5:00 p.m. Eastern Time, and also during the Annual Meeting.</w:t>
      </w:r>
    </w:p>
    <w:p>
      <w:pPr>
        <w:spacing w:after="0" w:line="288"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21"/>
          <w:szCs w:val="21"/>
          <w:color w:val="auto"/>
        </w:rPr>
        <w:t>When will the Annual Meeting voting results be announced?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69150" cy="1714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We will provide final voting results on our website and in a Form 8-K filed with the SEC.</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13"/>
        </w:trPr>
        <w:tc>
          <w:tcPr>
            <w:tcW w:w="4340" w:type="dxa"/>
            <w:vAlign w:val="bottom"/>
            <w:tcBorders>
              <w:bottom w:val="single" w:sz="8" w:color="08228B"/>
            </w:tcBorders>
          </w:tcPr>
          <w:p>
            <w:pPr>
              <w:spacing w:after="0"/>
              <w:rPr>
                <w:sz w:val="9"/>
                <w:szCs w:val="9"/>
                <w:color w:val="auto"/>
              </w:rPr>
            </w:pPr>
          </w:p>
        </w:tc>
        <w:tc>
          <w:tcPr>
            <w:tcW w:w="2060" w:type="dxa"/>
            <w:vAlign w:val="bottom"/>
            <w:vMerge w:val="restart"/>
          </w:tcPr>
          <w:p>
            <w:pPr>
              <w:ind w:left="60"/>
              <w:spacing w:after="0"/>
              <w:rPr>
                <w:sz w:val="20"/>
                <w:szCs w:val="20"/>
                <w:color w:val="auto"/>
              </w:rPr>
            </w:pPr>
            <w:r>
              <w:rPr>
                <w:rFonts w:ascii="Arial" w:cs="Arial" w:eastAsia="Arial" w:hAnsi="Arial"/>
                <w:sz w:val="16"/>
                <w:szCs w:val="16"/>
                <w:b w:val="1"/>
                <w:bCs w:val="1"/>
                <w:color w:val="1C90D3"/>
              </w:rPr>
              <w:t xml:space="preserve">2016 </w:t>
            </w:r>
            <w:r>
              <w:rPr>
                <w:rFonts w:ascii="Arial" w:cs="Arial" w:eastAsia="Arial" w:hAnsi="Arial"/>
                <w:sz w:val="16"/>
                <w:szCs w:val="16"/>
                <w:color w:val="08228B"/>
              </w:rPr>
              <w:t>PROXY STATEMENT</w:t>
            </w:r>
          </w:p>
        </w:tc>
        <w:tc>
          <w:tcPr>
            <w:tcW w:w="2400" w:type="dxa"/>
            <w:vAlign w:val="bottom"/>
            <w:tcBorders>
              <w:bottom w:val="single" w:sz="8" w:color="08228B"/>
            </w:tcBorders>
          </w:tcPr>
          <w:p>
            <w:pPr>
              <w:spacing w:after="0"/>
              <w:rPr>
                <w:sz w:val="9"/>
                <w:szCs w:val="9"/>
                <w:color w:val="auto"/>
              </w:rPr>
            </w:pPr>
          </w:p>
        </w:tc>
        <w:tc>
          <w:tcPr>
            <w:tcW w:w="2620" w:type="dxa"/>
            <w:vAlign w:val="bottom"/>
            <w:vMerge w:val="restart"/>
          </w:tcPr>
          <w:p>
            <w:pPr>
              <w:jc w:val="right"/>
              <w:ind w:right="39"/>
              <w:spacing w:after="0"/>
              <w:rPr>
                <w:sz w:val="20"/>
                <w:szCs w:val="20"/>
                <w:color w:val="auto"/>
              </w:rPr>
            </w:pPr>
            <w:r>
              <w:rPr>
                <w:rFonts w:ascii="Arial" w:cs="Arial" w:eastAsia="Arial" w:hAnsi="Arial"/>
                <w:sz w:val="16"/>
                <w:szCs w:val="16"/>
                <w:color w:val="08228B"/>
              </w:rPr>
              <w:t>73</w:t>
            </w:r>
          </w:p>
        </w:tc>
        <w:tc>
          <w:tcPr>
            <w:tcW w:w="0" w:type="dxa"/>
            <w:vAlign w:val="bottom"/>
          </w:tcPr>
          <w:p>
            <w:pPr>
              <w:spacing w:after="0"/>
              <w:rPr>
                <w:sz w:val="1"/>
                <w:szCs w:val="1"/>
                <w:color w:val="auto"/>
              </w:rPr>
            </w:pPr>
          </w:p>
        </w:tc>
      </w:tr>
      <w:tr>
        <w:trPr>
          <w:trHeight w:val="82"/>
        </w:trPr>
        <w:tc>
          <w:tcPr>
            <w:tcW w:w="4340" w:type="dxa"/>
            <w:vAlign w:val="bottom"/>
          </w:tcPr>
          <w:p>
            <w:pPr>
              <w:spacing w:after="0"/>
              <w:rPr>
                <w:sz w:val="7"/>
                <w:szCs w:val="7"/>
                <w:color w:val="auto"/>
              </w:rPr>
            </w:pPr>
          </w:p>
        </w:tc>
        <w:tc>
          <w:tcPr>
            <w:tcW w:w="2060" w:type="dxa"/>
            <w:vAlign w:val="bottom"/>
            <w:vMerge w:val="continue"/>
          </w:tcPr>
          <w:p>
            <w:pPr>
              <w:spacing w:after="0"/>
              <w:rPr>
                <w:sz w:val="7"/>
                <w:szCs w:val="7"/>
                <w:color w:val="auto"/>
              </w:rPr>
            </w:pPr>
          </w:p>
        </w:tc>
        <w:tc>
          <w:tcPr>
            <w:tcW w:w="2400" w:type="dxa"/>
            <w:vAlign w:val="bottom"/>
          </w:tcPr>
          <w:p>
            <w:pPr>
              <w:spacing w:after="0"/>
              <w:rPr>
                <w:sz w:val="7"/>
                <w:szCs w:val="7"/>
                <w:color w:val="auto"/>
              </w:rPr>
            </w:pPr>
          </w:p>
        </w:tc>
        <w:tc>
          <w:tcPr>
            <w:tcW w:w="2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7"/>
        </w:trPr>
        <w:tc>
          <w:tcPr>
            <w:tcW w:w="4340" w:type="dxa"/>
            <w:vAlign w:val="bottom"/>
            <w:tcBorders>
              <w:bottom w:val="single" w:sz="8" w:color="C0C0C0"/>
            </w:tcBorders>
          </w:tcPr>
          <w:p>
            <w:pPr>
              <w:spacing w:after="0"/>
              <w:rPr>
                <w:sz w:val="24"/>
                <w:szCs w:val="24"/>
                <w:color w:val="auto"/>
              </w:rPr>
            </w:pPr>
          </w:p>
        </w:tc>
        <w:tc>
          <w:tcPr>
            <w:tcW w:w="2060" w:type="dxa"/>
            <w:vAlign w:val="bottom"/>
            <w:tcBorders>
              <w:bottom w:val="single" w:sz="8" w:color="C0C0C0"/>
            </w:tcBorders>
          </w:tcPr>
          <w:p>
            <w:pPr>
              <w:spacing w:after="0"/>
              <w:rPr>
                <w:sz w:val="24"/>
                <w:szCs w:val="24"/>
                <w:color w:val="auto"/>
              </w:rPr>
            </w:pPr>
          </w:p>
        </w:tc>
        <w:tc>
          <w:tcPr>
            <w:tcW w:w="2400" w:type="dxa"/>
            <w:vAlign w:val="bottom"/>
            <w:tcBorders>
              <w:bottom w:val="single" w:sz="8" w:color="C0C0C0"/>
            </w:tcBorders>
          </w:tcPr>
          <w:p>
            <w:pPr>
              <w:spacing w:after="0"/>
              <w:rPr>
                <w:sz w:val="24"/>
                <w:szCs w:val="24"/>
                <w:color w:val="auto"/>
              </w:rPr>
            </w:pPr>
          </w:p>
        </w:tc>
        <w:tc>
          <w:tcPr>
            <w:tcW w:w="262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5613400</wp:posOffset>
            </wp:positionH>
            <wp:positionV relativeFrom="paragraph">
              <wp:posOffset>-334010</wp:posOffset>
            </wp:positionV>
            <wp:extent cx="1286510" cy="8572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1286510" cy="8572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Back to Contents</w:t>
        </w:r>
      </w:hyperlink>
    </w:p>
    <w:p>
      <w:pPr>
        <w:spacing w:after="0" w:line="196" w:lineRule="exact"/>
        <w:rPr>
          <w:sz w:val="20"/>
          <w:szCs w:val="20"/>
          <w:color w:val="auto"/>
        </w:rPr>
      </w:pPr>
    </w:p>
    <w:p>
      <w:pPr>
        <w:ind w:left="500" w:hanging="492"/>
        <w:spacing w:after="0"/>
        <w:tabs>
          <w:tab w:leader="none" w:pos="500" w:val="left"/>
        </w:tabs>
        <w:numPr>
          <w:ilvl w:val="0"/>
          <w:numId w:val="130"/>
        </w:numPr>
        <w:rPr>
          <w:rFonts w:ascii="Arial" w:cs="Arial" w:eastAsia="Arial" w:hAnsi="Arial"/>
          <w:sz w:val="25"/>
          <w:szCs w:val="25"/>
          <w:color w:val="08228B"/>
        </w:rPr>
      </w:pPr>
      <w:r>
        <w:rPr>
          <w:rFonts w:ascii="Arial" w:cs="Arial" w:eastAsia="Arial" w:hAnsi="Arial"/>
          <w:sz w:val="25"/>
          <w:szCs w:val="25"/>
          <w:color w:val="auto"/>
        </w:rPr>
        <w:t>Shareholder Proposals and Company Information</w:t>
      </w:r>
    </w:p>
    <w:p>
      <w:pPr>
        <w:spacing w:after="0" w:line="312"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21"/>
          <w:szCs w:val="21"/>
          <w:color w:val="auto"/>
        </w:rPr>
        <w:t>What proposals for business may be submitted for consideration at the 2017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69150" cy="1714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Arial" w:cs="Arial" w:eastAsia="Arial" w:hAnsi="Arial"/>
          <w:sz w:val="22"/>
          <w:szCs w:val="22"/>
          <w:b w:val="1"/>
          <w:bCs w:val="1"/>
          <w:color w:val="1C90D3"/>
        </w:rPr>
        <w:t>Rule 14a-8 Proposals for Inclusion in Next Year’s Proxy Statement</w:t>
      </w:r>
    </w:p>
    <w:p>
      <w:pPr>
        <w:spacing w:after="0" w:line="214"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SEC rules and our Bylaws permit shareholders to submit proposals for inclusion in our Proxy Statement if the shareholder and the proposal meet the requirements specified in SEC Rule 14a-8.</w:t>
      </w:r>
    </w:p>
    <w:p>
      <w:pPr>
        <w:spacing w:after="0" w:line="149" w:lineRule="exact"/>
        <w:rPr>
          <w:sz w:val="20"/>
          <w:szCs w:val="20"/>
          <w:color w:val="auto"/>
        </w:rPr>
      </w:pPr>
    </w:p>
    <w:p>
      <w:pPr>
        <w:ind w:left="180" w:right="140" w:hanging="172"/>
        <w:spacing w:after="0" w:line="286" w:lineRule="auto"/>
        <w:tabs>
          <w:tab w:leader="none" w:pos="180" w:val="left"/>
        </w:tabs>
        <w:numPr>
          <w:ilvl w:val="0"/>
          <w:numId w:val="131"/>
        </w:numPr>
        <w:rPr>
          <w:rFonts w:ascii="Arial" w:cs="Arial" w:eastAsia="Arial" w:hAnsi="Arial"/>
          <w:sz w:val="16"/>
          <w:szCs w:val="16"/>
          <w:color w:val="auto"/>
        </w:rPr>
      </w:pPr>
      <w:r>
        <w:rPr>
          <w:rFonts w:ascii="Arial" w:cs="Arial" w:eastAsia="Arial" w:hAnsi="Arial"/>
          <w:sz w:val="16"/>
          <w:szCs w:val="16"/>
          <w:b w:val="1"/>
          <w:bCs w:val="1"/>
          <w:color w:val="auto"/>
        </w:rPr>
        <w:t xml:space="preserve">When to send these proposals. </w:t>
      </w:r>
      <w:r>
        <w:rPr>
          <w:rFonts w:ascii="Arial" w:cs="Arial" w:eastAsia="Arial" w:hAnsi="Arial"/>
          <w:sz w:val="16"/>
          <w:szCs w:val="16"/>
          <w:color w:val="auto"/>
        </w:rPr>
        <w:t>Any shareholder proposals submitted in accordance with SEC Rule 14a-8 must be received at our principal executive</w:t>
      </w:r>
      <w:r>
        <w:rPr>
          <w:rFonts w:ascii="Arial" w:cs="Arial" w:eastAsia="Arial" w:hAnsi="Arial"/>
          <w:sz w:val="16"/>
          <w:szCs w:val="16"/>
          <w:b w:val="1"/>
          <w:bCs w:val="1"/>
          <w:color w:val="auto"/>
        </w:rPr>
        <w:t xml:space="preserve"> </w:t>
      </w:r>
      <w:r>
        <w:rPr>
          <w:rFonts w:ascii="Arial" w:cs="Arial" w:eastAsia="Arial" w:hAnsi="Arial"/>
          <w:sz w:val="16"/>
          <w:szCs w:val="16"/>
          <w:color w:val="auto"/>
        </w:rPr>
        <w:t>offices no later than the close of business on December 23, 2016.</w:t>
      </w:r>
    </w:p>
    <w:p>
      <w:pPr>
        <w:spacing w:after="0" w:line="128" w:lineRule="exact"/>
        <w:rPr>
          <w:rFonts w:ascii="Arial" w:cs="Arial" w:eastAsia="Arial" w:hAnsi="Arial"/>
          <w:sz w:val="16"/>
          <w:szCs w:val="16"/>
          <w:color w:val="auto"/>
        </w:rPr>
      </w:pPr>
    </w:p>
    <w:p>
      <w:pPr>
        <w:ind w:left="180" w:right="140" w:hanging="172"/>
        <w:spacing w:after="0" w:line="286" w:lineRule="auto"/>
        <w:tabs>
          <w:tab w:leader="none" w:pos="180" w:val="left"/>
        </w:tabs>
        <w:numPr>
          <w:ilvl w:val="0"/>
          <w:numId w:val="131"/>
        </w:numPr>
        <w:rPr>
          <w:rFonts w:ascii="Arial" w:cs="Arial" w:eastAsia="Arial" w:hAnsi="Arial"/>
          <w:sz w:val="16"/>
          <w:szCs w:val="16"/>
          <w:color w:val="auto"/>
        </w:rPr>
      </w:pPr>
      <w:r>
        <w:rPr>
          <w:rFonts w:ascii="Arial" w:cs="Arial" w:eastAsia="Arial" w:hAnsi="Arial"/>
          <w:sz w:val="16"/>
          <w:szCs w:val="16"/>
          <w:b w:val="1"/>
          <w:bCs w:val="1"/>
          <w:color w:val="auto"/>
        </w:rPr>
        <w:t xml:space="preserve">Where to send these proposals. </w:t>
      </w:r>
      <w:r>
        <w:rPr>
          <w:rFonts w:ascii="Arial" w:cs="Arial" w:eastAsia="Arial" w:hAnsi="Arial"/>
          <w:sz w:val="16"/>
          <w:szCs w:val="16"/>
          <w:color w:val="auto"/>
        </w:rPr>
        <w:t>Proposals should be sent by mail to Jill E. Sutton, Corporate Secretary and Deputy General Counsel, General Motors</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Mail Code 482-C25-D24, 300 Renaissance Center, Detroit, Michigan 48265, or by e-mail to stockholder.services@gm.com.</w:t>
      </w:r>
    </w:p>
    <w:p>
      <w:pPr>
        <w:spacing w:after="0" w:line="128" w:lineRule="exact"/>
        <w:rPr>
          <w:rFonts w:ascii="Arial" w:cs="Arial" w:eastAsia="Arial" w:hAnsi="Arial"/>
          <w:sz w:val="16"/>
          <w:szCs w:val="16"/>
          <w:color w:val="auto"/>
        </w:rPr>
      </w:pPr>
    </w:p>
    <w:p>
      <w:pPr>
        <w:ind w:left="180" w:hanging="172"/>
        <w:spacing w:after="0"/>
        <w:tabs>
          <w:tab w:leader="none" w:pos="180" w:val="left"/>
        </w:tabs>
        <w:numPr>
          <w:ilvl w:val="0"/>
          <w:numId w:val="131"/>
        </w:numPr>
        <w:rPr>
          <w:rFonts w:ascii="Arial" w:cs="Arial" w:eastAsia="Arial" w:hAnsi="Arial"/>
          <w:sz w:val="16"/>
          <w:szCs w:val="16"/>
          <w:color w:val="auto"/>
        </w:rPr>
      </w:pPr>
      <w:r>
        <w:rPr>
          <w:rFonts w:ascii="Arial" w:cs="Arial" w:eastAsia="Arial" w:hAnsi="Arial"/>
          <w:sz w:val="16"/>
          <w:szCs w:val="16"/>
          <w:b w:val="1"/>
          <w:bCs w:val="1"/>
          <w:color w:val="auto"/>
        </w:rPr>
        <w:t xml:space="preserve">What to include. </w:t>
      </w:r>
      <w:r>
        <w:rPr>
          <w:rFonts w:ascii="Arial" w:cs="Arial" w:eastAsia="Arial" w:hAnsi="Arial"/>
          <w:sz w:val="16"/>
          <w:szCs w:val="16"/>
          <w:color w:val="auto"/>
        </w:rPr>
        <w:t>Proposals must conform to and include the information required by SEC Rule 14a-8.</w:t>
      </w:r>
    </w:p>
    <w:p>
      <w:pPr>
        <w:spacing w:after="0" w:line="301" w:lineRule="exact"/>
        <w:rPr>
          <w:sz w:val="20"/>
          <w:szCs w:val="20"/>
          <w:color w:val="auto"/>
        </w:rPr>
      </w:pPr>
    </w:p>
    <w:p>
      <w:pPr>
        <w:spacing w:after="0"/>
        <w:rPr>
          <w:sz w:val="20"/>
          <w:szCs w:val="20"/>
          <w:color w:val="auto"/>
        </w:rPr>
      </w:pPr>
      <w:r>
        <w:rPr>
          <w:rFonts w:ascii="Arial" w:cs="Arial" w:eastAsia="Arial" w:hAnsi="Arial"/>
          <w:sz w:val="22"/>
          <w:szCs w:val="22"/>
          <w:b w:val="1"/>
          <w:bCs w:val="1"/>
          <w:color w:val="1C90D3"/>
        </w:rPr>
        <w:t>Director Nominees for Inclusion in Next Year’s Proxy Statement (Proxy Access)</w:t>
      </w:r>
    </w:p>
    <w:p>
      <w:pPr>
        <w:spacing w:after="0" w:line="21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recently amended our Bylaws to permit a shareholder or group of shareholders (up to 20) who have owned a significant amount of common stock (at least 3 percent) for a significant amount of time (at least three years) to submit director nominees (up to 20 percent of the Board or two directors, whichever is greater) for inclusion in our Proxy Statement if the shareholder(s) and the nominee(s) satisfy the requirements specified in our Bylaws.</w:t>
      </w:r>
    </w:p>
    <w:p>
      <w:pPr>
        <w:spacing w:after="0" w:line="154" w:lineRule="exact"/>
        <w:rPr>
          <w:sz w:val="20"/>
          <w:szCs w:val="20"/>
          <w:color w:val="auto"/>
        </w:rPr>
      </w:pPr>
    </w:p>
    <w:p>
      <w:pPr>
        <w:ind w:left="180" w:right="120" w:hanging="172"/>
        <w:spacing w:after="0" w:line="286" w:lineRule="auto"/>
        <w:tabs>
          <w:tab w:leader="none" w:pos="180" w:val="left"/>
        </w:tabs>
        <w:numPr>
          <w:ilvl w:val="0"/>
          <w:numId w:val="132"/>
        </w:numPr>
        <w:rPr>
          <w:rFonts w:ascii="Arial" w:cs="Arial" w:eastAsia="Arial" w:hAnsi="Arial"/>
          <w:sz w:val="16"/>
          <w:szCs w:val="16"/>
          <w:color w:val="08228B"/>
        </w:rPr>
      </w:pPr>
      <w:r>
        <w:rPr>
          <w:rFonts w:ascii="Arial" w:cs="Arial" w:eastAsia="Arial" w:hAnsi="Arial"/>
          <w:sz w:val="16"/>
          <w:szCs w:val="16"/>
          <w:b w:val="1"/>
          <w:bCs w:val="1"/>
          <w:color w:val="auto"/>
        </w:rPr>
        <w:t xml:space="preserve">When to send these proposals. </w:t>
      </w:r>
      <w:r>
        <w:rPr>
          <w:rFonts w:ascii="Arial" w:cs="Arial" w:eastAsia="Arial" w:hAnsi="Arial"/>
          <w:sz w:val="16"/>
          <w:szCs w:val="16"/>
          <w:color w:val="auto"/>
        </w:rPr>
        <w:t>Notice of director nominees submitted under these Bylaw provisions must be received no earlier than December 9, 2016,</w:t>
      </w:r>
      <w:r>
        <w:rPr>
          <w:rFonts w:ascii="Arial" w:cs="Arial" w:eastAsia="Arial" w:hAnsi="Arial"/>
          <w:sz w:val="16"/>
          <w:szCs w:val="16"/>
          <w:b w:val="1"/>
          <w:bCs w:val="1"/>
          <w:color w:val="auto"/>
        </w:rPr>
        <w:t xml:space="preserve"> </w:t>
      </w:r>
      <w:r>
        <w:rPr>
          <w:rFonts w:ascii="Arial" w:cs="Arial" w:eastAsia="Arial" w:hAnsi="Arial"/>
          <w:sz w:val="16"/>
          <w:szCs w:val="16"/>
          <w:color w:val="auto"/>
        </w:rPr>
        <w:t>and no later than the close of business on February 7, 2017.</w:t>
      </w:r>
    </w:p>
    <w:p>
      <w:pPr>
        <w:spacing w:after="0" w:line="128" w:lineRule="exact"/>
        <w:rPr>
          <w:rFonts w:ascii="Arial" w:cs="Arial" w:eastAsia="Arial" w:hAnsi="Arial"/>
          <w:sz w:val="16"/>
          <w:szCs w:val="16"/>
          <w:color w:val="08228B"/>
        </w:rPr>
      </w:pPr>
    </w:p>
    <w:p>
      <w:pPr>
        <w:ind w:left="180" w:right="120" w:hanging="172"/>
        <w:spacing w:after="0" w:line="286" w:lineRule="auto"/>
        <w:tabs>
          <w:tab w:leader="none" w:pos="180" w:val="left"/>
        </w:tabs>
        <w:numPr>
          <w:ilvl w:val="0"/>
          <w:numId w:val="132"/>
        </w:numPr>
        <w:rPr>
          <w:rFonts w:ascii="Arial" w:cs="Arial" w:eastAsia="Arial" w:hAnsi="Arial"/>
          <w:sz w:val="16"/>
          <w:szCs w:val="16"/>
          <w:color w:val="08228B"/>
        </w:rPr>
      </w:pPr>
      <w:r>
        <w:rPr>
          <w:rFonts w:ascii="Arial" w:cs="Arial" w:eastAsia="Arial" w:hAnsi="Arial"/>
          <w:sz w:val="16"/>
          <w:szCs w:val="16"/>
          <w:b w:val="1"/>
          <w:bCs w:val="1"/>
          <w:color w:val="auto"/>
        </w:rPr>
        <w:t xml:space="preserve">Where to send these proposals. </w:t>
      </w:r>
      <w:r>
        <w:rPr>
          <w:rFonts w:ascii="Arial" w:cs="Arial" w:eastAsia="Arial" w:hAnsi="Arial"/>
          <w:sz w:val="16"/>
          <w:szCs w:val="16"/>
          <w:color w:val="auto"/>
        </w:rPr>
        <w:t>Notice should be sent by mail to Jill E. Sutton, Corporate Secretary and Deputy General Counsel, General Motors</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Mail Code 482-C25-D24, 300 Renaissance Center, Detroit, Michigan 48265, or by e-mail to stockholder.services@gm.com.</w:t>
      </w:r>
    </w:p>
    <w:p>
      <w:pPr>
        <w:spacing w:after="0" w:line="128" w:lineRule="exact"/>
        <w:rPr>
          <w:rFonts w:ascii="Arial" w:cs="Arial" w:eastAsia="Arial" w:hAnsi="Arial"/>
          <w:sz w:val="16"/>
          <w:szCs w:val="16"/>
          <w:color w:val="08228B"/>
        </w:rPr>
      </w:pPr>
    </w:p>
    <w:p>
      <w:pPr>
        <w:ind w:left="180" w:right="120" w:hanging="172"/>
        <w:spacing w:after="0" w:line="286" w:lineRule="auto"/>
        <w:tabs>
          <w:tab w:leader="none" w:pos="180" w:val="left"/>
        </w:tabs>
        <w:numPr>
          <w:ilvl w:val="0"/>
          <w:numId w:val="132"/>
        </w:numPr>
        <w:rPr>
          <w:rFonts w:ascii="Arial" w:cs="Arial" w:eastAsia="Arial" w:hAnsi="Arial"/>
          <w:sz w:val="16"/>
          <w:szCs w:val="16"/>
          <w:color w:val="08228B"/>
        </w:rPr>
      </w:pPr>
      <w:r>
        <w:rPr>
          <w:rFonts w:ascii="Arial" w:cs="Arial" w:eastAsia="Arial" w:hAnsi="Arial"/>
          <w:sz w:val="16"/>
          <w:szCs w:val="16"/>
          <w:b w:val="1"/>
          <w:bCs w:val="1"/>
          <w:color w:val="auto"/>
        </w:rPr>
        <w:t xml:space="preserve">What to include. </w:t>
      </w:r>
      <w:r>
        <w:rPr>
          <w:rFonts w:ascii="Arial" w:cs="Arial" w:eastAsia="Arial" w:hAnsi="Arial"/>
          <w:sz w:val="16"/>
          <w:szCs w:val="16"/>
          <w:color w:val="auto"/>
        </w:rPr>
        <w:t>Notice must include the information required by our Bylaws, which are available on our website at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www.gm.com/investors</w:t>
      </w:r>
      <w:r>
        <w:rPr>
          <w:rFonts w:ascii="Arial" w:cs="Arial" w:eastAsia="Arial" w:hAnsi="Arial"/>
          <w:sz w:val="16"/>
          <w:szCs w:val="16"/>
          <w:color w:val="auto"/>
        </w:rPr>
        <w:t>, under</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“Corporate Governance”.</w:t>
      </w: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color w:val="1C90D3"/>
        </w:rPr>
        <w:t>Other Proposals or Nominees for Presentation at Next Year’s Annual Meeting</w:t>
      </w:r>
    </w:p>
    <w:p>
      <w:pPr>
        <w:spacing w:after="0" w:line="21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Bylaws require that any shareholder proposal, including a director nomination, that is not submitted for inclusion in next year’s Proxy Statement (either under SEC Rule 14a-8 or our proxy access bylaw), but is instead sought to be presented directly at the 2017 Annual Meeting, must be received at our principal executive offices no earlier than 180 days and no later than 120 days before the first anniversary of the 2016 Annual Meeting.</w:t>
      </w:r>
    </w:p>
    <w:p>
      <w:pPr>
        <w:spacing w:after="0" w:line="154" w:lineRule="exact"/>
        <w:rPr>
          <w:sz w:val="20"/>
          <w:szCs w:val="20"/>
          <w:color w:val="auto"/>
        </w:rPr>
      </w:pPr>
    </w:p>
    <w:p>
      <w:pPr>
        <w:ind w:left="180" w:right="140" w:hanging="172"/>
        <w:spacing w:after="0" w:line="286" w:lineRule="auto"/>
        <w:tabs>
          <w:tab w:leader="none" w:pos="180" w:val="left"/>
        </w:tabs>
        <w:numPr>
          <w:ilvl w:val="0"/>
          <w:numId w:val="133"/>
        </w:numPr>
        <w:rPr>
          <w:rFonts w:ascii="Arial" w:cs="Arial" w:eastAsia="Arial" w:hAnsi="Arial"/>
          <w:sz w:val="16"/>
          <w:szCs w:val="16"/>
          <w:color w:val="08228B"/>
        </w:rPr>
      </w:pPr>
      <w:r>
        <w:rPr>
          <w:rFonts w:ascii="Arial" w:cs="Arial" w:eastAsia="Arial" w:hAnsi="Arial"/>
          <w:sz w:val="16"/>
          <w:szCs w:val="16"/>
          <w:b w:val="1"/>
          <w:bCs w:val="1"/>
          <w:color w:val="auto"/>
        </w:rPr>
        <w:t xml:space="preserve">When to send these proposals. </w:t>
      </w:r>
      <w:r>
        <w:rPr>
          <w:rFonts w:ascii="Arial" w:cs="Arial" w:eastAsia="Arial" w:hAnsi="Arial"/>
          <w:sz w:val="16"/>
          <w:szCs w:val="16"/>
          <w:color w:val="auto"/>
        </w:rPr>
        <w:t>Shareholder proposals, including director nominations, submitted under these Bylaw provisions must be received no</w:t>
      </w:r>
      <w:r>
        <w:rPr>
          <w:rFonts w:ascii="Arial" w:cs="Arial" w:eastAsia="Arial" w:hAnsi="Arial"/>
          <w:sz w:val="16"/>
          <w:szCs w:val="16"/>
          <w:b w:val="1"/>
          <w:bCs w:val="1"/>
          <w:color w:val="auto"/>
        </w:rPr>
        <w:t xml:space="preserve"> </w:t>
      </w:r>
      <w:r>
        <w:rPr>
          <w:rFonts w:ascii="Arial" w:cs="Arial" w:eastAsia="Arial" w:hAnsi="Arial"/>
          <w:sz w:val="16"/>
          <w:szCs w:val="16"/>
          <w:color w:val="auto"/>
        </w:rPr>
        <w:t>earlier than December 9, 2016, and no later than the close of business on February 7, 2017.</w:t>
      </w:r>
    </w:p>
    <w:p>
      <w:pPr>
        <w:spacing w:after="0" w:line="128" w:lineRule="exact"/>
        <w:rPr>
          <w:rFonts w:ascii="Arial" w:cs="Arial" w:eastAsia="Arial" w:hAnsi="Arial"/>
          <w:sz w:val="16"/>
          <w:szCs w:val="16"/>
          <w:color w:val="08228B"/>
        </w:rPr>
      </w:pPr>
    </w:p>
    <w:p>
      <w:pPr>
        <w:ind w:left="180" w:right="140" w:hanging="172"/>
        <w:spacing w:after="0" w:line="286" w:lineRule="auto"/>
        <w:tabs>
          <w:tab w:leader="none" w:pos="180" w:val="left"/>
        </w:tabs>
        <w:numPr>
          <w:ilvl w:val="0"/>
          <w:numId w:val="133"/>
        </w:numPr>
        <w:rPr>
          <w:rFonts w:ascii="Arial" w:cs="Arial" w:eastAsia="Arial" w:hAnsi="Arial"/>
          <w:sz w:val="16"/>
          <w:szCs w:val="16"/>
          <w:color w:val="08228B"/>
        </w:rPr>
      </w:pPr>
      <w:r>
        <w:rPr>
          <w:rFonts w:ascii="Arial" w:cs="Arial" w:eastAsia="Arial" w:hAnsi="Arial"/>
          <w:sz w:val="16"/>
          <w:szCs w:val="16"/>
          <w:b w:val="1"/>
          <w:bCs w:val="1"/>
          <w:color w:val="auto"/>
        </w:rPr>
        <w:t xml:space="preserve">Where to send these proposals. </w:t>
      </w:r>
      <w:r>
        <w:rPr>
          <w:rFonts w:ascii="Arial" w:cs="Arial" w:eastAsia="Arial" w:hAnsi="Arial"/>
          <w:sz w:val="16"/>
          <w:szCs w:val="16"/>
          <w:color w:val="auto"/>
        </w:rPr>
        <w:t>Proposals should be sent by mail to Jill E. Sutton, Corporate Secretary and Deputy General Counsel, General Motors</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Mail Code 482-C25-D24, 300 Renaissance Center, Detroit, Michigan 48265, or by e-mail to stockholder.services@gm.com.</w:t>
      </w:r>
    </w:p>
    <w:p>
      <w:pPr>
        <w:spacing w:after="0" w:line="128" w:lineRule="exact"/>
        <w:rPr>
          <w:rFonts w:ascii="Arial" w:cs="Arial" w:eastAsia="Arial" w:hAnsi="Arial"/>
          <w:sz w:val="16"/>
          <w:szCs w:val="16"/>
          <w:color w:val="08228B"/>
        </w:rPr>
      </w:pPr>
    </w:p>
    <w:p>
      <w:pPr>
        <w:ind w:left="180" w:right="120" w:hanging="172"/>
        <w:spacing w:after="0" w:line="286" w:lineRule="auto"/>
        <w:tabs>
          <w:tab w:leader="none" w:pos="180" w:val="left"/>
        </w:tabs>
        <w:numPr>
          <w:ilvl w:val="0"/>
          <w:numId w:val="133"/>
        </w:numPr>
        <w:rPr>
          <w:rFonts w:ascii="Arial" w:cs="Arial" w:eastAsia="Arial" w:hAnsi="Arial"/>
          <w:sz w:val="16"/>
          <w:szCs w:val="16"/>
          <w:color w:val="08228B"/>
        </w:rPr>
      </w:pPr>
      <w:r>
        <w:rPr>
          <w:rFonts w:ascii="Arial" w:cs="Arial" w:eastAsia="Arial" w:hAnsi="Arial"/>
          <w:sz w:val="16"/>
          <w:szCs w:val="16"/>
          <w:b w:val="1"/>
          <w:bCs w:val="1"/>
          <w:color w:val="auto"/>
        </w:rPr>
        <w:t xml:space="preserve">What to include. </w:t>
      </w:r>
      <w:r>
        <w:rPr>
          <w:rFonts w:ascii="Arial" w:cs="Arial" w:eastAsia="Arial" w:hAnsi="Arial"/>
          <w:sz w:val="16"/>
          <w:szCs w:val="16"/>
          <w:color w:val="auto"/>
        </w:rPr>
        <w:t>Notice must include the information required by our Bylaws, which are available on our website at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www.gm.com/investors</w:t>
      </w:r>
      <w:r>
        <w:rPr>
          <w:rFonts w:ascii="Arial" w:cs="Arial" w:eastAsia="Arial" w:hAnsi="Arial"/>
          <w:sz w:val="16"/>
          <w:szCs w:val="16"/>
          <w:color w:val="auto"/>
        </w:rPr>
        <w:t>, under</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“Corporate Governance”.</w:t>
      </w:r>
    </w:p>
    <w:p>
      <w:pPr>
        <w:spacing w:after="0" w:line="194"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23.</w:t>
      </w:r>
      <w:r>
        <w:rPr>
          <w:sz w:val="20"/>
          <w:szCs w:val="20"/>
          <w:color w:val="auto"/>
        </w:rPr>
        <w:tab/>
      </w:r>
      <w:r>
        <w:rPr>
          <w:rFonts w:ascii="Arial" w:cs="Arial" w:eastAsia="Arial" w:hAnsi="Arial"/>
          <w:sz w:val="21"/>
          <w:szCs w:val="21"/>
          <w:color w:val="auto"/>
        </w:rPr>
        <w:t>How can I obtain the Company’s corporate governance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69150" cy="1714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 xml:space="preserve">You may download a copy of GM’s corporate governance documents by visiting our website at </w:t>
      </w:r>
      <w:r>
        <w:rPr>
          <w:rFonts w:ascii="Arial" w:cs="Arial" w:eastAsia="Arial" w:hAnsi="Arial"/>
          <w:sz w:val="16"/>
          <w:szCs w:val="16"/>
          <w:i w:val="1"/>
          <w:iCs w:val="1"/>
          <w:color w:val="auto"/>
        </w:rPr>
        <w:t>www.gm.com/investor</w:t>
      </w:r>
      <w:r>
        <w:rPr>
          <w:rFonts w:ascii="Arial" w:cs="Arial" w:eastAsia="Arial" w:hAnsi="Arial"/>
          <w:sz w:val="16"/>
          <w:szCs w:val="16"/>
          <w:color w:val="auto"/>
        </w:rPr>
        <w:t>, under “Corporate Governance.” To request a printed copy of any of these documents, write to Jill E. Sutton, Corporate Secretary and Deputy General Counsel, General Motors Company, Mail Code 482-C25-D24, 300 Renaissance Center, Detroit, Michigan 48265, or sending an e-mail to stockholder.services@gm.com.</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13"/>
        </w:trPr>
        <w:tc>
          <w:tcPr>
            <w:tcW w:w="4340" w:type="dxa"/>
            <w:vAlign w:val="bottom"/>
            <w:tcBorders>
              <w:bottom w:val="single" w:sz="8" w:color="08228B"/>
            </w:tcBorders>
          </w:tcPr>
          <w:p>
            <w:pPr>
              <w:spacing w:after="0"/>
              <w:rPr>
                <w:sz w:val="9"/>
                <w:szCs w:val="9"/>
                <w:color w:val="auto"/>
              </w:rPr>
            </w:pPr>
          </w:p>
        </w:tc>
        <w:tc>
          <w:tcPr>
            <w:tcW w:w="2060" w:type="dxa"/>
            <w:vAlign w:val="bottom"/>
            <w:vMerge w:val="restart"/>
          </w:tcPr>
          <w:p>
            <w:pPr>
              <w:ind w:left="60"/>
              <w:spacing w:after="0"/>
              <w:rPr>
                <w:sz w:val="20"/>
                <w:szCs w:val="20"/>
                <w:color w:val="auto"/>
              </w:rPr>
            </w:pPr>
            <w:r>
              <w:rPr>
                <w:rFonts w:ascii="Arial" w:cs="Arial" w:eastAsia="Arial" w:hAnsi="Arial"/>
                <w:sz w:val="16"/>
                <w:szCs w:val="16"/>
                <w:b w:val="1"/>
                <w:bCs w:val="1"/>
                <w:color w:val="1C90D3"/>
              </w:rPr>
              <w:t xml:space="preserve">2016 </w:t>
            </w:r>
            <w:r>
              <w:rPr>
                <w:rFonts w:ascii="Arial" w:cs="Arial" w:eastAsia="Arial" w:hAnsi="Arial"/>
                <w:sz w:val="16"/>
                <w:szCs w:val="16"/>
                <w:color w:val="08228B"/>
              </w:rPr>
              <w:t>PROXY STATEMENT</w:t>
            </w:r>
          </w:p>
        </w:tc>
        <w:tc>
          <w:tcPr>
            <w:tcW w:w="2400" w:type="dxa"/>
            <w:vAlign w:val="bottom"/>
            <w:tcBorders>
              <w:bottom w:val="single" w:sz="8" w:color="08228B"/>
            </w:tcBorders>
          </w:tcPr>
          <w:p>
            <w:pPr>
              <w:spacing w:after="0"/>
              <w:rPr>
                <w:sz w:val="9"/>
                <w:szCs w:val="9"/>
                <w:color w:val="auto"/>
              </w:rPr>
            </w:pPr>
          </w:p>
        </w:tc>
        <w:tc>
          <w:tcPr>
            <w:tcW w:w="2620" w:type="dxa"/>
            <w:vAlign w:val="bottom"/>
            <w:vMerge w:val="restart"/>
          </w:tcPr>
          <w:p>
            <w:pPr>
              <w:jc w:val="right"/>
              <w:ind w:right="39"/>
              <w:spacing w:after="0"/>
              <w:rPr>
                <w:sz w:val="20"/>
                <w:szCs w:val="20"/>
                <w:color w:val="auto"/>
              </w:rPr>
            </w:pPr>
            <w:r>
              <w:rPr>
                <w:rFonts w:ascii="Arial" w:cs="Arial" w:eastAsia="Arial" w:hAnsi="Arial"/>
                <w:sz w:val="16"/>
                <w:szCs w:val="16"/>
                <w:color w:val="08228B"/>
              </w:rPr>
              <w:t>74</w:t>
            </w:r>
          </w:p>
        </w:tc>
        <w:tc>
          <w:tcPr>
            <w:tcW w:w="0" w:type="dxa"/>
            <w:vAlign w:val="bottom"/>
          </w:tcPr>
          <w:p>
            <w:pPr>
              <w:spacing w:after="0"/>
              <w:rPr>
                <w:sz w:val="1"/>
                <w:szCs w:val="1"/>
                <w:color w:val="auto"/>
              </w:rPr>
            </w:pPr>
          </w:p>
        </w:tc>
      </w:tr>
      <w:tr>
        <w:trPr>
          <w:trHeight w:val="82"/>
        </w:trPr>
        <w:tc>
          <w:tcPr>
            <w:tcW w:w="4340" w:type="dxa"/>
            <w:vAlign w:val="bottom"/>
          </w:tcPr>
          <w:p>
            <w:pPr>
              <w:spacing w:after="0"/>
              <w:rPr>
                <w:sz w:val="7"/>
                <w:szCs w:val="7"/>
                <w:color w:val="auto"/>
              </w:rPr>
            </w:pPr>
          </w:p>
        </w:tc>
        <w:tc>
          <w:tcPr>
            <w:tcW w:w="2060" w:type="dxa"/>
            <w:vAlign w:val="bottom"/>
            <w:vMerge w:val="continue"/>
          </w:tcPr>
          <w:p>
            <w:pPr>
              <w:spacing w:after="0"/>
              <w:rPr>
                <w:sz w:val="7"/>
                <w:szCs w:val="7"/>
                <w:color w:val="auto"/>
              </w:rPr>
            </w:pPr>
          </w:p>
        </w:tc>
        <w:tc>
          <w:tcPr>
            <w:tcW w:w="2400" w:type="dxa"/>
            <w:vAlign w:val="bottom"/>
          </w:tcPr>
          <w:p>
            <w:pPr>
              <w:spacing w:after="0"/>
              <w:rPr>
                <w:sz w:val="7"/>
                <w:szCs w:val="7"/>
                <w:color w:val="auto"/>
              </w:rPr>
            </w:pPr>
          </w:p>
        </w:tc>
        <w:tc>
          <w:tcPr>
            <w:tcW w:w="2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7"/>
        </w:trPr>
        <w:tc>
          <w:tcPr>
            <w:tcW w:w="4340" w:type="dxa"/>
            <w:vAlign w:val="bottom"/>
            <w:tcBorders>
              <w:bottom w:val="single" w:sz="8" w:color="C0C0C0"/>
            </w:tcBorders>
          </w:tcPr>
          <w:p>
            <w:pPr>
              <w:spacing w:after="0"/>
              <w:rPr>
                <w:sz w:val="24"/>
                <w:szCs w:val="24"/>
                <w:color w:val="auto"/>
              </w:rPr>
            </w:pPr>
          </w:p>
        </w:tc>
        <w:tc>
          <w:tcPr>
            <w:tcW w:w="2060" w:type="dxa"/>
            <w:vAlign w:val="bottom"/>
            <w:tcBorders>
              <w:bottom w:val="single" w:sz="8" w:color="C0C0C0"/>
            </w:tcBorders>
          </w:tcPr>
          <w:p>
            <w:pPr>
              <w:spacing w:after="0"/>
              <w:rPr>
                <w:sz w:val="24"/>
                <w:szCs w:val="24"/>
                <w:color w:val="auto"/>
              </w:rPr>
            </w:pPr>
          </w:p>
        </w:tc>
        <w:tc>
          <w:tcPr>
            <w:tcW w:w="2400" w:type="dxa"/>
            <w:vAlign w:val="bottom"/>
            <w:tcBorders>
              <w:bottom w:val="single" w:sz="8" w:color="C0C0C0"/>
            </w:tcBorders>
          </w:tcPr>
          <w:p>
            <w:pPr>
              <w:spacing w:after="0"/>
              <w:rPr>
                <w:sz w:val="24"/>
                <w:szCs w:val="24"/>
                <w:color w:val="auto"/>
              </w:rPr>
            </w:pPr>
          </w:p>
        </w:tc>
        <w:tc>
          <w:tcPr>
            <w:tcW w:w="262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5613400</wp:posOffset>
            </wp:positionH>
            <wp:positionV relativeFrom="paragraph">
              <wp:posOffset>-334010</wp:posOffset>
            </wp:positionV>
            <wp:extent cx="1286510" cy="8572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1286510" cy="8572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Back to Contents</w:t>
        </w:r>
      </w:hyperlink>
    </w:p>
    <w:p>
      <w:pPr>
        <w:spacing w:after="0" w:line="188"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24.</w:t>
      </w:r>
      <w:r>
        <w:rPr>
          <w:sz w:val="20"/>
          <w:szCs w:val="20"/>
          <w:color w:val="auto"/>
        </w:rPr>
        <w:tab/>
      </w:r>
      <w:r>
        <w:rPr>
          <w:rFonts w:ascii="Arial" w:cs="Arial" w:eastAsia="Arial" w:hAnsi="Arial"/>
          <w:sz w:val="21"/>
          <w:szCs w:val="21"/>
          <w:color w:val="auto"/>
        </w:rPr>
        <w:t>How can I obtain a copy of the Company’s 2015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69150" cy="1714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179" w:lineRule="exact"/>
        <w:rPr>
          <w:sz w:val="20"/>
          <w:szCs w:val="20"/>
          <w:color w:val="auto"/>
        </w:rPr>
      </w:pPr>
    </w:p>
    <w:p>
      <w:pPr>
        <w:jc w:val="both"/>
        <w:ind w:right="20"/>
        <w:spacing w:after="0" w:line="264" w:lineRule="auto"/>
        <w:rPr>
          <w:sz w:val="20"/>
          <w:szCs w:val="20"/>
          <w:color w:val="auto"/>
        </w:rPr>
      </w:pPr>
      <w:r>
        <w:rPr>
          <w:rFonts w:ascii="Arial" w:cs="Arial" w:eastAsia="Arial" w:hAnsi="Arial"/>
          <w:sz w:val="16"/>
          <w:szCs w:val="16"/>
          <w:color w:val="auto"/>
        </w:rPr>
        <w:t xml:space="preserve">You may download a copy of our 2015 Annual Report on Form 10-K by visiting our website at </w:t>
      </w:r>
      <w:r>
        <w:rPr>
          <w:rFonts w:ascii="Arial" w:cs="Arial" w:eastAsia="Arial" w:hAnsi="Arial"/>
          <w:sz w:val="16"/>
          <w:szCs w:val="16"/>
          <w:i w:val="1"/>
          <w:iCs w:val="1"/>
          <w:color w:val="auto"/>
        </w:rPr>
        <w:t>www.gm.com/investor</w:t>
      </w:r>
      <w:r>
        <w:rPr>
          <w:rFonts w:ascii="Arial" w:cs="Arial" w:eastAsia="Arial" w:hAnsi="Arial"/>
          <w:sz w:val="16"/>
          <w:szCs w:val="16"/>
          <w:color w:val="auto"/>
        </w:rPr>
        <w:t>, under “Investor Contacts.” Alternatively, you may request a printed copy by writing to GM Stockholder Services at General Motors Company, Mail Code 482-C23-D24, 300 Renaissance Center, Detroit, Michigan 48265 or to stockholder.services@gm.com.</w:t>
      </w:r>
    </w:p>
    <w:p>
      <w:pPr>
        <w:spacing w:after="0" w:line="278"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25.</w:t>
      </w:r>
      <w:r>
        <w:rPr>
          <w:sz w:val="20"/>
          <w:szCs w:val="20"/>
          <w:color w:val="auto"/>
        </w:rPr>
        <w:tab/>
      </w:r>
      <w:r>
        <w:rPr>
          <w:rFonts w:ascii="Arial" w:cs="Arial" w:eastAsia="Arial" w:hAnsi="Arial"/>
          <w:sz w:val="21"/>
          <w:szCs w:val="21"/>
          <w:color w:val="auto"/>
        </w:rPr>
        <w:t>Who pays for this proxy solicitation and how much did it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69150" cy="1714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19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will pay our cost for soliciting proxies for the 2016 Annual Meeting. The Company will distribute proxy materials and follow-up reminders, if any, by mail and electronic means. We have engaged Morrow &amp; Co., LLC (“Morrow”), a professional proxy solicitation firm, located at 470 West Avenue, Stamford, Connecticut 06902, to assist with the solicitation of proxies and to provide related advice and informational support, for a service fee, plus customary disbursements. We expect to pay Morrow an aggregate fee, including reasonable out-of-pocket expenses, of up to $25,000, depending on the level of services actually provided.</w:t>
      </w:r>
    </w:p>
    <w:p>
      <w:pPr>
        <w:spacing w:after="0" w:line="17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GM directors, officers, and employees may also solicit proxies by mail, telephone, or personal visits. They will not receive any additional compensation for their services.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As usual, we will reimburse brokers, banks, and other nominees for their reasonable expenses in forwarding proxy materials to beneficial owners.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13"/>
        </w:trPr>
        <w:tc>
          <w:tcPr>
            <w:tcW w:w="4340" w:type="dxa"/>
            <w:vAlign w:val="bottom"/>
            <w:tcBorders>
              <w:bottom w:val="single" w:sz="8" w:color="08228B"/>
            </w:tcBorders>
          </w:tcPr>
          <w:p>
            <w:pPr>
              <w:spacing w:after="0"/>
              <w:rPr>
                <w:sz w:val="9"/>
                <w:szCs w:val="9"/>
                <w:color w:val="auto"/>
              </w:rPr>
            </w:pPr>
          </w:p>
        </w:tc>
        <w:tc>
          <w:tcPr>
            <w:tcW w:w="2060" w:type="dxa"/>
            <w:vAlign w:val="bottom"/>
            <w:vMerge w:val="restart"/>
          </w:tcPr>
          <w:p>
            <w:pPr>
              <w:ind w:left="60"/>
              <w:spacing w:after="0"/>
              <w:rPr>
                <w:sz w:val="20"/>
                <w:szCs w:val="20"/>
                <w:color w:val="auto"/>
              </w:rPr>
            </w:pPr>
            <w:r>
              <w:rPr>
                <w:rFonts w:ascii="Arial" w:cs="Arial" w:eastAsia="Arial" w:hAnsi="Arial"/>
                <w:sz w:val="16"/>
                <w:szCs w:val="16"/>
                <w:b w:val="1"/>
                <w:bCs w:val="1"/>
                <w:color w:val="1C90D3"/>
              </w:rPr>
              <w:t xml:space="preserve">2016 </w:t>
            </w:r>
            <w:r>
              <w:rPr>
                <w:rFonts w:ascii="Arial" w:cs="Arial" w:eastAsia="Arial" w:hAnsi="Arial"/>
                <w:sz w:val="16"/>
                <w:szCs w:val="16"/>
                <w:color w:val="08228B"/>
              </w:rPr>
              <w:t>PROXY STATEMENT</w:t>
            </w:r>
          </w:p>
        </w:tc>
        <w:tc>
          <w:tcPr>
            <w:tcW w:w="2400" w:type="dxa"/>
            <w:vAlign w:val="bottom"/>
            <w:tcBorders>
              <w:bottom w:val="single" w:sz="8" w:color="08228B"/>
            </w:tcBorders>
          </w:tcPr>
          <w:p>
            <w:pPr>
              <w:spacing w:after="0"/>
              <w:rPr>
                <w:sz w:val="9"/>
                <w:szCs w:val="9"/>
                <w:color w:val="auto"/>
              </w:rPr>
            </w:pPr>
          </w:p>
        </w:tc>
        <w:tc>
          <w:tcPr>
            <w:tcW w:w="2620" w:type="dxa"/>
            <w:vAlign w:val="bottom"/>
            <w:vMerge w:val="restart"/>
          </w:tcPr>
          <w:p>
            <w:pPr>
              <w:jc w:val="right"/>
              <w:ind w:right="39"/>
              <w:spacing w:after="0"/>
              <w:rPr>
                <w:sz w:val="20"/>
                <w:szCs w:val="20"/>
                <w:color w:val="auto"/>
              </w:rPr>
            </w:pPr>
            <w:r>
              <w:rPr>
                <w:rFonts w:ascii="Arial" w:cs="Arial" w:eastAsia="Arial" w:hAnsi="Arial"/>
                <w:sz w:val="16"/>
                <w:szCs w:val="16"/>
                <w:color w:val="08228B"/>
              </w:rPr>
              <w:t>75</w:t>
            </w:r>
          </w:p>
        </w:tc>
        <w:tc>
          <w:tcPr>
            <w:tcW w:w="0" w:type="dxa"/>
            <w:vAlign w:val="bottom"/>
          </w:tcPr>
          <w:p>
            <w:pPr>
              <w:spacing w:after="0"/>
              <w:rPr>
                <w:sz w:val="1"/>
                <w:szCs w:val="1"/>
                <w:color w:val="auto"/>
              </w:rPr>
            </w:pPr>
          </w:p>
        </w:tc>
      </w:tr>
      <w:tr>
        <w:trPr>
          <w:trHeight w:val="82"/>
        </w:trPr>
        <w:tc>
          <w:tcPr>
            <w:tcW w:w="4340" w:type="dxa"/>
            <w:vAlign w:val="bottom"/>
          </w:tcPr>
          <w:p>
            <w:pPr>
              <w:spacing w:after="0"/>
              <w:rPr>
                <w:sz w:val="7"/>
                <w:szCs w:val="7"/>
                <w:color w:val="auto"/>
              </w:rPr>
            </w:pPr>
          </w:p>
        </w:tc>
        <w:tc>
          <w:tcPr>
            <w:tcW w:w="2060" w:type="dxa"/>
            <w:vAlign w:val="bottom"/>
            <w:vMerge w:val="continue"/>
          </w:tcPr>
          <w:p>
            <w:pPr>
              <w:spacing w:after="0"/>
              <w:rPr>
                <w:sz w:val="7"/>
                <w:szCs w:val="7"/>
                <w:color w:val="auto"/>
              </w:rPr>
            </w:pPr>
          </w:p>
        </w:tc>
        <w:tc>
          <w:tcPr>
            <w:tcW w:w="2400" w:type="dxa"/>
            <w:vAlign w:val="bottom"/>
          </w:tcPr>
          <w:p>
            <w:pPr>
              <w:spacing w:after="0"/>
              <w:rPr>
                <w:sz w:val="7"/>
                <w:szCs w:val="7"/>
                <w:color w:val="auto"/>
              </w:rPr>
            </w:pPr>
          </w:p>
        </w:tc>
        <w:tc>
          <w:tcPr>
            <w:tcW w:w="2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7"/>
        </w:trPr>
        <w:tc>
          <w:tcPr>
            <w:tcW w:w="4340" w:type="dxa"/>
            <w:vAlign w:val="bottom"/>
            <w:tcBorders>
              <w:bottom w:val="single" w:sz="8" w:color="C0C0C0"/>
            </w:tcBorders>
          </w:tcPr>
          <w:p>
            <w:pPr>
              <w:spacing w:after="0"/>
              <w:rPr>
                <w:sz w:val="24"/>
                <w:szCs w:val="24"/>
                <w:color w:val="auto"/>
              </w:rPr>
            </w:pPr>
          </w:p>
        </w:tc>
        <w:tc>
          <w:tcPr>
            <w:tcW w:w="2060" w:type="dxa"/>
            <w:vAlign w:val="bottom"/>
            <w:tcBorders>
              <w:bottom w:val="single" w:sz="8" w:color="C0C0C0"/>
            </w:tcBorders>
          </w:tcPr>
          <w:p>
            <w:pPr>
              <w:spacing w:after="0"/>
              <w:rPr>
                <w:sz w:val="24"/>
                <w:szCs w:val="24"/>
                <w:color w:val="auto"/>
              </w:rPr>
            </w:pPr>
          </w:p>
        </w:tc>
        <w:tc>
          <w:tcPr>
            <w:tcW w:w="2400" w:type="dxa"/>
            <w:vAlign w:val="bottom"/>
            <w:tcBorders>
              <w:bottom w:val="single" w:sz="8" w:color="C0C0C0"/>
            </w:tcBorders>
          </w:tcPr>
          <w:p>
            <w:pPr>
              <w:spacing w:after="0"/>
              <w:rPr>
                <w:sz w:val="24"/>
                <w:szCs w:val="24"/>
                <w:color w:val="auto"/>
              </w:rPr>
            </w:pPr>
          </w:p>
        </w:tc>
        <w:tc>
          <w:tcPr>
            <w:tcW w:w="262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5613400</wp:posOffset>
            </wp:positionH>
            <wp:positionV relativeFrom="paragraph">
              <wp:posOffset>-334010</wp:posOffset>
            </wp:positionV>
            <wp:extent cx="1286510" cy="8572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1286510" cy="8572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69150" cy="233235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7169150" cy="2332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3960"/>
        <w:spacing w:after="0"/>
        <w:rPr>
          <w:sz w:val="20"/>
          <w:szCs w:val="20"/>
          <w:color w:val="auto"/>
        </w:rPr>
      </w:pPr>
      <w:r>
        <w:rPr>
          <w:rFonts w:ascii="Arial" w:cs="Arial" w:eastAsia="Arial" w:hAnsi="Arial"/>
          <w:sz w:val="32"/>
          <w:szCs w:val="32"/>
          <w:b w:val="1"/>
          <w:bCs w:val="1"/>
          <w:color w:val="08228B"/>
        </w:rPr>
        <w:t>OUR CORE VALUES...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1101725</wp:posOffset>
            </wp:positionV>
            <wp:extent cx="471805" cy="59182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471805"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040"/>
        <w:spacing w:after="0"/>
        <w:rPr>
          <w:sz w:val="20"/>
          <w:szCs w:val="20"/>
          <w:color w:val="auto"/>
        </w:rPr>
      </w:pPr>
      <w:r>
        <w:rPr>
          <w:rFonts w:ascii="Arial" w:cs="Arial" w:eastAsia="Arial" w:hAnsi="Arial"/>
          <w:sz w:val="29"/>
          <w:szCs w:val="29"/>
          <w:b w:val="1"/>
          <w:bCs w:val="1"/>
          <w:color w:val="08228B"/>
        </w:rPr>
        <w:t>CUSTOMERS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left="2040" w:right="39"/>
        <w:spacing w:after="0" w:line="246" w:lineRule="auto"/>
        <w:rPr>
          <w:sz w:val="20"/>
          <w:szCs w:val="20"/>
          <w:color w:val="auto"/>
        </w:rPr>
      </w:pPr>
      <w:r>
        <w:rPr>
          <w:rFonts w:ascii="Arial" w:cs="Arial" w:eastAsia="Arial" w:hAnsi="Arial"/>
          <w:sz w:val="22"/>
          <w:szCs w:val="22"/>
          <w:color w:val="auto"/>
        </w:rPr>
        <w:t xml:space="preserve">We put the </w:t>
      </w:r>
      <w:r>
        <w:rPr>
          <w:rFonts w:ascii="Arial" w:cs="Arial" w:eastAsia="Arial" w:hAnsi="Arial"/>
          <w:sz w:val="22"/>
          <w:szCs w:val="22"/>
          <w:b w:val="1"/>
          <w:bCs w:val="1"/>
          <w:color w:val="F2B516"/>
        </w:rPr>
        <w:t>customer</w:t>
      </w:r>
      <w:r>
        <w:rPr>
          <w:rFonts w:ascii="Arial" w:cs="Arial" w:eastAsia="Arial" w:hAnsi="Arial"/>
          <w:sz w:val="22"/>
          <w:szCs w:val="22"/>
          <w:color w:val="auto"/>
        </w:rPr>
        <w:t xml:space="preserve"> at the center of </w:t>
      </w:r>
      <w:r>
        <w:rPr>
          <w:rFonts w:ascii="Arial" w:cs="Arial" w:eastAsia="Arial" w:hAnsi="Arial"/>
          <w:sz w:val="22"/>
          <w:szCs w:val="22"/>
          <w:b w:val="1"/>
          <w:bCs w:val="1"/>
          <w:color w:val="F2B516"/>
        </w:rPr>
        <w:t>everything</w:t>
      </w:r>
      <w:r>
        <w:rPr>
          <w:rFonts w:ascii="Arial" w:cs="Arial" w:eastAsia="Arial" w:hAnsi="Arial"/>
          <w:sz w:val="22"/>
          <w:szCs w:val="22"/>
          <w:color w:val="auto"/>
        </w:rPr>
        <w:t xml:space="preserve"> we do. We </w:t>
      </w:r>
      <w:r>
        <w:rPr>
          <w:rFonts w:ascii="Arial" w:cs="Arial" w:eastAsia="Arial" w:hAnsi="Arial"/>
          <w:sz w:val="22"/>
          <w:szCs w:val="22"/>
          <w:b w:val="1"/>
          <w:bCs w:val="1"/>
          <w:color w:val="F2B516"/>
        </w:rPr>
        <w:t>listen</w:t>
      </w:r>
      <w:r>
        <w:rPr>
          <w:rFonts w:ascii="Arial" w:cs="Arial" w:eastAsia="Arial" w:hAnsi="Arial"/>
          <w:sz w:val="22"/>
          <w:szCs w:val="22"/>
          <w:color w:val="auto"/>
        </w:rPr>
        <w:t xml:space="preserve"> intently to our customers’ needs. Each interaction matters. </w:t>
      </w:r>
      <w:r>
        <w:rPr>
          <w:rFonts w:ascii="Arial" w:cs="Arial" w:eastAsia="Arial" w:hAnsi="Arial"/>
          <w:sz w:val="22"/>
          <w:szCs w:val="22"/>
          <w:b w:val="1"/>
          <w:bCs w:val="1"/>
          <w:color w:val="F2B516"/>
        </w:rPr>
        <w:t>Safety</w:t>
      </w:r>
      <w:r>
        <w:rPr>
          <w:rFonts w:ascii="Arial" w:cs="Arial" w:eastAsia="Arial" w:hAnsi="Arial"/>
          <w:sz w:val="22"/>
          <w:szCs w:val="22"/>
          <w:color w:val="auto"/>
        </w:rPr>
        <w:t xml:space="preserve"> and </w:t>
      </w:r>
      <w:r>
        <w:rPr>
          <w:rFonts w:ascii="Arial" w:cs="Arial" w:eastAsia="Arial" w:hAnsi="Arial"/>
          <w:sz w:val="22"/>
          <w:szCs w:val="22"/>
          <w:b w:val="1"/>
          <w:bCs w:val="1"/>
          <w:color w:val="F2B516"/>
        </w:rPr>
        <w:t>quality</w:t>
      </w:r>
      <w:r>
        <w:rPr>
          <w:rFonts w:ascii="Arial" w:cs="Arial" w:eastAsia="Arial" w:hAnsi="Arial"/>
          <w:sz w:val="22"/>
          <w:szCs w:val="22"/>
          <w:color w:val="auto"/>
        </w:rPr>
        <w:t xml:space="preserve"> are foundational </w:t>
      </w:r>
      <w:r>
        <w:rPr>
          <w:rFonts w:ascii="Arial" w:cs="Arial" w:eastAsia="Arial" w:hAnsi="Arial"/>
          <w:sz w:val="22"/>
          <w:szCs w:val="22"/>
          <w:b w:val="1"/>
          <w:bCs w:val="1"/>
          <w:color w:val="F2B516"/>
        </w:rPr>
        <w:t>commitments</w:t>
      </w:r>
      <w:r>
        <w:rPr>
          <w:rFonts w:ascii="Arial" w:cs="Arial" w:eastAsia="Arial" w:hAnsi="Arial"/>
          <w:sz w:val="22"/>
          <w:szCs w:val="22"/>
          <w:color w:val="000000"/>
        </w:rPr>
        <w:t>, never compromised.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187325</wp:posOffset>
            </wp:positionV>
            <wp:extent cx="394335" cy="29146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394335" cy="291465"/>
                    </a:xfrm>
                    <a:prstGeom prst="rect">
                      <a:avLst/>
                    </a:prstGeom>
                    <a:noFill/>
                  </pic:spPr>
                </pic:pic>
              </a:graphicData>
            </a:graphic>
          </wp:anchor>
        </w:drawing>
      </w:r>
    </w:p>
    <w:p>
      <w:pPr>
        <w:spacing w:after="0" w:line="288" w:lineRule="exact"/>
        <w:rPr>
          <w:sz w:val="20"/>
          <w:szCs w:val="20"/>
          <w:color w:val="auto"/>
        </w:rPr>
      </w:pPr>
    </w:p>
    <w:p>
      <w:pPr>
        <w:ind w:left="2040"/>
        <w:spacing w:after="0"/>
        <w:rPr>
          <w:sz w:val="20"/>
          <w:szCs w:val="20"/>
          <w:color w:val="auto"/>
        </w:rPr>
      </w:pPr>
      <w:r>
        <w:rPr>
          <w:rFonts w:ascii="Arial" w:cs="Arial" w:eastAsia="Arial" w:hAnsi="Arial"/>
          <w:sz w:val="29"/>
          <w:szCs w:val="29"/>
          <w:b w:val="1"/>
          <w:bCs w:val="1"/>
          <w:color w:val="08228B"/>
        </w:rPr>
        <w:t>RELATIONSHIPS</w:t>
      </w:r>
    </w:p>
    <w:p>
      <w:pPr>
        <w:spacing w:after="0" w:line="390" w:lineRule="exact"/>
        <w:rPr>
          <w:sz w:val="20"/>
          <w:szCs w:val="20"/>
          <w:color w:val="auto"/>
        </w:rPr>
      </w:pPr>
    </w:p>
    <w:p>
      <w:pPr>
        <w:jc w:val="both"/>
        <w:ind w:left="2040" w:right="39"/>
        <w:spacing w:after="0" w:line="246" w:lineRule="auto"/>
        <w:rPr>
          <w:sz w:val="20"/>
          <w:szCs w:val="20"/>
          <w:color w:val="auto"/>
        </w:rPr>
      </w:pPr>
      <w:r>
        <w:rPr>
          <w:rFonts w:ascii="Arial" w:cs="Arial" w:eastAsia="Arial" w:hAnsi="Arial"/>
          <w:sz w:val="22"/>
          <w:szCs w:val="22"/>
          <w:color w:val="auto"/>
        </w:rPr>
        <w:t xml:space="preserve">Our </w:t>
      </w:r>
      <w:r>
        <w:rPr>
          <w:rFonts w:ascii="Arial" w:cs="Arial" w:eastAsia="Arial" w:hAnsi="Arial"/>
          <w:sz w:val="22"/>
          <w:szCs w:val="22"/>
          <w:b w:val="1"/>
          <w:bCs w:val="1"/>
          <w:color w:val="F2B516"/>
        </w:rPr>
        <w:t>success</w:t>
      </w:r>
      <w:r>
        <w:rPr>
          <w:rFonts w:ascii="Arial" w:cs="Arial" w:eastAsia="Arial" w:hAnsi="Arial"/>
          <w:sz w:val="22"/>
          <w:szCs w:val="22"/>
          <w:color w:val="auto"/>
        </w:rPr>
        <w:t xml:space="preserve"> depends on our </w:t>
      </w:r>
      <w:r>
        <w:rPr>
          <w:rFonts w:ascii="Arial" w:cs="Arial" w:eastAsia="Arial" w:hAnsi="Arial"/>
          <w:sz w:val="22"/>
          <w:szCs w:val="22"/>
          <w:b w:val="1"/>
          <w:bCs w:val="1"/>
          <w:color w:val="F2B516"/>
        </w:rPr>
        <w:t>relationships</w:t>
      </w:r>
      <w:r>
        <w:rPr>
          <w:rFonts w:ascii="Arial" w:cs="Arial" w:eastAsia="Arial" w:hAnsi="Arial"/>
          <w:sz w:val="22"/>
          <w:szCs w:val="22"/>
          <w:color w:val="auto"/>
        </w:rPr>
        <w:t xml:space="preserve"> inside and outside the Company. We encourage </w:t>
      </w:r>
      <w:r>
        <w:rPr>
          <w:rFonts w:ascii="Arial" w:cs="Arial" w:eastAsia="Arial" w:hAnsi="Arial"/>
          <w:sz w:val="22"/>
          <w:szCs w:val="22"/>
          <w:b w:val="1"/>
          <w:bCs w:val="1"/>
          <w:color w:val="F2B516"/>
        </w:rPr>
        <w:t>diverse</w:t>
      </w:r>
      <w:r>
        <w:rPr>
          <w:rFonts w:ascii="Arial" w:cs="Arial" w:eastAsia="Arial" w:hAnsi="Arial"/>
          <w:sz w:val="22"/>
          <w:szCs w:val="22"/>
          <w:color w:val="auto"/>
        </w:rPr>
        <w:t xml:space="preserve"> thinking and </w:t>
      </w:r>
      <w:r>
        <w:rPr>
          <w:rFonts w:ascii="Arial" w:cs="Arial" w:eastAsia="Arial" w:hAnsi="Arial"/>
          <w:sz w:val="22"/>
          <w:szCs w:val="22"/>
          <w:b w:val="1"/>
          <w:bCs w:val="1"/>
          <w:color w:val="F2B516"/>
        </w:rPr>
        <w:t>collaboration</w:t>
      </w:r>
      <w:r>
        <w:rPr>
          <w:rFonts w:ascii="Arial" w:cs="Arial" w:eastAsia="Arial" w:hAnsi="Arial"/>
          <w:sz w:val="22"/>
          <w:szCs w:val="22"/>
          <w:color w:val="auto"/>
        </w:rPr>
        <w:t xml:space="preserve"> from the world to create </w:t>
      </w:r>
      <w:r>
        <w:rPr>
          <w:rFonts w:ascii="Arial" w:cs="Arial" w:eastAsia="Arial" w:hAnsi="Arial"/>
          <w:sz w:val="22"/>
          <w:szCs w:val="22"/>
          <w:b w:val="1"/>
          <w:bCs w:val="1"/>
          <w:color w:val="F2B516"/>
        </w:rPr>
        <w:t>great</w:t>
      </w:r>
      <w:r>
        <w:rPr>
          <w:rFonts w:ascii="Arial" w:cs="Arial" w:eastAsia="Arial" w:hAnsi="Arial"/>
          <w:sz w:val="22"/>
          <w:szCs w:val="22"/>
          <w:color w:val="auto"/>
        </w:rPr>
        <w:t xml:space="preserve"> customer experiences.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187325</wp:posOffset>
            </wp:positionV>
            <wp:extent cx="342900" cy="55753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342900" cy="557530"/>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p>
      <w:pPr>
        <w:ind w:left="2040"/>
        <w:spacing w:after="0"/>
        <w:rPr>
          <w:sz w:val="20"/>
          <w:szCs w:val="20"/>
          <w:color w:val="auto"/>
        </w:rPr>
      </w:pPr>
      <w:r>
        <w:rPr>
          <w:rFonts w:ascii="Arial" w:cs="Arial" w:eastAsia="Arial" w:hAnsi="Arial"/>
          <w:sz w:val="29"/>
          <w:szCs w:val="29"/>
          <w:b w:val="1"/>
          <w:bCs w:val="1"/>
          <w:color w:val="08228B"/>
        </w:rPr>
        <w:t>EXCELLENCE</w:t>
      </w:r>
    </w:p>
    <w:p>
      <w:pPr>
        <w:spacing w:after="0" w:line="200" w:lineRule="exact"/>
        <w:rPr>
          <w:sz w:val="20"/>
          <w:szCs w:val="20"/>
          <w:color w:val="auto"/>
        </w:rPr>
      </w:pPr>
    </w:p>
    <w:p>
      <w:pPr>
        <w:spacing w:after="0" w:line="392" w:lineRule="exact"/>
        <w:rPr>
          <w:sz w:val="20"/>
          <w:szCs w:val="20"/>
          <w:color w:val="auto"/>
        </w:rPr>
      </w:pPr>
    </w:p>
    <w:p>
      <w:pPr>
        <w:jc w:val="both"/>
        <w:ind w:left="2040" w:right="39"/>
        <w:spacing w:after="0" w:line="246" w:lineRule="auto"/>
        <w:rPr>
          <w:sz w:val="20"/>
          <w:szCs w:val="20"/>
          <w:color w:val="auto"/>
        </w:rPr>
      </w:pPr>
      <w:r>
        <w:rPr>
          <w:rFonts w:ascii="Arial" w:cs="Arial" w:eastAsia="Arial" w:hAnsi="Arial"/>
          <w:sz w:val="22"/>
          <w:szCs w:val="22"/>
          <w:color w:val="auto"/>
        </w:rPr>
        <w:t xml:space="preserve">We act with </w:t>
      </w:r>
      <w:r>
        <w:rPr>
          <w:rFonts w:ascii="Arial" w:cs="Arial" w:eastAsia="Arial" w:hAnsi="Arial"/>
          <w:sz w:val="22"/>
          <w:szCs w:val="22"/>
          <w:b w:val="1"/>
          <w:bCs w:val="1"/>
          <w:color w:val="F2B516"/>
        </w:rPr>
        <w:t>integrity</w:t>
      </w:r>
      <w:r>
        <w:rPr>
          <w:rFonts w:ascii="Arial" w:cs="Arial" w:eastAsia="Arial" w:hAnsi="Arial"/>
          <w:sz w:val="22"/>
          <w:szCs w:val="22"/>
          <w:color w:val="auto"/>
        </w:rPr>
        <w:t xml:space="preserve">. We are </w:t>
      </w:r>
      <w:r>
        <w:rPr>
          <w:rFonts w:ascii="Arial" w:cs="Arial" w:eastAsia="Arial" w:hAnsi="Arial"/>
          <w:sz w:val="22"/>
          <w:szCs w:val="22"/>
          <w:b w:val="1"/>
          <w:bCs w:val="1"/>
          <w:color w:val="F2B516"/>
        </w:rPr>
        <w:t>driven</w:t>
      </w:r>
      <w:r>
        <w:rPr>
          <w:rFonts w:ascii="Arial" w:cs="Arial" w:eastAsia="Arial" w:hAnsi="Arial"/>
          <w:sz w:val="22"/>
          <w:szCs w:val="22"/>
          <w:color w:val="auto"/>
        </w:rPr>
        <w:t xml:space="preserve"> by </w:t>
      </w:r>
      <w:r>
        <w:rPr>
          <w:rFonts w:ascii="Arial" w:cs="Arial" w:eastAsia="Arial" w:hAnsi="Arial"/>
          <w:sz w:val="22"/>
          <w:szCs w:val="22"/>
          <w:b w:val="1"/>
          <w:bCs w:val="1"/>
          <w:color w:val="F2B516"/>
        </w:rPr>
        <w:t>ingenuity</w:t>
      </w:r>
      <w:r>
        <w:rPr>
          <w:rFonts w:ascii="Arial" w:cs="Arial" w:eastAsia="Arial" w:hAnsi="Arial"/>
          <w:sz w:val="22"/>
          <w:szCs w:val="22"/>
          <w:color w:val="auto"/>
        </w:rPr>
        <w:t xml:space="preserve"> and </w:t>
      </w:r>
      <w:r>
        <w:rPr>
          <w:rFonts w:ascii="Arial" w:cs="Arial" w:eastAsia="Arial" w:hAnsi="Arial"/>
          <w:sz w:val="22"/>
          <w:szCs w:val="22"/>
          <w:b w:val="1"/>
          <w:bCs w:val="1"/>
          <w:color w:val="F2B516"/>
        </w:rPr>
        <w:t>innovation</w:t>
      </w:r>
      <w:r>
        <w:rPr>
          <w:rFonts w:ascii="Arial" w:cs="Arial" w:eastAsia="Arial" w:hAnsi="Arial"/>
          <w:sz w:val="22"/>
          <w:szCs w:val="22"/>
          <w:b w:val="1"/>
          <w:bCs w:val="1"/>
          <w:color w:val="auto"/>
        </w:rPr>
        <w:t>.</w:t>
      </w:r>
      <w:r>
        <w:rPr>
          <w:rFonts w:ascii="Arial" w:cs="Arial" w:eastAsia="Arial" w:hAnsi="Arial"/>
          <w:sz w:val="22"/>
          <w:szCs w:val="22"/>
          <w:color w:val="auto"/>
        </w:rPr>
        <w:t xml:space="preserve"> We have the courage to do and say what’s difficult. Each of us takes </w:t>
      </w:r>
      <w:r>
        <w:rPr>
          <w:rFonts w:ascii="Arial" w:cs="Arial" w:eastAsia="Arial" w:hAnsi="Arial"/>
          <w:sz w:val="22"/>
          <w:szCs w:val="22"/>
          <w:b w:val="1"/>
          <w:bCs w:val="1"/>
          <w:color w:val="F2B516"/>
        </w:rPr>
        <w:t>accountability</w:t>
      </w:r>
      <w:r>
        <w:rPr>
          <w:rFonts w:ascii="Arial" w:cs="Arial" w:eastAsia="Arial" w:hAnsi="Arial"/>
          <w:sz w:val="22"/>
          <w:szCs w:val="22"/>
          <w:color w:val="auto"/>
        </w:rPr>
        <w:t xml:space="preserve"> for results and has the </w:t>
      </w:r>
      <w:r>
        <w:rPr>
          <w:rFonts w:ascii="Arial" w:cs="Arial" w:eastAsia="Arial" w:hAnsi="Arial"/>
          <w:sz w:val="22"/>
          <w:szCs w:val="22"/>
          <w:b w:val="1"/>
          <w:bCs w:val="1"/>
          <w:color w:val="F2B516"/>
        </w:rPr>
        <w:t>tenacity</w:t>
      </w:r>
      <w:r>
        <w:rPr>
          <w:rFonts w:ascii="Arial" w:cs="Arial" w:eastAsia="Arial" w:hAnsi="Arial"/>
          <w:sz w:val="22"/>
          <w:szCs w:val="22"/>
          <w:color w:val="auto"/>
        </w:rPr>
        <w:t xml:space="preserve"> to </w:t>
      </w:r>
      <w:r>
        <w:rPr>
          <w:rFonts w:ascii="Arial" w:cs="Arial" w:eastAsia="Arial" w:hAnsi="Arial"/>
          <w:sz w:val="22"/>
          <w:szCs w:val="22"/>
          <w:b w:val="1"/>
          <w:bCs w:val="1"/>
          <w:color w:val="F2B516"/>
        </w:rPr>
        <w:t>win</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589915</wp:posOffset>
            </wp:positionV>
            <wp:extent cx="7246620" cy="3429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2320290</wp:posOffset>
            </wp:positionH>
            <wp:positionV relativeFrom="paragraph">
              <wp:posOffset>109855</wp:posOffset>
            </wp:positionV>
            <wp:extent cx="2504440" cy="30035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2504440" cy="300355"/>
                    </a:xfrm>
                    <a:prstGeom prst="rect">
                      <a:avLst/>
                    </a:prstGeom>
                    <a:noFill/>
                  </pic:spPr>
                </pic:pic>
              </a:graphicData>
            </a:graphic>
          </wp:anchor>
        </w:drawing>
      </w:r>
    </w:p>
    <w:p>
      <w:pPr>
        <w:sectPr>
          <w:pgSz w:w="11900" w:h="16838" w:orient="portrait"/>
          <w:cols w:equalWidth="0" w:num="1">
            <w:col w:w="10219"/>
          </w:cols>
          <w:pgMar w:left="240" w:top="225" w:right="1440" w:bottom="1440" w:gutter="0" w:footer="0" w:header="0"/>
        </w:sectPr>
      </w:pPr>
    </w:p>
    <w:bookmarkStart w:id="80" w:name="page81"/>
    <w:bookmarkEnd w:id="80"/>
    <w:p>
      <w:pPr>
        <w:spacing w:after="0"/>
        <w:rPr>
          <w:rFonts w:ascii="Arial" w:cs="Arial" w:eastAsia="Arial" w:hAnsi="Arial"/>
          <w:sz w:val="17"/>
          <w:szCs w:val="17"/>
          <w:b w:val="1"/>
          <w:bCs w:val="1"/>
          <w:u w:val="single" w:color="auto"/>
          <w:color w:val="0000EE"/>
        </w:rPr>
      </w:pPr>
      <w:hyperlink w:anchor="page8">
        <w:r>
          <w:rPr>
            <w:rFonts w:ascii="Arial" w:cs="Arial" w:eastAsia="Arial" w:hAnsi="Arial"/>
            <w:sz w:val="17"/>
            <w:szCs w:val="17"/>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19848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7246620" cy="8198485"/>
                    </a:xfrm>
                    <a:prstGeom prst="rect">
                      <a:avLst/>
                    </a:prstGeom>
                    <a:noFill/>
                  </pic:spPr>
                </pic:pic>
              </a:graphicData>
            </a:graphic>
          </wp:anchor>
        </w:drawing>
      </w:r>
    </w:p>
    <w:p>
      <w:pPr>
        <w:sectPr>
          <w:pgSz w:w="11900" w:h="16838" w:orient="portrait"/>
          <w:cols w:equalWidth="0" w:num="1">
            <w:col w:w="10219"/>
          </w:cols>
          <w:pgMar w:left="240" w:top="225" w:right="1440" w:bottom="1440" w:gutter="0" w:footer="0" w:header="0"/>
        </w:sectPr>
      </w:pPr>
    </w:p>
    <w:bookmarkStart w:id="81" w:name="page82"/>
    <w:bookmarkEnd w:id="81"/>
    <w:p>
      <w:pPr>
        <w:spacing w:after="0"/>
        <w:rPr>
          <w:rFonts w:ascii="Arial" w:cs="Arial" w:eastAsia="Arial" w:hAnsi="Arial"/>
          <w:sz w:val="17"/>
          <w:szCs w:val="17"/>
          <w:b w:val="1"/>
          <w:bCs w:val="1"/>
          <w:u w:val="single" w:color="auto"/>
          <w:color w:val="0000EE"/>
        </w:rPr>
      </w:pPr>
      <w:hyperlink w:anchor="page8">
        <w:r>
          <w:rPr>
            <w:rFonts w:ascii="Arial" w:cs="Arial" w:eastAsia="Arial" w:hAnsi="Arial"/>
            <w:sz w:val="17"/>
            <w:szCs w:val="17"/>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746950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7246620" cy="7469505"/>
                    </a:xfrm>
                    <a:prstGeom prst="rect">
                      <a:avLst/>
                    </a:prstGeom>
                    <a:noFill/>
                  </pic:spPr>
                </pic:pic>
              </a:graphicData>
            </a:graphic>
          </wp:anchor>
        </w:drawing>
      </w:r>
    </w:p>
    <w:sectPr>
      <w:pgSz w:w="11900" w:h="16838" w:orient="portrait"/>
      <w:cols w:equalWidth="0" w:num="1">
        <w:col w:w="10219"/>
      </w:cols>
      <w:pgMar w:left="240" w:top="2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48EAA1"/>
    <w:multiLevelType w:val="hybridMultilevel"/>
    <w:lvl w:ilvl="0">
      <w:lvlJc w:val="left"/>
      <w:lvlText w:val="(%1)"/>
      <w:numFmt w:val="decimal"/>
      <w:start w:val="1"/>
    </w:lvl>
  </w:abstractNum>
  <w:abstractNum w:abstractNumId="1">
    <w:nsid w:val="1381823A"/>
    <w:multiLevelType w:val="hybridMultilevel"/>
    <w:lvl w:ilvl="0">
      <w:lvlJc w:val="left"/>
      <w:lvlText w:val="(%1)"/>
      <w:numFmt w:val="decimal"/>
      <w:start w:val="1"/>
    </w:lvl>
  </w:abstractNum>
  <w:abstractNum w:abstractNumId="2">
    <w:nsid w:val="5DB70AE5"/>
    <w:multiLevelType w:val="hybridMultilevel"/>
    <w:lvl w:ilvl="0">
      <w:lvlJc w:val="left"/>
      <w:lvlText w:val="•"/>
      <w:numFmt w:val="bullet"/>
      <w:start w:val="1"/>
    </w:lvl>
  </w:abstractNum>
  <w:abstractNum w:abstractNumId="3">
    <w:nsid w:val="100F8FCA"/>
    <w:multiLevelType w:val="hybridMultilevel"/>
    <w:lvl w:ilvl="0">
      <w:lvlJc w:val="left"/>
      <w:lvlText w:val="►"/>
      <w:numFmt w:val="bullet"/>
      <w:start w:val="1"/>
    </w:lvl>
  </w:abstractNum>
  <w:abstractNum w:abstractNumId="4">
    <w:nsid w:val="6590700B"/>
    <w:multiLevelType w:val="hybridMultilevel"/>
    <w:lvl w:ilvl="0">
      <w:lvlJc w:val="left"/>
      <w:lvlText w:val="•"/>
      <w:numFmt w:val="bullet"/>
      <w:start w:val="1"/>
    </w:lvl>
  </w:abstractNum>
  <w:abstractNum w:abstractNumId="5">
    <w:nsid w:val="15014ACB"/>
    <w:multiLevelType w:val="hybridMultilevel"/>
    <w:lvl w:ilvl="0">
      <w:lvlJc w:val="left"/>
      <w:lvlText w:val="►"/>
      <w:numFmt w:val="bullet"/>
      <w:start w:val="1"/>
    </w:lvl>
  </w:abstractNum>
  <w:abstractNum w:abstractNumId="6">
    <w:nsid w:val="5F5E7FD0"/>
    <w:multiLevelType w:val="hybridMultilevel"/>
    <w:lvl w:ilvl="0">
      <w:lvlJc w:val="left"/>
      <w:lvlText w:val="►"/>
      <w:numFmt w:val="bullet"/>
      <w:start w:val="1"/>
    </w:lvl>
  </w:abstractNum>
  <w:abstractNum w:abstractNumId="7">
    <w:nsid w:val="98A3148"/>
    <w:multiLevelType w:val="hybridMultilevel"/>
    <w:lvl w:ilvl="0">
      <w:lvlJc w:val="left"/>
      <w:lvlText w:val="►"/>
      <w:numFmt w:val="bullet"/>
      <w:start w:val="1"/>
    </w:lvl>
  </w:abstractNum>
  <w:abstractNum w:abstractNumId="8">
    <w:nsid w:val="799D0247"/>
    <w:multiLevelType w:val="hybridMultilevel"/>
    <w:lvl w:ilvl="0">
      <w:lvlJc w:val="left"/>
      <w:lvlText w:val="►"/>
      <w:numFmt w:val="bullet"/>
      <w:start w:val="1"/>
    </w:lvl>
  </w:abstractNum>
  <w:abstractNum w:abstractNumId="9">
    <w:nsid w:val="6B94764"/>
    <w:multiLevelType w:val="hybridMultilevel"/>
    <w:lvl w:ilvl="0">
      <w:lvlJc w:val="left"/>
      <w:lvlText w:val="(%1)"/>
      <w:numFmt w:val="decimal"/>
      <w:start w:val="1"/>
    </w:lvl>
  </w:abstractNum>
  <w:abstractNum w:abstractNumId="10">
    <w:nsid w:val="42C296BD"/>
    <w:multiLevelType w:val="hybridMultilevel"/>
    <w:lvl w:ilvl="0">
      <w:lvlJc w:val="left"/>
      <w:lvlText w:val="(%1)"/>
      <w:numFmt w:val="decimal"/>
      <w:start w:val="3"/>
    </w:lvl>
  </w:abstractNum>
  <w:abstractNum w:abstractNumId="11">
    <w:nsid w:val="168E121F"/>
    <w:multiLevelType w:val="hybridMultilevel"/>
    <w:lvl w:ilvl="0">
      <w:lvlJc w:val="left"/>
      <w:lvlText w:val="%1"/>
      <w:numFmt w:val="decimal"/>
      <w:start w:val="1"/>
    </w:lvl>
    <w:lvl w:ilvl="1">
      <w:lvlJc w:val="left"/>
      <w:lvlText w:val="(%2)"/>
      <w:numFmt w:val="lowerLetter"/>
      <w:start w:val="1"/>
    </w:lvl>
  </w:abstractNum>
  <w:abstractNum w:abstractNumId="12">
    <w:nsid w:val="1EBA5D23"/>
    <w:multiLevelType w:val="hybridMultilevel"/>
    <w:lvl w:ilvl="0">
      <w:lvlJc w:val="left"/>
      <w:lvlText w:val="(%1)"/>
      <w:numFmt w:val="decimal"/>
      <w:start w:val="4"/>
    </w:lvl>
    <w:lvl w:ilvl="1">
      <w:lvlJc w:val="left"/>
      <w:lvlText w:val="%2"/>
      <w:numFmt w:val="lowerLetter"/>
      <w:start w:val="1"/>
    </w:lvl>
  </w:abstractNum>
  <w:abstractNum w:abstractNumId="13">
    <w:nsid w:val="661E3F1E"/>
    <w:multiLevelType w:val="hybridMultilevel"/>
    <w:lvl w:ilvl="0">
      <w:lvlJc w:val="left"/>
      <w:lvlText w:val="►"/>
      <w:numFmt w:val="bullet"/>
      <w:start w:val="1"/>
    </w:lvl>
  </w:abstractNum>
  <w:abstractNum w:abstractNumId="14">
    <w:nsid w:val="5DC79EA8"/>
    <w:multiLevelType w:val="hybridMultilevel"/>
    <w:lvl w:ilvl="0">
      <w:lvlJc w:val="left"/>
      <w:lvlText w:val="►"/>
      <w:numFmt w:val="bullet"/>
      <w:start w:val="1"/>
    </w:lvl>
  </w:abstractNum>
  <w:abstractNum w:abstractNumId="15">
    <w:nsid w:val="540A471C"/>
    <w:multiLevelType w:val="hybridMultilevel"/>
    <w:lvl w:ilvl="0">
      <w:lvlJc w:val="left"/>
      <w:lvlText w:val="•"/>
      <w:numFmt w:val="bullet"/>
      <w:start w:val="1"/>
    </w:lvl>
  </w:abstractNum>
  <w:abstractNum w:abstractNumId="16">
    <w:nsid w:val="7BD3EE7B"/>
    <w:multiLevelType w:val="hybridMultilevel"/>
    <w:lvl w:ilvl="0">
      <w:lvlJc w:val="left"/>
      <w:lvlText w:val="•"/>
      <w:numFmt w:val="bullet"/>
      <w:start w:val="1"/>
    </w:lvl>
  </w:abstractNum>
  <w:abstractNum w:abstractNumId="17">
    <w:nsid w:val="51D9C564"/>
    <w:multiLevelType w:val="hybridMultilevel"/>
    <w:lvl w:ilvl="0">
      <w:lvlJc w:val="left"/>
      <w:lvlText w:val="•"/>
      <w:numFmt w:val="bullet"/>
      <w:start w:val="1"/>
    </w:lvl>
  </w:abstractNum>
  <w:abstractNum w:abstractNumId="18">
    <w:nsid w:val="613EFDC5"/>
    <w:multiLevelType w:val="hybridMultilevel"/>
    <w:lvl w:ilvl="0">
      <w:lvlJc w:val="left"/>
      <w:lvlText w:val="•"/>
      <w:numFmt w:val="bullet"/>
      <w:start w:val="1"/>
    </w:lvl>
  </w:abstractNum>
  <w:abstractNum w:abstractNumId="19">
    <w:nsid w:val="BF72B14"/>
    <w:multiLevelType w:val="hybridMultilevel"/>
    <w:lvl w:ilvl="0">
      <w:lvlJc w:val="left"/>
      <w:lvlText w:val="•"/>
      <w:numFmt w:val="bullet"/>
      <w:start w:val="1"/>
    </w:lvl>
  </w:abstractNum>
  <w:abstractNum w:abstractNumId="20">
    <w:nsid w:val="11447B73"/>
    <w:multiLevelType w:val="hybridMultilevel"/>
    <w:lvl w:ilvl="0">
      <w:lvlJc w:val="left"/>
      <w:lvlText w:val="•"/>
      <w:numFmt w:val="bullet"/>
      <w:start w:val="1"/>
    </w:lvl>
  </w:abstractNum>
  <w:abstractNum w:abstractNumId="21">
    <w:nsid w:val="42963E5A"/>
    <w:multiLevelType w:val="hybridMultilevel"/>
    <w:lvl w:ilvl="0">
      <w:lvlJc w:val="left"/>
      <w:lvlText w:val="(%1)"/>
      <w:numFmt w:val="decimal"/>
      <w:start w:val="1"/>
    </w:lvl>
  </w:abstractNum>
  <w:abstractNum w:abstractNumId="22">
    <w:nsid w:val="A0382C5"/>
    <w:multiLevelType w:val="hybridMultilevel"/>
    <w:lvl w:ilvl="0">
      <w:lvlJc w:val="left"/>
      <w:lvlText w:val="(%1)"/>
      <w:numFmt w:val="decimal"/>
      <w:start w:val="1"/>
    </w:lvl>
  </w:abstractNum>
  <w:abstractNum w:abstractNumId="23">
    <w:nsid w:val="8F2B15E"/>
    <w:multiLevelType w:val="hybridMultilevel"/>
    <w:lvl w:ilvl="0">
      <w:lvlJc w:val="left"/>
      <w:lvlText w:val="(%1)"/>
      <w:numFmt w:val="decimal"/>
      <w:start w:val="1"/>
    </w:lvl>
  </w:abstractNum>
  <w:abstractNum w:abstractNumId="24">
    <w:nsid w:val="1A32234B"/>
    <w:multiLevelType w:val="hybridMultilevel"/>
    <w:lvl w:ilvl="0">
      <w:lvlJc w:val="left"/>
      <w:lvlText w:val="►"/>
      <w:numFmt w:val="bullet"/>
      <w:start w:val="1"/>
    </w:lvl>
  </w:abstractNum>
  <w:abstractNum w:abstractNumId="25">
    <w:nsid w:val="3B0FD379"/>
    <w:multiLevelType w:val="hybridMultilevel"/>
    <w:lvl w:ilvl="0">
      <w:lvlJc w:val="left"/>
      <w:lvlText w:val="(%1)"/>
      <w:numFmt w:val="decimal"/>
      <w:start w:val="1"/>
    </w:lvl>
    <w:lvl w:ilvl="1">
      <w:lvlJc w:val="left"/>
      <w:lvlText w:val="►"/>
      <w:numFmt w:val="bullet"/>
      <w:start w:val="1"/>
    </w:lvl>
  </w:abstractNum>
  <w:abstractNum w:abstractNumId="26">
    <w:nsid w:val="68EB2F63"/>
    <w:multiLevelType w:val="hybridMultilevel"/>
    <w:lvl w:ilvl="0">
      <w:lvlJc w:val="left"/>
      <w:lvlText w:val="•"/>
      <w:numFmt w:val="bullet"/>
      <w:start w:val="1"/>
    </w:lvl>
  </w:abstractNum>
  <w:abstractNum w:abstractNumId="27">
    <w:nsid w:val="4962813B"/>
    <w:multiLevelType w:val="hybridMultilevel"/>
    <w:lvl w:ilvl="0">
      <w:lvlJc w:val="left"/>
      <w:lvlText w:val="►"/>
      <w:numFmt w:val="bullet"/>
      <w:start w:val="1"/>
    </w:lvl>
  </w:abstractNum>
  <w:abstractNum w:abstractNumId="28">
    <w:nsid w:val="60B6DF70"/>
    <w:multiLevelType w:val="hybridMultilevel"/>
    <w:lvl w:ilvl="0">
      <w:lvlJc w:val="left"/>
      <w:lvlText w:val="(%1)"/>
      <w:numFmt w:val="decimal"/>
      <w:start w:val="1"/>
    </w:lvl>
  </w:abstractNum>
  <w:abstractNum w:abstractNumId="29">
    <w:nsid w:val="6A5EE64"/>
    <w:multiLevelType w:val="hybridMultilevel"/>
    <w:lvl w:ilvl="0">
      <w:lvlJc w:val="left"/>
      <w:lvlText w:val="(%1)"/>
      <w:numFmt w:val="decimal"/>
      <w:start w:val="1"/>
    </w:lvl>
  </w:abstractNum>
  <w:abstractNum w:abstractNumId="30">
    <w:nsid w:val="14330624"/>
    <w:multiLevelType w:val="hybridMultilevel"/>
    <w:lvl w:ilvl="0">
      <w:lvlJc w:val="left"/>
      <w:lvlText w:val="►"/>
      <w:numFmt w:val="bullet"/>
      <w:start w:val="1"/>
    </w:lvl>
  </w:abstractNum>
  <w:abstractNum w:abstractNumId="31">
    <w:nsid w:val="7FFFCA11"/>
    <w:multiLevelType w:val="hybridMultilevel"/>
    <w:lvl w:ilvl="0">
      <w:lvlJc w:val="left"/>
      <w:lvlText w:val="►"/>
      <w:numFmt w:val="bullet"/>
      <w:start w:val="1"/>
    </w:lvl>
  </w:abstractNum>
  <w:abstractNum w:abstractNumId="32">
    <w:nsid w:val="1A27709E"/>
    <w:multiLevelType w:val="hybridMultilevel"/>
    <w:lvl w:ilvl="0">
      <w:lvlJc w:val="left"/>
      <w:lvlText w:val="►"/>
      <w:numFmt w:val="bullet"/>
      <w:start w:val="1"/>
    </w:lvl>
  </w:abstractNum>
  <w:abstractNum w:abstractNumId="33">
    <w:nsid w:val="71EA1109"/>
    <w:multiLevelType w:val="hybridMultilevel"/>
    <w:lvl w:ilvl="0">
      <w:lvlJc w:val="left"/>
      <w:lvlText w:val="•"/>
      <w:numFmt w:val="bullet"/>
      <w:start w:val="1"/>
    </w:lvl>
  </w:abstractNum>
  <w:abstractNum w:abstractNumId="34">
    <w:nsid w:val="100F59DC"/>
    <w:multiLevelType w:val="hybridMultilevel"/>
    <w:lvl w:ilvl="0">
      <w:lvlJc w:val="left"/>
      <w:lvlText w:val="•"/>
      <w:numFmt w:val="bullet"/>
      <w:start w:val="1"/>
    </w:lvl>
  </w:abstractNum>
  <w:abstractNum w:abstractNumId="35">
    <w:nsid w:val="7FB7E0AA"/>
    <w:multiLevelType w:val="hybridMultilevel"/>
    <w:lvl w:ilvl="0">
      <w:lvlJc w:val="left"/>
      <w:lvlText w:val="►"/>
      <w:numFmt w:val="bullet"/>
      <w:start w:val="1"/>
    </w:lvl>
  </w:abstractNum>
  <w:abstractNum w:abstractNumId="36">
    <w:nsid w:val="6EB5BD4"/>
    <w:multiLevelType w:val="hybridMultilevel"/>
    <w:lvl w:ilvl="0">
      <w:lvlJc w:val="left"/>
      <w:lvlText w:val="►"/>
      <w:numFmt w:val="bullet"/>
      <w:start w:val="1"/>
    </w:lvl>
  </w:abstractNum>
  <w:abstractNum w:abstractNumId="37">
    <w:nsid w:val="6F6DD9AC"/>
    <w:multiLevelType w:val="hybridMultilevel"/>
    <w:lvl w:ilvl="0">
      <w:lvlJc w:val="left"/>
      <w:lvlText w:val="►"/>
      <w:numFmt w:val="bullet"/>
      <w:start w:val="1"/>
    </w:lvl>
  </w:abstractNum>
  <w:abstractNum w:abstractNumId="38">
    <w:nsid w:val="94211F2"/>
    <w:multiLevelType w:val="hybridMultilevel"/>
    <w:lvl w:ilvl="0">
      <w:lvlJc w:val="left"/>
      <w:lvlText w:val="•"/>
      <w:numFmt w:val="bullet"/>
      <w:start w:val="1"/>
    </w:lvl>
  </w:abstractNum>
  <w:abstractNum w:abstractNumId="39">
    <w:nsid w:val="885E1B"/>
    <w:multiLevelType w:val="hybridMultilevel"/>
    <w:lvl w:ilvl="0">
      <w:lvlJc w:val="left"/>
      <w:lvlText w:val="•"/>
      <w:numFmt w:val="bullet"/>
      <w:start w:val="1"/>
    </w:lvl>
  </w:abstractNum>
  <w:abstractNum w:abstractNumId="40">
    <w:nsid w:val="76272110"/>
    <w:multiLevelType w:val="hybridMultilevel"/>
    <w:lvl w:ilvl="0">
      <w:lvlJc w:val="left"/>
      <w:lvlText w:val="►"/>
      <w:numFmt w:val="bullet"/>
      <w:start w:val="1"/>
    </w:lvl>
  </w:abstractNum>
  <w:abstractNum w:abstractNumId="41">
    <w:nsid w:val="4C04A8AF"/>
    <w:multiLevelType w:val="hybridMultilevel"/>
    <w:lvl w:ilvl="0">
      <w:lvlJc w:val="left"/>
      <w:lvlText w:val="•"/>
      <w:numFmt w:val="bullet"/>
      <w:start w:val="1"/>
    </w:lvl>
  </w:abstractNum>
  <w:abstractNum w:abstractNumId="42">
    <w:nsid w:val="1716703B"/>
    <w:multiLevelType w:val="hybridMultilevel"/>
    <w:lvl w:ilvl="0">
      <w:lvlJc w:val="left"/>
      <w:lvlText w:val="•"/>
      <w:numFmt w:val="bullet"/>
      <w:start w:val="1"/>
    </w:lvl>
  </w:abstractNum>
  <w:abstractNum w:abstractNumId="43">
    <w:nsid w:val="14E17E33"/>
    <w:multiLevelType w:val="hybridMultilevel"/>
    <w:lvl w:ilvl="0">
      <w:lvlJc w:val="left"/>
      <w:lvlText w:val="►"/>
      <w:numFmt w:val="bullet"/>
      <w:start w:val="1"/>
    </w:lvl>
  </w:abstractNum>
  <w:abstractNum w:abstractNumId="44">
    <w:nsid w:val="3222E7CD"/>
    <w:multiLevelType w:val="hybridMultilevel"/>
    <w:lvl w:ilvl="0">
      <w:lvlJc w:val="left"/>
      <w:lvlText w:val="•"/>
      <w:numFmt w:val="bullet"/>
      <w:start w:val="1"/>
    </w:lvl>
  </w:abstractNum>
  <w:abstractNum w:abstractNumId="45">
    <w:nsid w:val="74DE0EE3"/>
    <w:multiLevelType w:val="hybridMultilevel"/>
    <w:lvl w:ilvl="0">
      <w:lvlJc w:val="left"/>
      <w:lvlText w:val="►"/>
      <w:numFmt w:val="bullet"/>
      <w:start w:val="1"/>
    </w:lvl>
  </w:abstractNum>
  <w:abstractNum w:abstractNumId="46">
    <w:nsid w:val="68EBC550"/>
    <w:multiLevelType w:val="hybridMultilevel"/>
    <w:lvl w:ilvl="0">
      <w:lvlJc w:val="left"/>
      <w:lvlText w:val="►"/>
      <w:numFmt w:val="bullet"/>
      <w:start w:val="1"/>
    </w:lvl>
  </w:abstractNum>
  <w:abstractNum w:abstractNumId="47">
    <w:nsid w:val="2DF6D648"/>
    <w:multiLevelType w:val="hybridMultilevel"/>
    <w:lvl w:ilvl="0">
      <w:lvlJc w:val="left"/>
      <w:lvlText w:val="►"/>
      <w:numFmt w:val="bullet"/>
      <w:start w:val="1"/>
    </w:lvl>
  </w:abstractNum>
  <w:abstractNum w:abstractNumId="48">
    <w:nsid w:val="46B7D447"/>
    <w:multiLevelType w:val="hybridMultilevel"/>
    <w:lvl w:ilvl="0">
      <w:lvlJc w:val="left"/>
      <w:lvlText w:val="►"/>
      <w:numFmt w:val="bullet"/>
      <w:start w:val="1"/>
    </w:lvl>
  </w:abstractNum>
  <w:abstractNum w:abstractNumId="49">
    <w:nsid w:val="4A2AC315"/>
    <w:multiLevelType w:val="hybridMultilevel"/>
    <w:lvl w:ilvl="0">
      <w:lvlJc w:val="left"/>
      <w:lvlText w:val="►"/>
      <w:numFmt w:val="bullet"/>
      <w:start w:val="1"/>
    </w:lvl>
  </w:abstractNum>
  <w:abstractNum w:abstractNumId="50">
    <w:nsid w:val="39EE015C"/>
    <w:multiLevelType w:val="hybridMultilevel"/>
    <w:lvl w:ilvl="0">
      <w:lvlJc w:val="left"/>
      <w:lvlText w:val="(%1)"/>
      <w:numFmt w:val="decimal"/>
      <w:start w:val="1"/>
    </w:lvl>
  </w:abstractNum>
  <w:abstractNum w:abstractNumId="51">
    <w:nsid w:val="57FC4FBB"/>
    <w:multiLevelType w:val="hybridMultilevel"/>
    <w:lvl w:ilvl="0">
      <w:lvlJc w:val="left"/>
      <w:lvlText w:val="►"/>
      <w:numFmt w:val="bullet"/>
      <w:start w:val="1"/>
    </w:lvl>
  </w:abstractNum>
  <w:abstractNum w:abstractNumId="52">
    <w:nsid w:val="CC1016F"/>
    <w:multiLevelType w:val="hybridMultilevel"/>
    <w:lvl w:ilvl="0">
      <w:lvlJc w:val="left"/>
      <w:lvlText w:val="(%1)"/>
      <w:numFmt w:val="decimal"/>
      <w:start w:val="1"/>
    </w:lvl>
  </w:abstractNum>
  <w:abstractNum w:abstractNumId="53">
    <w:nsid w:val="43F18422"/>
    <w:multiLevelType w:val="hybridMultilevel"/>
    <w:lvl w:ilvl="0">
      <w:lvlJc w:val="left"/>
      <w:lvlText w:val="(%1)"/>
      <w:numFmt w:val="decimal"/>
      <w:start w:val="1"/>
    </w:lvl>
  </w:abstractNum>
  <w:abstractNum w:abstractNumId="54">
    <w:nsid w:val="60EF0119"/>
    <w:multiLevelType w:val="hybridMultilevel"/>
    <w:lvl w:ilvl="0">
      <w:lvlJc w:val="left"/>
      <w:lvlText w:val="►"/>
      <w:numFmt w:val="bullet"/>
      <w:start w:val="1"/>
    </w:lvl>
  </w:abstractNum>
  <w:abstractNum w:abstractNumId="55">
    <w:nsid w:val="26F324BA"/>
    <w:multiLevelType w:val="hybridMultilevel"/>
    <w:lvl w:ilvl="0">
      <w:lvlJc w:val="left"/>
      <w:lvlText w:val="•"/>
      <w:numFmt w:val="bullet"/>
      <w:start w:val="1"/>
    </w:lvl>
  </w:abstractNum>
  <w:abstractNum w:abstractNumId="56">
    <w:nsid w:val="7F01579B"/>
    <w:multiLevelType w:val="hybridMultilevel"/>
    <w:lvl w:ilvl="0">
      <w:lvlJc w:val="left"/>
      <w:lvlText w:val="•"/>
      <w:numFmt w:val="bullet"/>
      <w:start w:val="1"/>
    </w:lvl>
  </w:abstractNum>
  <w:abstractNum w:abstractNumId="57">
    <w:nsid w:val="49DA307D"/>
    <w:multiLevelType w:val="hybridMultilevel"/>
    <w:lvl w:ilvl="0">
      <w:lvlJc w:val="left"/>
      <w:lvlText w:val="•"/>
      <w:numFmt w:val="bullet"/>
      <w:start w:val="1"/>
    </w:lvl>
  </w:abstractNum>
  <w:abstractNum w:abstractNumId="58">
    <w:nsid w:val="7055A5F5"/>
    <w:multiLevelType w:val="hybridMultilevel"/>
    <w:lvl w:ilvl="0">
      <w:lvlJc w:val="left"/>
      <w:lvlText w:val="(%1)"/>
      <w:numFmt w:val="decimal"/>
      <w:start w:val="1"/>
    </w:lvl>
  </w:abstractNum>
  <w:abstractNum w:abstractNumId="59">
    <w:nsid w:val="5FB8370B"/>
    <w:multiLevelType w:val="hybridMultilevel"/>
    <w:lvl w:ilvl="0">
      <w:lvlJc w:val="left"/>
      <w:lvlText w:val="(%1)"/>
      <w:numFmt w:val="decimal"/>
      <w:start w:val="1"/>
    </w:lvl>
  </w:abstractNum>
  <w:abstractNum w:abstractNumId="60">
    <w:nsid w:val="50801EE1"/>
    <w:multiLevelType w:val="hybridMultilevel"/>
    <w:lvl w:ilvl="0">
      <w:lvlJc w:val="left"/>
      <w:lvlText w:val="►"/>
      <w:numFmt w:val="bullet"/>
      <w:start w:val="1"/>
    </w:lvl>
  </w:abstractNum>
  <w:abstractNum w:abstractNumId="61">
    <w:nsid w:val="488AC1A"/>
    <w:multiLevelType w:val="hybridMultilevel"/>
    <w:lvl w:ilvl="0">
      <w:lvlJc w:val="left"/>
      <w:lvlText w:val="►"/>
      <w:numFmt w:val="bullet"/>
      <w:start w:val="1"/>
    </w:lvl>
  </w:abstractNum>
  <w:abstractNum w:abstractNumId="62">
    <w:nsid w:val="5FB8011C"/>
    <w:multiLevelType w:val="hybridMultilevel"/>
    <w:lvl w:ilvl="0">
      <w:lvlJc w:val="left"/>
      <w:lvlText w:val="(%1)"/>
      <w:numFmt w:val="decimal"/>
      <w:start w:val="1"/>
    </w:lvl>
  </w:abstractNum>
  <w:abstractNum w:abstractNumId="63">
    <w:nsid w:val="6AA78F7F"/>
    <w:multiLevelType w:val="hybridMultilevel"/>
    <w:lvl w:ilvl="0">
      <w:lvlJc w:val="left"/>
      <w:lvlText w:val="►"/>
      <w:numFmt w:val="bullet"/>
      <w:start w:val="1"/>
    </w:lvl>
  </w:abstractNum>
  <w:abstractNum w:abstractNumId="64">
    <w:nsid w:val="7672BD23"/>
    <w:multiLevelType w:val="hybridMultilevel"/>
    <w:lvl w:ilvl="0">
      <w:lvlJc w:val="left"/>
      <w:lvlText w:val="►"/>
      <w:numFmt w:val="bullet"/>
      <w:start w:val="1"/>
    </w:lvl>
  </w:abstractNum>
  <w:abstractNum w:abstractNumId="65">
    <w:nsid w:val="6FC75AF8"/>
    <w:multiLevelType w:val="hybridMultilevel"/>
    <w:lvl w:ilvl="0">
      <w:lvlJc w:val="left"/>
      <w:lvlText w:val="►"/>
      <w:numFmt w:val="bullet"/>
      <w:start w:val="1"/>
    </w:lvl>
  </w:abstractNum>
  <w:abstractNum w:abstractNumId="66">
    <w:nsid w:val="6A5F7029"/>
    <w:multiLevelType w:val="hybridMultilevel"/>
    <w:lvl w:ilvl="0">
      <w:lvlJc w:val="left"/>
      <w:lvlText w:val="►"/>
      <w:numFmt w:val="bullet"/>
      <w:start w:val="1"/>
    </w:lvl>
  </w:abstractNum>
  <w:abstractNum w:abstractNumId="67">
    <w:nsid w:val="7D5E18F8"/>
    <w:multiLevelType w:val="hybridMultilevel"/>
    <w:lvl w:ilvl="0">
      <w:lvlJc w:val="left"/>
      <w:lvlText w:val="►"/>
      <w:numFmt w:val="bullet"/>
      <w:start w:val="1"/>
    </w:lvl>
  </w:abstractNum>
  <w:abstractNum w:abstractNumId="68">
    <w:nsid w:val="5F3534A4"/>
    <w:multiLevelType w:val="hybridMultilevel"/>
    <w:lvl w:ilvl="0">
      <w:lvlJc w:val="left"/>
      <w:lvlText w:val="►"/>
      <w:numFmt w:val="bullet"/>
      <w:start w:val="1"/>
    </w:lvl>
  </w:abstractNum>
  <w:abstractNum w:abstractNumId="69">
    <w:nsid w:val="73A1821B"/>
    <w:multiLevelType w:val="hybridMultilevel"/>
    <w:lvl w:ilvl="0">
      <w:lvlJc w:val="left"/>
      <w:lvlText w:val="(%1)"/>
      <w:numFmt w:val="decimal"/>
      <w:start w:val="1"/>
    </w:lvl>
  </w:abstractNum>
  <w:abstractNum w:abstractNumId="70">
    <w:nsid w:val="7DE67713"/>
    <w:multiLevelType w:val="hybridMultilevel"/>
    <w:lvl w:ilvl="0">
      <w:lvlJc w:val="left"/>
      <w:lvlText w:val="►"/>
      <w:numFmt w:val="bullet"/>
      <w:start w:val="1"/>
    </w:lvl>
  </w:abstractNum>
  <w:abstractNum w:abstractNumId="71">
    <w:nsid w:val="555C55B5"/>
    <w:multiLevelType w:val="hybridMultilevel"/>
    <w:lvl w:ilvl="0">
      <w:lvlJc w:val="left"/>
      <w:lvlText w:val="►"/>
      <w:numFmt w:val="bullet"/>
      <w:start w:val="1"/>
    </w:lvl>
  </w:abstractNum>
  <w:abstractNum w:abstractNumId="72">
    <w:nsid w:val="3FA62ACA"/>
    <w:multiLevelType w:val="hybridMultilevel"/>
    <w:lvl w:ilvl="0">
      <w:lvlJc w:val="left"/>
      <w:lvlText w:val="(%1)"/>
      <w:numFmt w:val="decimal"/>
      <w:start w:val="1"/>
    </w:lvl>
  </w:abstractNum>
  <w:abstractNum w:abstractNumId="73">
    <w:nsid w:val="14FCE74E"/>
    <w:multiLevelType w:val="hybridMultilevel"/>
    <w:lvl w:ilvl="0">
      <w:lvlJc w:val="left"/>
      <w:lvlText w:val="►"/>
      <w:numFmt w:val="bullet"/>
      <w:start w:val="1"/>
    </w:lvl>
  </w:abstractNum>
  <w:abstractNum w:abstractNumId="74">
    <w:nsid w:val="6A3DD3E8"/>
    <w:multiLevelType w:val="hybridMultilevel"/>
    <w:lvl w:ilvl="0">
      <w:lvlJc w:val="left"/>
      <w:lvlText w:val="►"/>
      <w:numFmt w:val="bullet"/>
      <w:start w:val="1"/>
    </w:lvl>
  </w:abstractNum>
  <w:abstractNum w:abstractNumId="75">
    <w:nsid w:val="71C91298"/>
    <w:multiLevelType w:val="hybridMultilevel"/>
    <w:lvl w:ilvl="0">
      <w:lvlJc w:val="left"/>
      <w:lvlText w:val="(%1)"/>
      <w:numFmt w:val="decimal"/>
      <w:start w:val="1"/>
    </w:lvl>
  </w:abstractNum>
  <w:abstractNum w:abstractNumId="76">
    <w:nsid w:val="9DAF632"/>
    <w:multiLevelType w:val="hybridMultilevel"/>
    <w:lvl w:ilvl="0">
      <w:lvlJc w:val="left"/>
      <w:lvlText w:val="►"/>
      <w:numFmt w:val="bullet"/>
      <w:start w:val="1"/>
    </w:lvl>
  </w:abstractNum>
  <w:abstractNum w:abstractNumId="77">
    <w:nsid w:val="53299938"/>
    <w:multiLevelType w:val="hybridMultilevel"/>
    <w:lvl w:ilvl="0">
      <w:lvlJc w:val="left"/>
      <w:lvlText w:val="►"/>
      <w:numFmt w:val="bullet"/>
      <w:start w:val="1"/>
    </w:lvl>
  </w:abstractNum>
  <w:abstractNum w:abstractNumId="78">
    <w:nsid w:val="1FBFE8E0"/>
    <w:multiLevelType w:val="hybridMultilevel"/>
    <w:lvl w:ilvl="0">
      <w:lvlJc w:val="left"/>
      <w:lvlText w:val="(%1)"/>
      <w:numFmt w:val="decimal"/>
      <w:start w:val="1"/>
    </w:lvl>
  </w:abstractNum>
  <w:abstractNum w:abstractNumId="79">
    <w:nsid w:val="5092CA79"/>
    <w:multiLevelType w:val="hybridMultilevel"/>
    <w:lvl w:ilvl="0">
      <w:lvlJc w:val="left"/>
      <w:lvlText w:val="►"/>
      <w:numFmt w:val="bullet"/>
      <w:start w:val="1"/>
    </w:lvl>
  </w:abstractNum>
  <w:abstractNum w:abstractNumId="80">
    <w:nsid w:val="1D545C4D"/>
    <w:multiLevelType w:val="hybridMultilevel"/>
    <w:lvl w:ilvl="0">
      <w:lvlJc w:val="left"/>
      <w:lvlText w:val="►"/>
      <w:numFmt w:val="bullet"/>
      <w:start w:val="1"/>
    </w:lvl>
  </w:abstractNum>
  <w:abstractNum w:abstractNumId="81">
    <w:nsid w:val="59ADEA3D"/>
    <w:multiLevelType w:val="hybridMultilevel"/>
    <w:lvl w:ilvl="0">
      <w:lvlJc w:val="left"/>
      <w:lvlText w:val="(%1)"/>
      <w:numFmt w:val="decimal"/>
      <w:start w:val="1"/>
    </w:lvl>
  </w:abstractNum>
  <w:abstractNum w:abstractNumId="82">
    <w:nsid w:val="288F1A34"/>
    <w:multiLevelType w:val="hybridMultilevel"/>
    <w:lvl w:ilvl="0">
      <w:lvlJc w:val="left"/>
      <w:lvlText w:val="►"/>
      <w:numFmt w:val="bullet"/>
      <w:start w:val="1"/>
    </w:lvl>
  </w:abstractNum>
  <w:abstractNum w:abstractNumId="83">
    <w:nsid w:val="2A155DBC"/>
    <w:multiLevelType w:val="hybridMultilevel"/>
    <w:lvl w:ilvl="0">
      <w:lvlJc w:val="left"/>
      <w:lvlText w:val="•"/>
      <w:numFmt w:val="bullet"/>
      <w:start w:val="1"/>
    </w:lvl>
    <w:lvl w:ilvl="1">
      <w:lvlJc w:val="left"/>
      <w:lvlText w:val="•"/>
      <w:numFmt w:val="bullet"/>
      <w:start w:val="1"/>
    </w:lvl>
  </w:abstractNum>
  <w:abstractNum w:abstractNumId="84">
    <w:nsid w:val="1D9F6E5F"/>
    <w:multiLevelType w:val="hybridMultilevel"/>
    <w:lvl w:ilvl="0">
      <w:lvlJc w:val="left"/>
      <w:lvlText w:val="►"/>
      <w:numFmt w:val="bullet"/>
      <w:start w:val="1"/>
    </w:lvl>
  </w:abstractNum>
  <w:abstractNum w:abstractNumId="85">
    <w:nsid w:val="97E1B4E"/>
    <w:multiLevelType w:val="hybridMultilevel"/>
    <w:lvl w:ilvl="0">
      <w:lvlJc w:val="left"/>
      <w:lvlText w:val="►"/>
      <w:numFmt w:val="bullet"/>
      <w:start w:val="1"/>
    </w:lvl>
  </w:abstractNum>
  <w:abstractNum w:abstractNumId="86">
    <w:nsid w:val="51088277"/>
    <w:multiLevelType w:val="hybridMultilevel"/>
    <w:lvl w:ilvl="0">
      <w:lvlJc w:val="left"/>
      <w:lvlText w:val="►"/>
      <w:numFmt w:val="bullet"/>
      <w:start w:val="1"/>
    </w:lvl>
  </w:abstractNum>
  <w:abstractNum w:abstractNumId="87">
    <w:nsid w:val="1CA0C5FA"/>
    <w:multiLevelType w:val="hybridMultilevel"/>
    <w:lvl w:ilvl="0">
      <w:lvlJc w:val="left"/>
      <w:lvlText w:val="►"/>
      <w:numFmt w:val="bullet"/>
      <w:start w:val="1"/>
    </w:lvl>
  </w:abstractNum>
  <w:abstractNum w:abstractNumId="88">
    <w:nsid w:val="53584BCB"/>
    <w:multiLevelType w:val="hybridMultilevel"/>
    <w:lvl w:ilvl="0">
      <w:lvlJc w:val="left"/>
      <w:lvlText w:val="•"/>
      <w:numFmt w:val="bullet"/>
      <w:start w:val="1"/>
    </w:lvl>
    <w:lvl w:ilvl="1">
      <w:lvlJc w:val="left"/>
      <w:lvlText w:val="•"/>
      <w:numFmt w:val="bullet"/>
      <w:start w:val="1"/>
    </w:lvl>
  </w:abstractNum>
  <w:abstractNum w:abstractNumId="89">
    <w:nsid w:val="415E286C"/>
    <w:multiLevelType w:val="hybridMultilevel"/>
    <w:lvl w:ilvl="0">
      <w:lvlJc w:val="left"/>
      <w:lvlText w:val="►"/>
      <w:numFmt w:val="bullet"/>
      <w:start w:val="1"/>
    </w:lvl>
  </w:abstractNum>
  <w:abstractNum w:abstractNumId="90">
    <w:nsid w:val="7C58FD05"/>
    <w:multiLevelType w:val="hybridMultilevel"/>
    <w:lvl w:ilvl="0">
      <w:lvlJc w:val="left"/>
      <w:lvlText w:val="►"/>
      <w:numFmt w:val="bullet"/>
      <w:start w:val="1"/>
    </w:lvl>
  </w:abstractNum>
  <w:abstractNum w:abstractNumId="91">
    <w:nsid w:val="23D86AAC"/>
    <w:multiLevelType w:val="hybridMultilevel"/>
    <w:lvl w:ilvl="0">
      <w:lvlJc w:val="left"/>
      <w:lvlText w:val="►"/>
      <w:numFmt w:val="bullet"/>
      <w:start w:val="1"/>
    </w:lvl>
  </w:abstractNum>
  <w:abstractNum w:abstractNumId="92">
    <w:nsid w:val="45E6D486"/>
    <w:multiLevelType w:val="hybridMultilevel"/>
    <w:lvl w:ilvl="0">
      <w:lvlJc w:val="left"/>
      <w:lvlText w:val="(%1)"/>
      <w:numFmt w:val="decimal"/>
      <w:start w:val="1"/>
    </w:lvl>
  </w:abstractNum>
  <w:abstractNum w:abstractNumId="93">
    <w:nsid w:val="5C10FE21"/>
    <w:multiLevelType w:val="hybridMultilevel"/>
    <w:lvl w:ilvl="0">
      <w:lvlJc w:val="left"/>
      <w:lvlText w:val="(%1)"/>
      <w:numFmt w:val="decimal"/>
      <w:start w:val="5"/>
    </w:lvl>
  </w:abstractNum>
  <w:abstractNum w:abstractNumId="94">
    <w:nsid w:val="E7FFA2B"/>
    <w:multiLevelType w:val="hybridMultilevel"/>
    <w:lvl w:ilvl="0">
      <w:lvlJc w:val="left"/>
      <w:lvlText w:val="(%1)"/>
      <w:numFmt w:val="decimal"/>
      <w:start w:val="1"/>
    </w:lvl>
  </w:abstractNum>
  <w:abstractNum w:abstractNumId="95">
    <w:nsid w:val="3C5991AA"/>
    <w:multiLevelType w:val="hybridMultilevel"/>
    <w:lvl w:ilvl="0">
      <w:lvlJc w:val="left"/>
      <w:lvlText w:val="(%1)"/>
      <w:numFmt w:val="decimal"/>
      <w:start w:val="1"/>
    </w:lvl>
  </w:abstractNum>
  <w:abstractNum w:abstractNumId="96">
    <w:nsid w:val="4BD8591A"/>
    <w:multiLevelType w:val="hybridMultilevel"/>
    <w:lvl w:ilvl="0">
      <w:lvlJc w:val="left"/>
      <w:lvlText w:val="►"/>
      <w:numFmt w:val="bullet"/>
      <w:start w:val="1"/>
    </w:lvl>
  </w:abstractNum>
  <w:abstractNum w:abstractNumId="97">
    <w:nsid w:val="78DF6A55"/>
    <w:multiLevelType w:val="hybridMultilevel"/>
    <w:lvl w:ilvl="0">
      <w:lvlJc w:val="left"/>
      <w:lvlText w:val="(%1)"/>
      <w:numFmt w:val="decimal"/>
      <w:start w:val="1"/>
    </w:lvl>
    <w:lvl w:ilvl="1">
      <w:lvlJc w:val="left"/>
      <w:lvlText w:val="•"/>
      <w:numFmt w:val="bullet"/>
      <w:start w:val="1"/>
    </w:lvl>
  </w:abstractNum>
  <w:abstractNum w:abstractNumId="98">
    <w:nsid w:val="39B7AAA2"/>
    <w:multiLevelType w:val="hybridMultilevel"/>
    <w:lvl w:ilvl="0">
      <w:lvlJc w:val="left"/>
      <w:lvlText w:val="►"/>
      <w:numFmt w:val="bullet"/>
      <w:start w:val="1"/>
    </w:lvl>
  </w:abstractNum>
  <w:abstractNum w:abstractNumId="99">
    <w:nsid w:val="2B0D8DBE"/>
    <w:multiLevelType w:val="hybridMultilevel"/>
    <w:lvl w:ilvl="0">
      <w:lvlJc w:val="left"/>
      <w:lvlText w:val="(%1)"/>
      <w:numFmt w:val="decimal"/>
      <w:start w:val="1"/>
    </w:lvl>
  </w:abstractNum>
  <w:abstractNum w:abstractNumId="100">
    <w:nsid w:val="6C80EC70"/>
    <w:multiLevelType w:val="hybridMultilevel"/>
    <w:lvl w:ilvl="0">
      <w:lvlJc w:val="left"/>
      <w:lvlText w:val="►"/>
      <w:numFmt w:val="bullet"/>
      <w:start w:val="1"/>
    </w:lvl>
  </w:abstractNum>
  <w:abstractNum w:abstractNumId="101">
    <w:nsid w:val="379E21B5"/>
    <w:multiLevelType w:val="hybridMultilevel"/>
    <w:lvl w:ilvl="0">
      <w:lvlJc w:val="left"/>
      <w:lvlText w:val="(%1)"/>
      <w:numFmt w:val="decimal"/>
      <w:start w:val="1"/>
    </w:lvl>
  </w:abstractNum>
  <w:abstractNum w:abstractNumId="102">
    <w:nsid w:val="69E373"/>
    <w:multiLevelType w:val="hybridMultilevel"/>
    <w:lvl w:ilvl="0">
      <w:lvlJc w:val="left"/>
      <w:lvlText w:val="►"/>
      <w:numFmt w:val="bullet"/>
      <w:start w:val="1"/>
    </w:lvl>
  </w:abstractNum>
  <w:abstractNum w:abstractNumId="103">
    <w:nsid w:val="2C27173B"/>
    <w:multiLevelType w:val="hybridMultilevel"/>
    <w:lvl w:ilvl="0">
      <w:lvlJc w:val="left"/>
      <w:lvlText w:val="(%1)"/>
      <w:numFmt w:val="decimal"/>
      <w:start w:val="1"/>
    </w:lvl>
  </w:abstractNum>
  <w:abstractNum w:abstractNumId="104">
    <w:nsid w:val="4C9B0904"/>
    <w:multiLevelType w:val="hybridMultilevel"/>
    <w:lvl w:ilvl="0">
      <w:lvlJc w:val="left"/>
      <w:lvlText w:val="►"/>
      <w:numFmt w:val="bullet"/>
      <w:start w:val="1"/>
    </w:lvl>
  </w:abstractNum>
  <w:abstractNum w:abstractNumId="105">
    <w:nsid w:val="6AA7B75C"/>
    <w:multiLevelType w:val="hybridMultilevel"/>
    <w:lvl w:ilvl="0">
      <w:lvlJc w:val="left"/>
      <w:lvlText w:val="(%1)"/>
      <w:numFmt w:val="decimal"/>
      <w:start w:val="1"/>
    </w:lvl>
  </w:abstractNum>
  <w:abstractNum w:abstractNumId="106">
    <w:nsid w:val="1DF029D3"/>
    <w:multiLevelType w:val="hybridMultilevel"/>
    <w:lvl w:ilvl="0">
      <w:lvlJc w:val="left"/>
      <w:lvlText w:val="►"/>
      <w:numFmt w:val="bullet"/>
      <w:start w:val="1"/>
    </w:lvl>
  </w:abstractNum>
  <w:abstractNum w:abstractNumId="107">
    <w:nsid w:val="5675FF36"/>
    <w:multiLevelType w:val="hybridMultilevel"/>
    <w:lvl w:ilvl="0">
      <w:lvlJc w:val="left"/>
      <w:lvlText w:val="•"/>
      <w:numFmt w:val="bullet"/>
      <w:start w:val="1"/>
    </w:lvl>
  </w:abstractNum>
  <w:abstractNum w:abstractNumId="108">
    <w:nsid w:val="3DD15094"/>
    <w:multiLevelType w:val="hybridMultilevel"/>
    <w:lvl w:ilvl="0">
      <w:lvlJc w:val="left"/>
      <w:lvlText w:val="•"/>
      <w:numFmt w:val="bullet"/>
      <w:start w:val="1"/>
    </w:lvl>
  </w:abstractNum>
  <w:abstractNum w:abstractNumId="109">
    <w:nsid w:val="3DB012B3"/>
    <w:multiLevelType w:val="hybridMultilevel"/>
    <w:lvl w:ilvl="0">
      <w:lvlJc w:val="left"/>
      <w:lvlText w:val="(%1)"/>
      <w:numFmt w:val="decimal"/>
      <w:start w:val="1"/>
    </w:lvl>
  </w:abstractNum>
  <w:abstractNum w:abstractNumId="110">
    <w:nsid w:val="2708C9AF"/>
    <w:multiLevelType w:val="hybridMultilevel"/>
    <w:lvl w:ilvl="0">
      <w:lvlJc w:val="left"/>
      <w:lvlText w:val="(%1)"/>
      <w:numFmt w:val="decimal"/>
      <w:start w:val="1"/>
    </w:lvl>
    <w:lvl w:ilvl="1">
      <w:lvlJc w:val="left"/>
      <w:lvlText w:val="%2."/>
      <w:numFmt w:val="lowerLetter"/>
      <w:start w:val="1"/>
    </w:lvl>
  </w:abstractNum>
  <w:abstractNum w:abstractNumId="111">
    <w:nsid w:val="5B25ACE2"/>
    <w:multiLevelType w:val="hybridMultilevel"/>
    <w:lvl w:ilvl="0">
      <w:lvlJc w:val="left"/>
      <w:lvlText w:val="•"/>
      <w:numFmt w:val="bullet"/>
      <w:start w:val="1"/>
    </w:lvl>
  </w:abstractNum>
  <w:abstractNum w:abstractNumId="112">
    <w:nsid w:val="175DFCF0"/>
    <w:multiLevelType w:val="hybridMultilevel"/>
    <w:lvl w:ilvl="0">
      <w:lvlJc w:val="left"/>
      <w:lvlText w:val="%1."/>
      <w:numFmt w:val="decimal"/>
      <w:start w:val="1"/>
    </w:lvl>
  </w:abstractNum>
  <w:abstractNum w:abstractNumId="113">
    <w:nsid w:val="4F97E3E4"/>
    <w:multiLevelType w:val="hybridMultilevel"/>
    <w:lvl w:ilvl="0">
      <w:lvlJc w:val="left"/>
      <w:lvlText w:val="►"/>
      <w:numFmt w:val="bullet"/>
      <w:start w:val="1"/>
    </w:lvl>
  </w:abstractNum>
  <w:abstractNum w:abstractNumId="114">
    <w:nsid w:val="53B0A9E"/>
    <w:multiLevelType w:val="hybridMultilevel"/>
    <w:lvl w:ilvl="0">
      <w:lvlJc w:val="left"/>
      <w:lvlText w:val="%1."/>
      <w:numFmt w:val="decimal"/>
      <w:start w:val="1"/>
    </w:lvl>
  </w:abstractNum>
  <w:abstractNum w:abstractNumId="115">
    <w:nsid w:val="34FD6B4F"/>
    <w:multiLevelType w:val="hybridMultilevel"/>
    <w:lvl w:ilvl="0">
      <w:lvlJc w:val="left"/>
      <w:lvlText w:val="%1."/>
      <w:numFmt w:val="decimal"/>
      <w:start w:val="2"/>
    </w:lvl>
  </w:abstractNum>
  <w:abstractNum w:abstractNumId="116">
    <w:nsid w:val="5915FF32"/>
    <w:multiLevelType w:val="hybridMultilevel"/>
    <w:lvl w:ilvl="0">
      <w:lvlJc w:val="left"/>
      <w:lvlText w:val="%1."/>
      <w:numFmt w:val="decimal"/>
      <w:start w:val="3"/>
    </w:lvl>
  </w:abstractNum>
  <w:abstractNum w:abstractNumId="117">
    <w:nsid w:val="56438D15"/>
    <w:multiLevelType w:val="hybridMultilevel"/>
    <w:lvl w:ilvl="0">
      <w:lvlJc w:val="left"/>
      <w:lvlText w:val="•"/>
      <w:numFmt w:val="bullet"/>
      <w:start w:val="1"/>
    </w:lvl>
  </w:abstractNum>
  <w:abstractNum w:abstractNumId="118">
    <w:nsid w:val="519E3149"/>
    <w:multiLevelType w:val="hybridMultilevel"/>
    <w:lvl w:ilvl="0">
      <w:lvlJc w:val="left"/>
      <w:lvlText w:val="%1."/>
      <w:numFmt w:val="decimal"/>
      <w:start w:val="4"/>
    </w:lvl>
  </w:abstractNum>
  <w:abstractNum w:abstractNumId="119">
    <w:nsid w:val="2C6E4AFD"/>
    <w:multiLevelType w:val="hybridMultilevel"/>
    <w:lvl w:ilvl="0">
      <w:lvlJc w:val="left"/>
      <w:lvlText w:val="%1."/>
      <w:numFmt w:val="decimal"/>
      <w:start w:val="5"/>
    </w:lvl>
  </w:abstractNum>
  <w:abstractNum w:abstractNumId="120">
    <w:nsid w:val="17A1B582"/>
    <w:multiLevelType w:val="hybridMultilevel"/>
    <w:lvl w:ilvl="0">
      <w:lvlJc w:val="left"/>
      <w:lvlText w:val="%1."/>
      <w:numFmt w:val="decimal"/>
      <w:start w:val="6"/>
    </w:lvl>
  </w:abstractNum>
  <w:abstractNum w:abstractNumId="121">
    <w:nsid w:val="4DF72E4E"/>
    <w:multiLevelType w:val="hybridMultilevel"/>
    <w:lvl w:ilvl="0">
      <w:lvlJc w:val="left"/>
      <w:lvlText w:val="%1."/>
      <w:numFmt w:val="decimal"/>
      <w:start w:val="7"/>
    </w:lvl>
  </w:abstractNum>
  <w:abstractNum w:abstractNumId="122">
    <w:nsid w:val="5046B5A9"/>
    <w:multiLevelType w:val="hybridMultilevel"/>
    <w:lvl w:ilvl="0">
      <w:lvlJc w:val="left"/>
      <w:lvlText w:val="%1."/>
      <w:numFmt w:val="decimal"/>
      <w:start w:val="8"/>
    </w:lvl>
  </w:abstractNum>
  <w:abstractNum w:abstractNumId="123">
    <w:nsid w:val="5D888A08"/>
    <w:multiLevelType w:val="hybridMultilevel"/>
    <w:lvl w:ilvl="0">
      <w:lvlJc w:val="left"/>
      <w:lvlText w:val="%1."/>
      <w:numFmt w:val="decimal"/>
      <w:start w:val="9"/>
    </w:lvl>
  </w:abstractNum>
  <w:abstractNum w:abstractNumId="124">
    <w:nsid w:val="2A082C70"/>
    <w:multiLevelType w:val="hybridMultilevel"/>
    <w:lvl w:ilvl="0">
      <w:lvlJc w:val="left"/>
      <w:lvlText w:val="2"/>
      <w:numFmt w:val="bullet"/>
      <w:start w:val="1"/>
    </w:lvl>
  </w:abstractNum>
  <w:abstractNum w:abstractNumId="125">
    <w:nsid w:val="5EC6AFD4"/>
    <w:multiLevelType w:val="hybridMultilevel"/>
    <w:lvl w:ilvl="0">
      <w:lvlJc w:val="left"/>
      <w:lvlText w:val="3"/>
      <w:numFmt w:val="bullet"/>
      <w:start w:val="1"/>
    </w:lvl>
  </w:abstractNum>
  <w:abstractNum w:abstractNumId="126">
    <w:nsid w:val="19E21BB2"/>
    <w:multiLevelType w:val="hybridMultilevel"/>
    <w:lvl w:ilvl="0">
      <w:lvlJc w:val="left"/>
      <w:lvlText w:val="4"/>
      <w:numFmt w:val="bullet"/>
      <w:start w:val="1"/>
    </w:lvl>
  </w:abstractNum>
  <w:abstractNum w:abstractNumId="127">
    <w:nsid w:val="75E0858A"/>
    <w:multiLevelType w:val="hybridMultilevel"/>
    <w:lvl w:ilvl="0">
      <w:lvlJc w:val="left"/>
      <w:lvlText w:val="►"/>
      <w:numFmt w:val="bullet"/>
      <w:start w:val="1"/>
    </w:lvl>
  </w:abstractNum>
  <w:abstractNum w:abstractNumId="128">
    <w:nsid w:val="57A61A29"/>
    <w:multiLevelType w:val="hybridMultilevel"/>
    <w:lvl w:ilvl="0">
      <w:lvlJc w:val="left"/>
      <w:lvlText w:val="•"/>
      <w:numFmt w:val="bullet"/>
      <w:start w:val="1"/>
    </w:lvl>
  </w:abstractNum>
  <w:abstractNum w:abstractNumId="129">
    <w:nsid w:val="5399C654"/>
    <w:multiLevelType w:val="hybridMultilevel"/>
    <w:lvl w:ilvl="0">
      <w:lvlJc w:val="left"/>
      <w:lvlText w:val="►"/>
      <w:numFmt w:val="bullet"/>
      <w:start w:val="1"/>
    </w:lvl>
  </w:abstractNum>
  <w:abstractNum w:abstractNumId="130">
    <w:nsid w:val="20EE1348"/>
    <w:multiLevelType w:val="hybridMultilevel"/>
    <w:lvl w:ilvl="0">
      <w:lvlJc w:val="left"/>
      <w:lvlText w:val="•"/>
      <w:numFmt w:val="bullet"/>
      <w:start w:val="1"/>
    </w:lvl>
  </w:abstractNum>
  <w:abstractNum w:abstractNumId="131">
    <w:nsid w:val="4427069A"/>
    <w:multiLevelType w:val="hybridMultilevel"/>
    <w:lvl w:ilvl="0">
      <w:lvlJc w:val="left"/>
      <w:lvlText w:val="•"/>
      <w:numFmt w:val="bullet"/>
      <w:start w:val="1"/>
    </w:lvl>
  </w:abstractNum>
  <w:abstractNum w:abstractNumId="132">
    <w:nsid w:val="B37E80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jpe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jpe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jpe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jpe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jpeg"/><Relationship Id="rId231" Type="http://schemas.openxmlformats.org/officeDocument/2006/relationships/image" Target="media/image224.jpe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jpeg"/><Relationship Id="rId236" Type="http://schemas.openxmlformats.org/officeDocument/2006/relationships/image" Target="media/image229.jpeg"/><Relationship Id="rId237" Type="http://schemas.openxmlformats.org/officeDocument/2006/relationships/image" Target="media/image230.jpe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jpeg"/><Relationship Id="rId242" Type="http://schemas.openxmlformats.org/officeDocument/2006/relationships/image" Target="media/image235.jpe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jpeg"/><Relationship Id="rId247" Type="http://schemas.openxmlformats.org/officeDocument/2006/relationships/image" Target="media/image240.jpeg"/><Relationship Id="rId248" Type="http://schemas.openxmlformats.org/officeDocument/2006/relationships/image" Target="media/image241.jpe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jpeg"/><Relationship Id="rId253" Type="http://schemas.openxmlformats.org/officeDocument/2006/relationships/image" Target="media/image246.jpe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jpeg"/><Relationship Id="rId258" Type="http://schemas.openxmlformats.org/officeDocument/2006/relationships/image" Target="media/image251.jpeg"/><Relationship Id="rId259" Type="http://schemas.openxmlformats.org/officeDocument/2006/relationships/image" Target="media/image252.jpeg"/><Relationship Id="rId260" Type="http://schemas.openxmlformats.org/officeDocument/2006/relationships/image" Target="media/image253.png"/><Relationship Id="rId261" Type="http://schemas.openxmlformats.org/officeDocument/2006/relationships/image" Target="media/image254.jpeg"/><Relationship Id="rId262" Type="http://schemas.openxmlformats.org/officeDocument/2006/relationships/image" Target="media/image255.jpeg"/><Relationship Id="rId263" Type="http://schemas.openxmlformats.org/officeDocument/2006/relationships/image" Target="media/image256.jpeg"/><Relationship Id="rId264" Type="http://schemas.openxmlformats.org/officeDocument/2006/relationships/image" Target="media/image257.png"/><Relationship Id="rId265" Type="http://schemas.openxmlformats.org/officeDocument/2006/relationships/image" Target="media/image258.jpeg"/><Relationship Id="rId266" Type="http://schemas.openxmlformats.org/officeDocument/2006/relationships/image" Target="media/image259.png"/><Relationship Id="rId267" Type="http://schemas.openxmlformats.org/officeDocument/2006/relationships/image" Target="media/image260.jpe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jpe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jpe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jpe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jpe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jpe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jpe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jpeg"/><Relationship Id="rId352" Type="http://schemas.openxmlformats.org/officeDocument/2006/relationships/image" Target="media/image345.png"/><Relationship Id="rId353" Type="http://schemas.openxmlformats.org/officeDocument/2006/relationships/image" Target="media/image346.jpeg"/><Relationship Id="rId354" Type="http://schemas.openxmlformats.org/officeDocument/2006/relationships/image" Target="media/image347.jpeg"/><Relationship Id="rId355" Type="http://schemas.openxmlformats.org/officeDocument/2006/relationships/image" Target="media/image348.jpeg"/><Relationship Id="rId356" Type="http://schemas.openxmlformats.org/officeDocument/2006/relationships/image" Target="media/image349.jpeg"/><Relationship Id="rId357" Type="http://schemas.openxmlformats.org/officeDocument/2006/relationships/image" Target="media/image350.jpeg"/><Relationship Id="rId358" Type="http://schemas.openxmlformats.org/officeDocument/2006/relationships/image" Target="media/image351.jpe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jpeg"/><Relationship Id="rId362" Type="http://schemas.openxmlformats.org/officeDocument/2006/relationships/image" Target="media/image355.png"/><Relationship Id="rId363" Type="http://schemas.openxmlformats.org/officeDocument/2006/relationships/image" Target="media/image356.jpe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jpe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jpe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jpe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jpe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jpeg"/><Relationship Id="rId429" Type="http://schemas.openxmlformats.org/officeDocument/2006/relationships/image" Target="media/image422.png"/><Relationship Id="rId430" Type="http://schemas.openxmlformats.org/officeDocument/2006/relationships/image" Target="media/image423.jpeg"/><Relationship Id="rId431" Type="http://schemas.openxmlformats.org/officeDocument/2006/relationships/image" Target="media/image424.jpeg"/><Relationship Id="rId432" Type="http://schemas.openxmlformats.org/officeDocument/2006/relationships/image" Target="media/image425.jpeg"/><Relationship Id="rId433" Type="http://schemas.openxmlformats.org/officeDocument/2006/relationships/image" Target="media/image426.jpe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jpe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jpe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jpe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jpe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jpe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jpe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jpeg"/><Relationship Id="rId508" Type="http://schemas.openxmlformats.org/officeDocument/2006/relationships/image" Target="media/image501.png"/><Relationship Id="rId509" Type="http://schemas.openxmlformats.org/officeDocument/2006/relationships/image" Target="media/image502.jpeg"/><Relationship Id="rId510" Type="http://schemas.openxmlformats.org/officeDocument/2006/relationships/image" Target="media/image503.jpeg"/><Relationship Id="rId511" Type="http://schemas.openxmlformats.org/officeDocument/2006/relationships/image" Target="media/image504.jpeg"/><Relationship Id="rId512" Type="http://schemas.openxmlformats.org/officeDocument/2006/relationships/image" Target="media/image505.jpeg"/><Relationship Id="rId513" Type="http://schemas.openxmlformats.org/officeDocument/2006/relationships/image" Target="media/image506.jpe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jpeg"/><Relationship Id="rId517" Type="http://schemas.openxmlformats.org/officeDocument/2006/relationships/image" Target="media/image510.png"/><Relationship Id="rId518" Type="http://schemas.openxmlformats.org/officeDocument/2006/relationships/image" Target="media/image511.jpe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jpe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jpe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jpe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jpeg"/><Relationship Id="rId572" Type="http://schemas.openxmlformats.org/officeDocument/2006/relationships/image" Target="media/image565.png"/><Relationship Id="rId573" Type="http://schemas.openxmlformats.org/officeDocument/2006/relationships/image" Target="media/image566.jpeg"/><Relationship Id="rId574" Type="http://schemas.openxmlformats.org/officeDocument/2006/relationships/image" Target="media/image567.jpeg"/><Relationship Id="rId575" Type="http://schemas.openxmlformats.org/officeDocument/2006/relationships/image" Target="media/image568.jpeg"/><Relationship Id="rId576" Type="http://schemas.openxmlformats.org/officeDocument/2006/relationships/image" Target="media/image569.jpeg"/><Relationship Id="rId577" Type="http://schemas.openxmlformats.org/officeDocument/2006/relationships/image" Target="media/image570.jpe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jpe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jpe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jpe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jpeg"/><Relationship Id="rId627" Type="http://schemas.openxmlformats.org/officeDocument/2006/relationships/image" Target="media/image620.png"/><Relationship Id="rId628" Type="http://schemas.openxmlformats.org/officeDocument/2006/relationships/image" Target="media/image621.jpeg"/><Relationship Id="rId629" Type="http://schemas.openxmlformats.org/officeDocument/2006/relationships/image" Target="media/image622.jpeg"/><Relationship Id="rId630" Type="http://schemas.openxmlformats.org/officeDocument/2006/relationships/image" Target="media/image623.jpeg"/><Relationship Id="rId631" Type="http://schemas.openxmlformats.org/officeDocument/2006/relationships/image" Target="media/image624.jpeg"/><Relationship Id="rId632" Type="http://schemas.openxmlformats.org/officeDocument/2006/relationships/image" Target="media/image625.jpe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jpeg"/><Relationship Id="rId638" Type="http://schemas.openxmlformats.org/officeDocument/2006/relationships/image" Target="media/image631.jpeg"/><Relationship Id="rId639" Type="http://schemas.openxmlformats.org/officeDocument/2006/relationships/image" Target="media/image632.jpeg"/><Relationship Id="rId640" Type="http://schemas.openxmlformats.org/officeDocument/2006/relationships/image" Target="media/image633.jpeg"/><Relationship Id="rId641" Type="http://schemas.openxmlformats.org/officeDocument/2006/relationships/image" Target="media/image634.jpeg"/><Relationship Id="rId642" Type="http://schemas.openxmlformats.org/officeDocument/2006/relationships/image" Target="media/image635.jpeg"/><Relationship Id="rId643" Type="http://schemas.openxmlformats.org/officeDocument/2006/relationships/image" Target="media/image636.jpeg"/><Relationship Id="rId644" Type="http://schemas.openxmlformats.org/officeDocument/2006/relationships/image" Target="media/image637.jpeg"/><Relationship Id="rId645" Type="http://schemas.openxmlformats.org/officeDocument/2006/relationships/image" Target="media/image638.jpeg"/><Relationship Id="rId646" Type="http://schemas.openxmlformats.org/officeDocument/2006/relationships/image" Target="media/image639.jpe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jpeg"/><Relationship Id="rId650" Type="http://schemas.openxmlformats.org/officeDocument/2006/relationships/image" Target="media/image643.png"/><Relationship Id="rId651" Type="http://schemas.openxmlformats.org/officeDocument/2006/relationships/image" Target="media/image644.jpeg"/><Relationship Id="rId652" Type="http://schemas.openxmlformats.org/officeDocument/2006/relationships/image" Target="media/image645.png"/><Relationship Id="rId653" Type="http://schemas.openxmlformats.org/officeDocument/2006/relationships/image" Target="media/image646.jpeg"/><Relationship Id="rId654" Type="http://schemas.openxmlformats.org/officeDocument/2006/relationships/image" Target="media/image647.png"/><Relationship Id="rId655" Type="http://schemas.openxmlformats.org/officeDocument/2006/relationships/image" Target="media/image648.jpeg"/><Relationship Id="rId656" Type="http://schemas.openxmlformats.org/officeDocument/2006/relationships/image" Target="media/image649.png"/><Relationship Id="rId657" Type="http://schemas.openxmlformats.org/officeDocument/2006/relationships/image" Target="media/image650.jpeg"/><Relationship Id="rId658" Type="http://schemas.openxmlformats.org/officeDocument/2006/relationships/image" Target="media/image651.png"/><Relationship Id="rId659" Type="http://schemas.openxmlformats.org/officeDocument/2006/relationships/image" Target="media/image652.jpeg"/><Relationship Id="rId660" Type="http://schemas.openxmlformats.org/officeDocument/2006/relationships/image" Target="media/image653.jpeg"/><Relationship Id="rId661" Type="http://schemas.openxmlformats.org/officeDocument/2006/relationships/image" Target="media/image654.png"/><Relationship Id="rId662" Type="http://schemas.openxmlformats.org/officeDocument/2006/relationships/image" Target="media/image655.jpeg"/><Relationship Id="rId663" Type="http://schemas.openxmlformats.org/officeDocument/2006/relationships/image" Target="media/image656.jpe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jpeg"/><Relationship Id="rId667" Type="http://schemas.openxmlformats.org/officeDocument/2006/relationships/image" Target="media/image660.jpeg"/><Relationship Id="rId668" Type="http://schemas.openxmlformats.org/officeDocument/2006/relationships/image" Target="media/image661.jpeg"/><Relationship Id="rId669" Type="http://schemas.openxmlformats.org/officeDocument/2006/relationships/image" Target="media/image662.png"/><Relationship Id="rId670" Type="http://schemas.openxmlformats.org/officeDocument/2006/relationships/image" Target="media/image663.jpeg"/><Relationship Id="rId671" Type="http://schemas.openxmlformats.org/officeDocument/2006/relationships/image" Target="media/image664.png"/><Relationship Id="rId672" Type="http://schemas.openxmlformats.org/officeDocument/2006/relationships/image" Target="media/image665.jpe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jpe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jpe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jpe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jpe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jpe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jpe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jpeg"/><Relationship Id="rId699" Type="http://schemas.openxmlformats.org/officeDocument/2006/relationships/image" Target="media/image692.jpeg"/><Relationship Id="rId700" Type="http://schemas.openxmlformats.org/officeDocument/2006/relationships/image" Target="media/image693.jpeg"/><Relationship Id="rId701" Type="http://schemas.openxmlformats.org/officeDocument/2006/relationships/image" Target="media/image694.jpeg"/><Relationship Id="rId702" Type="http://schemas.openxmlformats.org/officeDocument/2006/relationships/image" Target="media/image695.jpeg"/><Relationship Id="rId703" Type="http://schemas.openxmlformats.org/officeDocument/2006/relationships/image" Target="media/image696.jpeg"/><Relationship Id="rId704" Type="http://schemas.openxmlformats.org/officeDocument/2006/relationships/image" Target="media/image697.jpeg"/><Relationship Id="rId705" Type="http://schemas.openxmlformats.org/officeDocument/2006/relationships/image" Target="media/image698.jpeg"/><Relationship Id="rId706" Type="http://schemas.openxmlformats.org/officeDocument/2006/relationships/image" Target="media/image699.jpeg"/><Relationship Id="rId707" Type="http://schemas.openxmlformats.org/officeDocument/2006/relationships/image" Target="media/image700.jpeg"/><Relationship Id="rId708" Type="http://schemas.openxmlformats.org/officeDocument/2006/relationships/image" Target="media/image701.jpeg"/><Relationship Id="rId709" Type="http://schemas.openxmlformats.org/officeDocument/2006/relationships/image" Target="media/image702.jpeg"/><Relationship Id="rId710" Type="http://schemas.openxmlformats.org/officeDocument/2006/relationships/image" Target="media/image703.jpeg"/><Relationship Id="rId711" Type="http://schemas.openxmlformats.org/officeDocument/2006/relationships/image" Target="media/image704.jpeg"/><Relationship Id="rId712" Type="http://schemas.openxmlformats.org/officeDocument/2006/relationships/image" Target="media/image705.jpeg"/><Relationship Id="rId713" Type="http://schemas.openxmlformats.org/officeDocument/2006/relationships/image" Target="media/image706.jpeg"/><Relationship Id="rId714" Type="http://schemas.openxmlformats.org/officeDocument/2006/relationships/image" Target="media/image707.jpeg"/><Relationship Id="rId715" Type="http://schemas.openxmlformats.org/officeDocument/2006/relationships/image" Target="media/image708.jpe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jpe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jpe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jpe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jpe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jpe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jpe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jpeg"/><Relationship Id="rId753" Type="http://schemas.openxmlformats.org/officeDocument/2006/relationships/image" Target="media/image746.png"/><Relationship Id="rId754" Type="http://schemas.openxmlformats.org/officeDocument/2006/relationships/image" Target="media/image747.jpeg"/><Relationship Id="rId755" Type="http://schemas.openxmlformats.org/officeDocument/2006/relationships/image" Target="media/image748.jpeg"/><Relationship Id="rId756" Type="http://schemas.openxmlformats.org/officeDocument/2006/relationships/image" Target="media/image749.jpeg"/><Relationship Id="rId757" Type="http://schemas.openxmlformats.org/officeDocument/2006/relationships/image" Target="media/image750.png"/><Relationship Id="rId758" Type="http://schemas.openxmlformats.org/officeDocument/2006/relationships/image" Target="media/image751.jpeg"/><Relationship Id="rId759" Type="http://schemas.openxmlformats.org/officeDocument/2006/relationships/image" Target="media/image752.png"/><Relationship Id="rId760" Type="http://schemas.openxmlformats.org/officeDocument/2006/relationships/image" Target="media/image7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2019-12-08T19:16:10Z</dcterms:created>
  <dcterms:modified xsi:type="dcterms:W3CDTF">2019-12-08T19:16:10Z</dcterms:modified>
</cp:coreProperties>
</file>