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0001292153</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ind w:right="860"/>
        <w:spacing w:after="0" w:line="281" w:lineRule="auto"/>
        <w:rPr>
          <w:sz w:val="20"/>
          <w:szCs w:val="20"/>
          <w:color w:val="auto"/>
        </w:rPr>
      </w:pPr>
      <w:r>
        <w:rPr>
          <w:rFonts w:ascii="Times New Roman" w:cs="Times New Roman" w:eastAsia="Times New Roman" w:hAnsi="Times New Roman"/>
          <w:sz w:val="22"/>
          <w:szCs w:val="22"/>
          <w:color w:val="auto"/>
        </w:rPr>
        <w:t>GENERAL MOTORS COMPANY 001-34960</w:t>
      </w:r>
    </w:p>
    <w:p>
      <w:pPr>
        <w:spacing w:after="0" w:line="2"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1240 Woodward Avenue</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Detroit</w:t>
      </w:r>
    </w:p>
    <w:p>
      <w:pPr>
        <w:spacing w:after="0" w:line="230" w:lineRule="auto"/>
        <w:rPr>
          <w:sz w:val="20"/>
          <w:szCs w:val="20"/>
          <w:color w:val="auto"/>
        </w:rPr>
      </w:pPr>
      <w:r>
        <w:rPr>
          <w:rFonts w:ascii="Times New Roman" w:cs="Times New Roman" w:eastAsia="Times New Roman" w:hAnsi="Times New Roman"/>
          <w:sz w:val="22"/>
          <w:szCs w:val="22"/>
          <w:color w:val="auto"/>
        </w:rPr>
        <w:t>MICHIGAN</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48265</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3136671500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CHRISTOPHER HATTO</w:t>
      </w:r>
    </w:p>
    <w:p>
      <w:pPr>
        <w:spacing w:after="0" w:line="44" w:lineRule="exact"/>
        <w:rPr>
          <w:sz w:val="24"/>
          <w:szCs w:val="24"/>
          <w:color w:val="auto"/>
        </w:rPr>
      </w:pPr>
    </w:p>
    <w:p>
      <w:pPr>
        <w:sectPr>
          <w:pgSz w:w="11900" w:h="16838" w:orient="portrait"/>
          <w:cols w:equalWidth="0" w:num="2">
            <w:col w:w="6580" w:space="720"/>
            <w:col w:w="394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28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130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6895</w:t>
            </w:r>
          </w:p>
        </w:tc>
        <w:tc>
          <w:tcPr>
            <w:tcW w:w="1140" w:type="dxa"/>
            <w:vAlign w:val="bottom"/>
            <w:vMerge w:val="restart"/>
          </w:tcPr>
          <w:p>
            <w:pPr>
              <w:jc w:val="right"/>
              <w:ind w:right="72"/>
              <w:spacing w:after="0"/>
              <w:rPr>
                <w:sz w:val="20"/>
                <w:szCs w:val="20"/>
                <w:color w:val="auto"/>
              </w:rPr>
            </w:pPr>
            <w:r>
              <w:rPr>
                <w:rFonts w:ascii="Times New Roman" w:cs="Times New Roman" w:eastAsia="Times New Roman" w:hAnsi="Times New Roman"/>
                <w:sz w:val="22"/>
                <w:szCs w:val="22"/>
                <w:color w:val="auto"/>
              </w:rPr>
              <w:t>580007.40</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8th Floor</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4"/>
        </w:trPr>
        <w:tc>
          <w:tcPr>
            <w:tcW w:w="120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w w:val="96"/>
              </w:rPr>
              <w:t>901665195</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05/28/2026   NYSE</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220" w:type="dxa"/>
            <w:vAlign w:val="bottom"/>
          </w:tcPr>
          <w:p>
            <w:pPr>
              <w:ind w:left="480"/>
              <w:spacing w:after="0"/>
              <w:rPr>
                <w:sz w:val="20"/>
                <w:szCs w:val="20"/>
                <w:color w:val="auto"/>
              </w:rPr>
            </w:pPr>
            <w:r>
              <w:rPr>
                <w:rFonts w:ascii="Times New Roman" w:cs="Times New Roman" w:eastAsia="Times New Roman" w:hAnsi="Times New Roman"/>
                <w:sz w:val="22"/>
                <w:szCs w:val="22"/>
                <w:b w:val="1"/>
                <w:bCs w:val="1"/>
                <w:color w:val="auto"/>
              </w:rPr>
              <w:t>Class</w:t>
            </w:r>
          </w:p>
        </w:tc>
        <w:tc>
          <w:tcPr>
            <w:tcW w:w="128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580" w:type="dxa"/>
            <w:vAlign w:val="bottom"/>
          </w:tcPr>
          <w:p>
            <w:pPr>
              <w:ind w:left="320"/>
              <w:spacing w:after="0"/>
              <w:rPr>
                <w:sz w:val="20"/>
                <w:szCs w:val="20"/>
                <w:color w:val="auto"/>
              </w:rPr>
            </w:pPr>
            <w:r>
              <w:rPr>
                <w:rFonts w:ascii="Times New Roman" w:cs="Times New Roman" w:eastAsia="Times New Roman" w:hAnsi="Times New Roman"/>
                <w:sz w:val="22"/>
                <w:szCs w:val="22"/>
                <w:b w:val="1"/>
                <w:bCs w:val="1"/>
                <w:color w:val="auto"/>
              </w:rPr>
              <w:t>Acquisition</w:t>
            </w:r>
          </w:p>
        </w:tc>
        <w:tc>
          <w:tcPr>
            <w:tcW w:w="154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this</w:t>
            </w:r>
          </w:p>
        </w:tc>
        <w:tc>
          <w:tcPr>
            <w:tcW w:w="9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Donor</w:t>
            </w:r>
          </w:p>
        </w:tc>
        <w:tc>
          <w:tcPr>
            <w:tcW w:w="1240" w:type="dxa"/>
            <w:vAlign w:val="bottom"/>
          </w:tcPr>
          <w:p>
            <w:pPr>
              <w:ind w:left="220"/>
              <w:spacing w:after="0"/>
              <w:rPr>
                <w:sz w:val="20"/>
                <w:szCs w:val="20"/>
                <w:color w:val="auto"/>
              </w:rPr>
            </w:pPr>
            <w:r>
              <w:rPr>
                <w:rFonts w:ascii="Times New Roman" w:cs="Times New Roman" w:eastAsia="Times New Roman" w:hAnsi="Times New Roman"/>
                <w:sz w:val="22"/>
                <w:szCs w:val="22"/>
                <w:b w:val="1"/>
                <w:bCs w:val="1"/>
                <w:color w:val="auto"/>
              </w:rPr>
              <w:t>Securities</w:t>
            </w:r>
          </w:p>
        </w:tc>
        <w:tc>
          <w:tcPr>
            <w:tcW w:w="124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Payment</w:t>
            </w:r>
          </w:p>
        </w:tc>
        <w:tc>
          <w:tcPr>
            <w:tcW w:w="1220" w:type="dxa"/>
            <w:vAlign w:val="bottom"/>
          </w:tcPr>
          <w:p>
            <w:pPr>
              <w:ind w:left="240"/>
              <w:spacing w:after="0"/>
              <w:rPr>
                <w:sz w:val="20"/>
                <w:szCs w:val="20"/>
                <w:color w:val="auto"/>
              </w:rPr>
            </w:pPr>
            <w:r>
              <w:rPr>
                <w:rFonts w:ascii="Times New Roman" w:cs="Times New Roman" w:eastAsia="Times New Roman" w:hAnsi="Times New Roman"/>
                <w:sz w:val="22"/>
                <w:szCs w:val="22"/>
                <w:b w:val="1"/>
                <w:bCs w:val="1"/>
                <w:color w:val="auto"/>
                <w:w w:val="96"/>
              </w:rPr>
              <w:t>Payment *</w:t>
            </w:r>
          </w:p>
        </w:tc>
        <w:tc>
          <w:tcPr>
            <w:tcW w:w="0" w:type="dxa"/>
            <w:vAlign w:val="bottom"/>
          </w:tcPr>
          <w:p>
            <w:pPr>
              <w:spacing w:after="0"/>
              <w:rPr>
                <w:sz w:val="1"/>
                <w:szCs w:val="1"/>
                <w:color w:val="auto"/>
              </w:rPr>
            </w:pPr>
          </w:p>
        </w:tc>
      </w:tr>
      <w:tr>
        <w:trPr>
          <w:trHeight w:val="243"/>
        </w:trPr>
        <w:tc>
          <w:tcPr>
            <w:tcW w:w="12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580" w:type="dxa"/>
            <w:vAlign w:val="bottom"/>
          </w:tcPr>
          <w:p>
            <w:pPr>
              <w:ind w:left="300"/>
              <w:spacing w:after="0" w:line="243" w:lineRule="exact"/>
              <w:rPr>
                <w:sz w:val="20"/>
                <w:szCs w:val="20"/>
                <w:color w:val="auto"/>
              </w:rPr>
            </w:pPr>
            <w:r>
              <w:rPr>
                <w:rFonts w:ascii="Times New Roman" w:cs="Times New Roman" w:eastAsia="Times New Roman" w:hAnsi="Times New Roman"/>
                <w:sz w:val="22"/>
                <w:szCs w:val="22"/>
                <w:b w:val="1"/>
                <w:bCs w:val="1"/>
                <w:color w:val="auto"/>
              </w:rPr>
              <w:t>Transaction</w:t>
            </w:r>
          </w:p>
        </w:tc>
        <w:tc>
          <w:tcPr>
            <w:tcW w:w="1540" w:type="dxa"/>
            <w:vAlign w:val="bottom"/>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a</w:t>
            </w:r>
          </w:p>
        </w:tc>
        <w:tc>
          <w:tcPr>
            <w:tcW w:w="9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40" w:type="dxa"/>
            <w:vAlign w:val="bottom"/>
          </w:tcPr>
          <w:p>
            <w:pPr>
              <w:ind w:left="2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2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6"/>
        </w:trPr>
        <w:tc>
          <w:tcPr>
            <w:tcW w:w="1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54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2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28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02/04/2026</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54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40" w:type="dxa"/>
            <w:vAlign w:val="bottom"/>
            <w:vMerge w:val="restart"/>
          </w:tcPr>
          <w:p>
            <w:pPr>
              <w:jc w:val="right"/>
              <w:ind w:right="672"/>
              <w:spacing w:after="0"/>
              <w:rPr>
                <w:sz w:val="20"/>
                <w:szCs w:val="20"/>
                <w:color w:val="auto"/>
              </w:rPr>
            </w:pPr>
            <w:r>
              <w:rPr>
                <w:rFonts w:ascii="Times New Roman" w:cs="Times New Roman" w:eastAsia="Times New Roman" w:hAnsi="Times New Roman"/>
                <w:sz w:val="22"/>
                <w:szCs w:val="22"/>
                <w:color w:val="auto"/>
                <w:w w:val="99"/>
              </w:rPr>
              <w:t>6895</w:t>
            </w:r>
          </w:p>
        </w:tc>
        <w:tc>
          <w:tcPr>
            <w:tcW w:w="2460" w:type="dxa"/>
            <w:vAlign w:val="bottom"/>
            <w:gridSpan w:val="2"/>
            <w:vMerge w:val="restart"/>
          </w:tcPr>
          <w:p>
            <w:pPr>
              <w:ind w:left="100"/>
              <w:spacing w:after="0"/>
              <w:rPr>
                <w:sz w:val="20"/>
                <w:szCs w:val="20"/>
                <w:color w:val="auto"/>
              </w:rPr>
            </w:pPr>
            <w:r>
              <w:rPr>
                <w:rFonts w:ascii="Times New Roman" w:cs="Times New Roman" w:eastAsia="Times New Roman" w:hAnsi="Times New Roman"/>
                <w:sz w:val="22"/>
                <w:szCs w:val="22"/>
                <w:color w:val="auto"/>
              </w:rPr>
              <w:t>02/04/2026 N/A</w:t>
            </w:r>
          </w:p>
        </w:tc>
        <w:tc>
          <w:tcPr>
            <w:tcW w:w="0" w:type="dxa"/>
            <w:vAlign w:val="bottom"/>
          </w:tcPr>
          <w:p>
            <w:pPr>
              <w:spacing w:after="0"/>
              <w:rPr>
                <w:sz w:val="1"/>
                <w:szCs w:val="1"/>
                <w:color w:val="auto"/>
              </w:rPr>
            </w:pPr>
          </w:p>
        </w:tc>
      </w:tr>
      <w:tr>
        <w:trPr>
          <w:trHeight w:val="282"/>
        </w:trPr>
        <w:tc>
          <w:tcPr>
            <w:tcW w:w="1220" w:type="dxa"/>
            <w:vAlign w:val="bottom"/>
            <w:vMerge w:val="continue"/>
          </w:tcPr>
          <w:p>
            <w:pPr>
              <w:spacing w:after="0"/>
              <w:rPr>
                <w:sz w:val="24"/>
                <w:szCs w:val="24"/>
                <w:color w:val="auto"/>
              </w:rPr>
            </w:pPr>
          </w:p>
        </w:tc>
        <w:tc>
          <w:tcPr>
            <w:tcW w:w="128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Units</w:t>
            </w:r>
          </w:p>
        </w:tc>
        <w:tc>
          <w:tcPr>
            <w:tcW w:w="154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40" w:type="dxa"/>
            <w:vAlign w:val="bottom"/>
            <w:vMerge w:val="continue"/>
          </w:tcPr>
          <w:p>
            <w:pPr>
              <w:spacing w:after="0"/>
              <w:rPr>
                <w:sz w:val="24"/>
                <w:szCs w:val="24"/>
                <w:color w:val="auto"/>
              </w:rPr>
            </w:pPr>
          </w:p>
        </w:tc>
        <w:tc>
          <w:tcPr>
            <w:tcW w:w="246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-229870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40"/>
          </w:cols>
          <w:pgMar w:left="320" w:top="98" w:right="339" w:bottom="1440" w:gutter="0" w:footer="0" w:header="0"/>
        </w:sectPr>
      </w:pPr>
    </w:p>
    <w:p>
      <w:pPr>
        <w:spacing w:after="0" w:line="200" w:lineRule="exact"/>
        <w:rPr>
          <w:sz w:val="20"/>
          <w:szCs w:val="20"/>
          <w:color w:val="auto"/>
        </w:rPr>
      </w:pPr>
    </w:p>
    <w:p>
      <w:pPr>
        <w:spacing w:after="0" w:line="27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Date of Notice</w:t>
      </w:r>
    </w:p>
    <w:p>
      <w:pPr>
        <w:spacing w:after="0" w:line="44" w:lineRule="exact"/>
        <w:rPr>
          <w:sz w:val="20"/>
          <w:szCs w:val="20"/>
          <w:color w:val="auto"/>
        </w:rPr>
      </w:pPr>
    </w:p>
    <w:p>
      <w:pPr>
        <w:ind w:left="40"/>
        <w:spacing w:after="0" w:line="265" w:lineRule="auto"/>
        <w:rPr>
          <w:sz w:val="20"/>
          <w:szCs w:val="20"/>
          <w:color w:val="auto"/>
        </w:rPr>
      </w:pPr>
      <w:r>
        <w:rPr>
          <w:rFonts w:ascii="Times New Roman" w:cs="Times New Roman" w:eastAsia="Times New Roman" w:hAnsi="Times New Roman"/>
          <w:sz w:val="21"/>
          <w:szCs w:val="21"/>
          <w:color w:val="auto"/>
        </w:rPr>
        <w:t>Date of Plan Adoption or Giving of Instruction, If Relying on Rule 10b5-1</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20" w:lineRule="exact"/>
        <w:rPr>
          <w:sz w:val="20"/>
          <w:szCs w:val="20"/>
          <w:color w:val="auto"/>
        </w:rPr>
      </w:pPr>
      <w:r>
        <w:rPr>
          <w:sz w:val="20"/>
          <w:szCs w:val="20"/>
          <w:color w:val="auto"/>
        </w:rPr>
        <w:br w:type="column"/>
      </w:r>
    </w:p>
    <w:p>
      <w:pPr>
        <w:spacing w:after="0" w:line="333" w:lineRule="exact"/>
        <w:rPr>
          <w:sz w:val="20"/>
          <w:szCs w:val="20"/>
          <w:color w:val="auto"/>
        </w:rPr>
      </w:pPr>
    </w:p>
    <w:p>
      <w:pPr>
        <w:ind w:right="240"/>
        <w:spacing w:after="0" w:line="256" w:lineRule="auto"/>
        <w:rPr>
          <w:sz w:val="20"/>
          <w:szCs w:val="20"/>
          <w:color w:val="auto"/>
        </w:rPr>
      </w:pPr>
      <w:r>
        <w:rPr>
          <w:rFonts w:ascii="Times New Roman" w:cs="Times New Roman" w:eastAsia="Times New Roman" w:hAnsi="Times New Roman"/>
          <w:sz w:val="22"/>
          <w:szCs w:val="22"/>
          <w:color w:val="auto"/>
        </w:rPr>
        <w:t>The securities to be sold were acquired upon the vesting of restricted stock units during the period of 02/04/2026 through 02/07/2026.</w:t>
      </w:r>
    </w:p>
    <w:p>
      <w:pPr>
        <w:spacing w:after="0"/>
        <w:rPr>
          <w:sz w:val="20"/>
          <w:szCs w:val="20"/>
          <w:color w:val="auto"/>
        </w:rPr>
      </w:pPr>
      <w:r>
        <w:rPr>
          <w:rFonts w:ascii="Times New Roman" w:cs="Times New Roman" w:eastAsia="Times New Roman" w:hAnsi="Times New Roman"/>
          <w:sz w:val="22"/>
          <w:szCs w:val="22"/>
          <w:color w:val="auto"/>
        </w:rPr>
        <w:t>05/28/2026</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02/19/2026</w:t>
      </w:r>
    </w:p>
    <w:p>
      <w:pPr>
        <w:spacing w:after="0" w:line="612" w:lineRule="exact"/>
        <w:rPr>
          <w:sz w:val="20"/>
          <w:szCs w:val="20"/>
          <w:color w:val="auto"/>
        </w:rPr>
      </w:pPr>
    </w:p>
    <w:p>
      <w:pPr>
        <w:sectPr>
          <w:pgSz w:w="11900" w:h="16838" w:orient="portrait"/>
          <w:cols w:equalWidth="0" w:num="2">
            <w:col w:w="3380" w:space="700"/>
            <w:col w:w="7160"/>
          </w:cols>
          <w:pgMar w:left="320" w:top="98" w:right="339" w:bottom="1440" w:gutter="0" w:footer="0" w:header="0"/>
          <w:type w:val="continuous"/>
        </w:sectPr>
      </w:pPr>
    </w:p>
    <w:p>
      <w:pPr>
        <w:spacing w:after="0" w:line="1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40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Christopher Hatto</w:t>
      </w:r>
    </w:p>
    <w:p>
      <w:pPr>
        <w:spacing w:after="0" w:line="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2026-05-28T17:50:25Z</dcterms:created>
  <dcterms:modified xsi:type="dcterms:W3CDTF">2026-05-28T17:50:25Z</dcterms:modified>
</cp:coreProperties>
</file>